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1abf9716fee50971fe0ddada87e55f4528674b"/>
    <w:p>
      <w:pPr>
        <w:pStyle w:val="Heading1"/>
      </w:pPr>
      <w:r>
        <w:rPr>
          <w:rFonts w:ascii="Arial" w:hAnsi="Arial"/>
        </w:rPr>
        <w:t xml:space="preserve">Vorarbeit 2.4 Zielgrößen und ihre Diagnostik — Literaturanalyse und Bauplan</w:t>
      </w:r>
    </w:p>
    <w:p>
      <w:pPr>
        <w:pStyle w:val="FirstParagraph"/>
      </w:pPr>
      <w:r>
        <w:rPr>
          <w:rFonts w:ascii="Arial" w:hAnsi="Arial"/>
        </w:rPr>
        <w:t xml:space="preserve">Bachelorarbeit U15-Plyometrie · Arbeitsdokument, kein Manuskripttext · Stand 27.09.2026 · Task 7, Grundlage für Textvorschlag 2.4 Fassung 6</w:t>
      </w:r>
    </w:p>
    <w:p>
      <w:pPr>
        <w:pStyle w:val="BodyText"/>
      </w:pPr>
      <w:r>
        <w:rPr>
          <w:rFonts w:ascii="Arial" w:hAnsi="Arial"/>
        </w:rPr>
        <w:t xml:space="preserve">Anlagen:</w:t>
      </w:r>
      <w:r>
        <w:rPr>
          <w:rFonts w:ascii="Arial" w:hAnsi="Arial"/>
        </w:rPr>
        <w:t xml:space="preserve"> </w:t>
      </w:r>
      <w:r>
        <w:rPr>
          <w:rStyle w:val="VerbatimChar"/>
          <w:rFonts w:ascii="Arial" w:hAnsi="Arial"/>
        </w:rPr>
        <w:t xml:space="preserve">02_Befunde\Literaturraster_2.4_2026-09-27.csv</w:t>
      </w:r>
      <w:r>
        <w:rPr>
          <w:rFonts w:ascii="Arial" w:hAnsi="Arial"/>
        </w:rPr>
        <w:t xml:space="preserve"> </w:t>
      </w:r>
      <w:r>
        <w:rPr>
          <w:rFonts w:ascii="Arial" w:hAnsi="Arial"/>
        </w:rPr>
        <w:t xml:space="preserve">(57 Studien, je Studie Gliederung, Testteil, Einleitungskarte, Belegkette mit Wortlaut und Seite) · Raster</w:t>
      </w:r>
      <w:r>
        <w:rPr>
          <w:rFonts w:ascii="Arial" w:hAnsi="Arial"/>
        </w:rPr>
        <w:t xml:space="preserve"> </w:t>
      </w:r>
      <w:r>
        <w:rPr>
          <w:rStyle w:val="VerbatimChar"/>
          <w:rFonts w:ascii="Arial" w:hAnsi="Arial"/>
        </w:rPr>
        <w:t xml:space="preserve">01_Verfahren\Literaturraster_Kapitel2_2026-09-27.md</w:t>
      </w:r>
      <w:r>
        <w:rPr>
          <w:rFonts w:ascii="Arial" w:hAnsi="Arial"/>
        </w:rPr>
        <w:t xml:space="preserve"> </w:t>
      </w:r>
      <w:r>
        <w:rPr>
          <w:rFonts w:ascii="Arial" w:hAnsi="Arial"/>
        </w:rPr>
        <w:t xml:space="preserve">· Zählwerkzeug</w:t>
      </w:r>
      <w:r>
        <w:rPr>
          <w:rFonts w:ascii="Arial" w:hAnsi="Arial"/>
        </w:rPr>
        <w:t xml:space="preserve"> </w:t>
      </w:r>
      <w:r>
        <w:rPr>
          <w:rStyle w:val="VerbatimChar"/>
          <w:rFonts w:ascii="Arial" w:hAnsi="Arial"/>
        </w:rPr>
        <w:t xml:space="preserve">03_Skripte\Literaturraster_Zaehlwerkzeug_2026-09-27.py</w:t>
      </w:r>
    </w:p>
    <w:p>
      <w:pPr>
        <w:pStyle w:val="BodyText"/>
      </w:pPr>
      <w:r>
        <w:rPr>
          <w:bCs/>
          <w:rFonts w:ascii="Arial" w:hAnsi="Arial"/>
          <w:b/>
        </w:rPr>
        <w:t xml:space="preserve">Nachtrag 28.09.2026</w:t>
      </w:r>
      <w:r>
        <w:rPr>
          <w:rFonts w:ascii="Arial" w:hAnsi="Arial"/>
        </w:rPr>
        <w:t xml:space="preserve"> </w:t>
      </w:r>
      <w:r>
        <w:rPr>
          <w:rFonts w:ascii="Arial" w:hAnsi="Arial"/>
        </w:rPr>
        <w:t xml:space="preserve">1.</w:t>
      </w:r>
      <w:r>
        <w:rPr>
          <w:rFonts w:ascii="Arial" w:hAnsi="Arial"/>
        </w:rPr>
        <w:t xml:space="preserve"> </w:t>
      </w:r>
      <w:r>
        <w:rPr>
          <w:bCs/>
          <w:rFonts w:ascii="Arial" w:hAnsi="Arial"/>
          <w:b/>
        </w:rPr>
        <w:t xml:space="preserve">Zweck präzisiert (Verfasser):</w:t>
      </w:r>
      <w:r>
        <w:rPr>
          <w:rFonts w:ascii="Arial" w:hAnsi="Arial"/>
        </w:rPr>
        <w:t xml:space="preserve"> </w:t>
      </w:r>
      <w:r>
        <w:rPr>
          <w:rFonts w:ascii="Arial" w:hAnsi="Arial"/>
        </w:rPr>
        <w:t xml:space="preserve">2.4 leitet aus den physiologischen Anforderungen des Wettkampfs die drei Zielgrößen und ihre Diagnostik ab. Testablauf und Durchführung stehen in 4.3 und 4.4. Maßgeblich für den Aufbau ist</w:t>
      </w:r>
      <w:r>
        <w:rPr>
          <w:rFonts w:ascii="Arial" w:hAnsi="Arial"/>
        </w:rPr>
        <w:t xml:space="preserve"> </w:t>
      </w:r>
      <w:r>
        <w:rPr>
          <w:rStyle w:val="VerbatimChar"/>
          <w:rFonts w:ascii="Arial" w:hAnsi="Arial"/>
        </w:rPr>
        <w:t xml:space="preserve">04_Uebergaben\Uebergabe_2.4_Fassung6_2026-09-28.md</w:t>
      </w:r>
      <w:r>
        <w:rPr>
          <w:rFonts w:ascii="Arial" w:hAnsi="Arial"/>
        </w:rPr>
        <w:t xml:space="preserve"> </w:t>
      </w:r>
      <w:r>
        <w:rPr>
          <w:rFonts w:ascii="Arial" w:hAnsi="Arial"/>
        </w:rPr>
        <w:t xml:space="preserve">§ 3. Sie ersetzt die Satzkerntabelle in § 5, Quellenpool, Wortlaute und § 6 bis § 8 gelten weiter.</w:t>
      </w:r>
      <w:r>
        <w:rPr>
          <w:rFonts w:ascii="Arial" w:hAnsi="Arial"/>
        </w:rPr>
        <w:t xml:space="preserve"> </w:t>
      </w:r>
      <w:r>
        <w:rPr>
          <w:rFonts w:ascii="Arial" w:hAnsi="Arial"/>
        </w:rPr>
        <w:t xml:space="preserve">2.</w:t>
      </w:r>
      <w:r>
        <w:rPr>
          <w:rFonts w:ascii="Arial" w:hAnsi="Arial"/>
        </w:rPr>
        <w:t xml:space="preserve"> </w:t>
      </w:r>
      <w:r>
        <w:rPr>
          <w:bCs/>
          <w:rFonts w:ascii="Arial" w:hAnsi="Arial"/>
          <w:b/>
        </w:rPr>
        <w:t xml:space="preserve">Turner &amp; Stewart (2014):</w:t>
      </w:r>
      <w:r>
        <w:rPr>
          <w:rFonts w:ascii="Arial" w:hAnsi="Arial"/>
        </w:rPr>
        <w:t xml:space="preserve"> </w:t>
      </w:r>
      <w:r>
        <w:rPr>
          <w:rFonts w:ascii="Arial" w:hAnsi="Arial"/>
        </w:rPr>
        <w:t xml:space="preserve">Der Satz mit der Liste der Anforderungen steht auf S. 1 im Abstract. Zitierfähig sind S. 2 (intermittierende, hochintensive Belastung) und S. 10 (Fazit mit derselben Liste). Die Angabe „S. 1“ in § 5 ist entsprechend zu lesen.</w:t>
      </w:r>
      <w:r>
        <w:rPr>
          <w:rFonts w:ascii="Arial" w:hAnsi="Arial"/>
        </w:rPr>
        <w:t xml:space="preserve"> </w:t>
      </w:r>
      <w:r>
        <w:rPr>
          <w:rFonts w:ascii="Arial" w:hAnsi="Arial"/>
        </w:rPr>
        <w:t xml:space="preserve">3.</w:t>
      </w:r>
      <w:r>
        <w:rPr>
          <w:rFonts w:ascii="Arial" w:hAnsi="Arial"/>
        </w:rPr>
        <w:t xml:space="preserve"> </w:t>
      </w:r>
      <w:r>
        <w:rPr>
          <w:bCs/>
          <w:rFonts w:ascii="Arial" w:hAnsi="Arial"/>
          <w:b/>
        </w:rPr>
        <w:t xml:space="preserve">Altmann et al. (2019):</w:t>
      </w:r>
      <w:r>
        <w:rPr>
          <w:rFonts w:ascii="Arial" w:hAnsi="Arial"/>
        </w:rPr>
        <w:t xml:space="preserve"> </w:t>
      </w:r>
      <w:r>
        <w:rPr>
          <w:rFonts w:ascii="Arial" w:hAnsi="Arial"/>
        </w:rPr>
        <w:t xml:space="preserve">doi 10.1371/journal.pone.0220982, PMID 31412057, PMC6693781, über PubMed geprüft. Ablage als PDF beim Verfasser (Maßnahme H10).</w:t>
      </w:r>
    </w:p>
    <w:bookmarkStart w:id="20" w:name="ergebnis-in-sieben-punkten"/>
    <w:p>
      <w:pPr>
        <w:pStyle w:val="Heading2"/>
      </w:pPr>
      <w:r>
        <w:rPr>
          <w:rFonts w:ascii="Arial" w:hAnsi="Arial"/>
        </w:rPr>
        <w:t xml:space="preserve">0 Ergebnis in sieben Punkten</w:t>
      </w:r>
    </w:p>
    <w:p>
      <w:pPr>
        <w:numPr>
          <w:ilvl w:val="0"/>
          <w:numId w:val="1001"/>
        </w:numPr>
        <w:pStyle w:val="Compact"/>
      </w:pPr>
      <w:r>
        <w:rPr>
          <w:bCs/>
          <w:rFonts w:ascii="Arial" w:hAnsi="Arial"/>
          <w:b/>
        </w:rPr>
        <w:t xml:space="preserve">Kein Theorieabschnitt im Korpus.</w:t>
      </w:r>
      <w:r>
        <w:rPr>
          <w:rFonts w:ascii="Arial" w:hAnsi="Arial"/>
        </w:rPr>
        <w:t xml:space="preserve"> </w:t>
      </w:r>
      <w:r>
        <w:rPr>
          <w:rFonts w:ascii="Arial" w:hAnsi="Arial"/>
        </w:rPr>
        <w:t xml:space="preserve">Keine der elf Interventionsstudien führt Zielgrößen und Diagnostik in einem eigenen theoretischen Abschnitt ein. Ausgewiesen ist nur der Testteil der Methodik (10 von 11 mit eigener Überschrift, Median aller elf Testteile 638 Wörter, 14,9 % des Haupttexts). Er beschreibt Durchführung und Messgüte. Eine Begründung der Testwahl enthält er in 1 von 11 Studien. Er entspricht unserem 4.4, nicht 2.4.</w:t>
      </w:r>
    </w:p>
    <w:p>
      <w:pPr>
        <w:numPr>
          <w:ilvl w:val="0"/>
          <w:numId w:val="1001"/>
        </w:numPr>
        <w:pStyle w:val="Compact"/>
      </w:pPr>
      <w:r>
        <w:rPr>
          <w:bCs/>
          <w:rFonts w:ascii="Arial" w:hAnsi="Arial"/>
          <w:b/>
        </w:rPr>
        <w:t xml:space="preserve">Die Aufgabe von 2.4 ist im Artikel verteilt:</w:t>
      </w:r>
      <w:r>
        <w:rPr>
          <w:rFonts w:ascii="Arial" w:hAnsi="Arial"/>
        </w:rPr>
        <w:t xml:space="preserve"> </w:t>
      </w:r>
      <w:r>
        <w:rPr>
          <w:rFonts w:ascii="Arial" w:hAnsi="Arial"/>
        </w:rPr>
        <w:t xml:space="preserve">Relevanzsätze in der Einleitung (Median 97 Wörter, 2,7 % des Haupttexts, bei 7 von 11 im ersten Absatz), Reliabilität und Protokollherkunft im Testteil, ein Relevanzsatz zu Beginn des Diskussionsabsatzes je Zielgröße (6 von 11 ganz oder teilweise).</w:t>
      </w:r>
    </w:p>
    <w:p>
      <w:pPr>
        <w:numPr>
          <w:ilvl w:val="0"/>
          <w:numId w:val="1001"/>
        </w:numPr>
        <w:pStyle w:val="Compact"/>
      </w:pPr>
      <w:r>
        <w:rPr>
          <w:bCs/>
          <w:rFonts w:ascii="Arial" w:hAnsi="Arial"/>
          <w:b/>
        </w:rPr>
        <w:t xml:space="preserve">Den eigenen Abschnitt verlangt die Hochschulnorm, nicht der Korpus.</w:t>
      </w:r>
      <w:r>
        <w:rPr>
          <w:rFonts w:ascii="Arial" w:hAnsi="Arial"/>
        </w:rPr>
        <w:t xml:space="preserve"> </w:t>
      </w:r>
      <w:r>
        <w:rPr>
          <w:rFonts w:ascii="Arial" w:hAnsi="Arial"/>
        </w:rPr>
        <w:t xml:space="preserve">Das Muster-Inhaltsverzeichnis des SMK-Leitfadens führt „2.3 Methoden zur Messung von ???“ als letzten Unterabschnitt des Theorieteils, direkt vor dem Forschungsstand (S. 18). 2.4 steht an derselben Stelle und bleibt dort.</w:t>
      </w:r>
    </w:p>
    <w:p>
      <w:pPr>
        <w:numPr>
          <w:ilvl w:val="0"/>
          <w:numId w:val="1001"/>
        </w:numPr>
        <w:pStyle w:val="Compact"/>
      </w:pPr>
      <w:r>
        <w:rPr>
          <w:bCs/>
          <w:rFonts w:ascii="Arial" w:hAnsi="Arial"/>
          <w:b/>
        </w:rPr>
        <w:t xml:space="preserve">Häufigste Kette der Interventionsstudien:</w:t>
      </w:r>
      <w:r>
        <w:rPr>
          <w:rFonts w:ascii="Arial" w:hAnsi="Arial"/>
        </w:rPr>
        <w:t xml:space="preserve"> </w:t>
      </w:r>
      <w:r>
        <w:rPr>
          <w:rFonts w:ascii="Arial" w:hAnsi="Arial"/>
        </w:rPr>
        <w:t xml:space="preserve">Spielanforderung ↔ Leistungsrelevanz → Trainierbarkeit → Lücke → Zweck. Diagnostikstudien ergänzen Konstrukt → Test als Standard → Messgüte → Grenze. Für 2.4 folgt: Anforderung → Leistungsrelevanz → je Zielgröße Konstrukt → Test → Güte.</w:t>
      </w:r>
    </w:p>
    <w:p>
      <w:pPr>
        <w:numPr>
          <w:ilvl w:val="0"/>
          <w:numId w:val="1001"/>
        </w:numPr>
        <w:pStyle w:val="Compact"/>
      </w:pPr>
      <w:r>
        <w:rPr>
          <w:bCs/>
          <w:rFonts w:ascii="Arial" w:hAnsi="Arial"/>
          <w:b/>
        </w:rPr>
        <w:t xml:space="preserve">Belegverfahren:</w:t>
      </w:r>
      <w:r>
        <w:rPr>
          <w:rFonts w:ascii="Arial" w:hAnsi="Arial"/>
        </w:rPr>
        <w:t xml:space="preserve"> </w:t>
      </w:r>
      <w:r>
        <w:rPr>
          <w:rFonts w:ascii="Arial" w:hAnsi="Arial"/>
        </w:rPr>
        <w:t xml:space="preserve">In den Einleitungen der Interventionsstudien dominieren Trainierbarkeit (11 von 11, bei uns 2.5), Leistungsrelevanz (8) und Spielanforderung (6). In der Methodik dominieren Reliabilität (11, meist eigene ICC) und Protokollherkunft (10). Belegt wird überwiegend mit Primärstudien (31 von 58 Belegen, Übersichten auch in Kombination 25). Diagnostikstudien begründen zusätzlich über Konstruktabgrenzung, Validität, Verbreitung und Praktikabilität.</w:t>
      </w:r>
    </w:p>
    <w:p>
      <w:pPr>
        <w:numPr>
          <w:ilvl w:val="0"/>
          <w:numId w:val="1001"/>
        </w:numPr>
        <w:pStyle w:val="Compact"/>
      </w:pPr>
      <w:r>
        <w:rPr>
          <w:bCs/>
          <w:rFonts w:ascii="Arial" w:hAnsi="Arial"/>
          <w:b/>
        </w:rPr>
        <w:t xml:space="preserve">2.4 braucht 300 bis 400 Wörter</w:t>
      </w:r>
      <w:r>
        <w:rPr>
          <w:rFonts w:ascii="Arial" w:hAnsi="Arial"/>
        </w:rPr>
        <w:t xml:space="preserve"> </w:t>
      </w:r>
      <w:r>
        <w:rPr>
          <w:rFonts w:ascii="Arial" w:hAnsi="Arial"/>
        </w:rPr>
        <w:t xml:space="preserve">in vier Absätzen (Einstieg, Sprint, Richtungswechsel, Sprung), belegt nur mit Übersichtsarbeiten. Das Budget von 700 bleibt Obergrenze und wird bewusst nicht ausgeschöpft (R6, F16 § 1.1).</w:t>
      </w:r>
    </w:p>
    <w:p>
      <w:pPr>
        <w:numPr>
          <w:ilvl w:val="0"/>
          <w:numId w:val="1001"/>
        </w:numPr>
        <w:pStyle w:val="Compact"/>
      </w:pPr>
      <w:r>
        <w:rPr>
          <w:bCs/>
          <w:rFonts w:ascii="Arial" w:hAnsi="Arial"/>
          <w:b/>
        </w:rPr>
        <w:t xml:space="preserve">Vor dem Textvorschlag nötig:</w:t>
      </w:r>
      <w:r>
        <w:rPr>
          <w:rFonts w:ascii="Arial" w:hAnsi="Arial"/>
        </w:rPr>
        <w:t xml:space="preserve"> </w:t>
      </w:r>
      <w:r>
        <w:rPr>
          <w:rFonts w:ascii="Arial" w:hAnsi="Arial"/>
        </w:rPr>
        <w:t xml:space="preserve">Altmann et al. (2019) als PDF in</w:t>
      </w:r>
      <w:r>
        <w:rPr>
          <w:rFonts w:ascii="Arial" w:hAnsi="Arial"/>
        </w:rPr>
        <w:t xml:space="preserve"> </w:t>
      </w:r>
      <w:r>
        <w:rPr>
          <w:rStyle w:val="VerbatimChar"/>
          <w:rFonts w:ascii="Arial" w:hAnsi="Arial"/>
        </w:rPr>
        <w:t xml:space="preserve">Ideen und Studien</w:t>
      </w:r>
      <w:r>
        <w:rPr>
          <w:rFonts w:ascii="Arial" w:hAnsi="Arial"/>
        </w:rPr>
        <w:t xml:space="preserve"> </w:t>
      </w:r>
      <w:r>
        <w:rPr>
          <w:rFonts w:ascii="Arial" w:hAnsi="Arial"/>
        </w:rPr>
        <w:t xml:space="preserve">ablegen. Es ist die einzige Übersicht zur Güte von Sprint- und 505-Test und wurde bisher nur online gelesen. Harper et al. (2019) wird nach diesem Bauplan nicht mehr gebraucht.</w:t>
      </w:r>
    </w:p>
    <w:bookmarkEnd w:id="20"/>
    <w:bookmarkStart w:id="21" w:name="sichtung"/>
    <w:p>
      <w:pPr>
        <w:pStyle w:val="Heading2"/>
      </w:pPr>
      <w:r>
        <w:rPr>
          <w:rFonts w:ascii="Arial" w:hAnsi="Arial"/>
        </w:rPr>
        <w:t xml:space="preserve">1 Sichtung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5940"/>
      </w:tblGrid>
      <w:tr>
        <w:trPr>
          <w:tblHeader w:val="true"/>
        </w:trPr>
        <w:tc>
          <w:tcPr>
            <w:shd w:val="clear" w:color="auto" w:fill="D6E4F0"/>
          </w:tcPr>
          <w:p>
            <w:pPr>
              <w:pStyle w:val="Compact"/>
              <w:jc w:val="left"/>
            </w:pPr>
            <w:r>
              <w:rPr>
                <w:rFonts w:ascii="Arial" w:hAnsi="Arial"/>
                <w:b/>
                <w:sz w:val="18"/>
              </w:rPr>
              <w:t xml:space="preserve">Schritt</w:t>
            </w:r>
          </w:p>
        </w:tc>
        <w:tc>
          <w:tcPr>
            <w:shd w:val="clear" w:color="auto" w:fill="D6E4F0"/>
          </w:tcPr>
          <w:p>
            <w:pPr>
              <w:pStyle w:val="Compact"/>
              <w:jc w:val="left"/>
            </w:pPr>
            <w:r>
              <w:rPr>
                <w:rFonts w:ascii="Arial" w:hAnsi="Arial"/>
                <w:b/>
                <w:sz w:val="18"/>
              </w:rPr>
              <w:t xml:space="preserve">Anzahl</w:t>
            </w:r>
          </w:p>
        </w:tc>
      </w:tr>
      <w:tr>
        <w:tc>
          <w:tcPr/>
          <w:p>
            <w:pPr>
              <w:pStyle w:val="Compact"/>
              <w:jc w:val="left"/>
            </w:pPr>
            <w:r>
              <w:rPr>
                <w:rFonts w:ascii="Arial" w:hAnsi="Arial"/>
                <w:sz w:val="18"/>
              </w:rPr>
              <w:t xml:space="preserve">Dateien in</w:t>
            </w:r>
            <w:r>
              <w:rPr>
                <w:rFonts w:ascii="Arial" w:hAnsi="Arial"/>
                <w:sz w:val="18"/>
              </w:rPr>
              <w:t xml:space="preserve"> </w:t>
            </w:r>
            <w:r>
              <w:rPr>
                <w:rStyle w:val="VerbatimChar"/>
                <w:rFonts w:ascii="Arial" w:hAnsi="Arial"/>
                <w:sz w:val="18"/>
              </w:rPr>
              <w:t xml:space="preserve">Ideen und Studien</w:t>
            </w:r>
          </w:p>
        </w:tc>
        <w:tc>
          <w:tcPr/>
          <w:p>
            <w:pPr>
              <w:pStyle w:val="Compact"/>
              <w:jc w:val="left"/>
            </w:pPr>
            <w:r>
              <w:rPr>
                <w:rFonts w:ascii="Arial" w:hAnsi="Arial"/>
                <w:sz w:val="18"/>
              </w:rPr>
              <w:t xml:space="preserve">107 (97 PDF, 8 Bilder, 2 Word-Dateien)</w:t>
            </w:r>
          </w:p>
        </w:tc>
      </w:tr>
      <w:tr>
        <w:tc>
          <w:tcPr>
            <w:shd w:val="clear" w:color="auto" w:fill="EEF3F9"/>
          </w:tcPr>
          <w:p>
            <w:pPr>
              <w:pStyle w:val="Compact"/>
              <w:jc w:val="left"/>
            </w:pPr>
            <w:r>
              <w:rPr>
                <w:rFonts w:ascii="Arial" w:hAnsi="Arial"/>
                <w:sz w:val="18"/>
              </w:rPr>
              <w:t xml:space="preserve">Richtlinien, nur als Norm genutzt</w:t>
            </w:r>
          </w:p>
        </w:tc>
        <w:tc>
          <w:tcPr>
            <w:shd w:val="clear" w:color="auto" w:fill="EEF3F9"/>
          </w:tcPr>
          <w:p>
            <w:pPr>
              <w:pStyle w:val="Compact"/>
              <w:jc w:val="left"/>
            </w:pPr>
            <w:r>
              <w:rPr>
                <w:rFonts w:ascii="Arial" w:hAnsi="Arial"/>
                <w:sz w:val="18"/>
              </w:rPr>
              <w:t xml:space="preserve">4 (SMK, TUM, Sportmedizin Münster, dvs)</w:t>
            </w:r>
          </w:p>
        </w:tc>
      </w:tr>
      <w:tr>
        <w:tc>
          <w:tcPr/>
          <w:p>
            <w:pPr>
              <w:pStyle w:val="Compact"/>
              <w:jc w:val="left"/>
            </w:pPr>
            <w:r>
              <w:rPr>
                <w:rFonts w:ascii="Arial" w:hAnsi="Arial"/>
                <w:sz w:val="18"/>
              </w:rPr>
              <w:t xml:space="preserve">ausgeschlossen nach Titel und Gegenstand</w:t>
            </w:r>
          </w:p>
        </w:tc>
        <w:tc>
          <w:tcPr/>
          <w:p>
            <w:pPr>
              <w:pStyle w:val="Compact"/>
              <w:jc w:val="left"/>
            </w:pPr>
            <w:r>
              <w:rPr>
                <w:rFonts w:ascii="Arial" w:hAnsi="Arial"/>
                <w:sz w:val="18"/>
              </w:rPr>
              <w:t xml:space="preserve">35 PDF: Reifung und Anthropometrie 10 · Mechanismus und Physiologie 7 · Methodik, Statistik, Berichtsstandards 10 · Monitoring und Aufwärmen 4 · Verletzungsepidemiologie 1 · nicht aufzunehmen nach F16 § 6.5 1 (Stølen) · kein Fachtext 2</w:t>
            </w:r>
          </w:p>
        </w:tc>
      </w:tr>
      <w:tr>
        <w:tc>
          <w:tcPr>
            <w:shd w:val="clear" w:color="auto" w:fill="EEF3F9"/>
          </w:tcPr>
          <w:p>
            <w:pPr>
              <w:pStyle w:val="Compact"/>
              <w:jc w:val="left"/>
            </w:pPr>
            <w:r>
              <w:rPr>
                <w:rFonts w:ascii="Arial" w:hAnsi="Arial"/>
                <w:sz w:val="18"/>
              </w:rPr>
              <w:t xml:space="preserve">Duplikat</w:t>
            </w:r>
          </w:p>
        </w:tc>
        <w:tc>
          <w:tcPr>
            <w:shd w:val="clear" w:color="auto" w:fill="EEF3F9"/>
          </w:tcPr>
          <w:p>
            <w:pPr>
              <w:pStyle w:val="Compact"/>
              <w:jc w:val="left"/>
            </w:pPr>
            <w:r>
              <w:rPr>
                <w:rFonts w:ascii="Arial" w:hAnsi="Arial"/>
                <w:sz w:val="18"/>
              </w:rPr>
              <w:t xml:space="preserve">1 (</w:t>
            </w:r>
            <w:r>
              <w:rPr>
                <w:rStyle w:val="VerbatimChar"/>
                <w:rFonts w:ascii="Arial" w:hAnsi="Arial"/>
                <w:sz w:val="18"/>
              </w:rPr>
              <w:t xml:space="preserve">Dugdale 2018 et al.,.pdf</w:t>
            </w:r>
            <w:r>
              <w:rPr>
                <w:rFonts w:ascii="Arial" w:hAnsi="Arial"/>
                <w:sz w:val="18"/>
              </w:rPr>
              <w:t xml:space="preserve"> </w:t>
            </w:r>
            <w:r>
              <w:rPr>
                <w:rFonts w:ascii="Arial" w:hAnsi="Arial"/>
                <w:sz w:val="18"/>
              </w:rPr>
              <w:t xml:space="preserve">= Dugdale et al., 2019)</w:t>
            </w:r>
          </w:p>
        </w:tc>
      </w:tr>
      <w:tr>
        <w:tc>
          <w:tcPr/>
          <w:p>
            <w:pPr>
              <w:pStyle w:val="Compact"/>
              <w:jc w:val="left"/>
            </w:pPr>
            <w:r>
              <w:rPr>
                <w:bCs/>
                <w:rFonts w:ascii="Arial" w:hAnsi="Arial"/>
                <w:b/>
                <w:sz w:val="18"/>
              </w:rPr>
              <w:t xml:space="preserve">ausgewertet</w:t>
            </w:r>
          </w:p>
        </w:tc>
        <w:tc>
          <w:tcPr/>
          <w:p>
            <w:pPr>
              <w:pStyle w:val="Compact"/>
              <w:jc w:val="left"/>
            </w:pPr>
            <w:r>
              <w:rPr>
                <w:bCs/>
                <w:rFonts w:ascii="Arial" w:hAnsi="Arial"/>
                <w:b/>
                <w:sz w:val="18"/>
              </w:rPr>
              <w:t xml:space="preserve">57:</w:t>
            </w:r>
            <w:r>
              <w:rPr>
                <w:rFonts w:ascii="Arial" w:hAnsi="Arial"/>
                <w:sz w:val="18"/>
              </w:rPr>
              <w:t xml:space="preserve"> </w:t>
            </w:r>
            <w:r>
              <w:rPr>
                <w:rFonts w:ascii="Arial" w:hAnsi="Arial"/>
                <w:sz w:val="18"/>
              </w:rPr>
              <w:t xml:space="preserve">Interventionskorpus 11 · weitere Trainings-, Akut- und Laborstudien 4 · Übersichten zum Training 10 · Diagnostik 19 · Anforderungsprofil 8 · Detraining und Übergang 5</w:t>
            </w:r>
          </w:p>
        </w:tc>
      </w:tr>
    </w:tbl>
    <w:p>
      <w:pPr>
        <w:pStyle w:val="BodyText"/>
      </w:pPr>
      <w:r>
        <w:rPr>
          <w:bCs/>
          <w:rFonts w:ascii="Arial" w:hAnsi="Arial"/>
          <w:b/>
        </w:rPr>
        <w:t xml:space="preserve">Einschluss:</w:t>
      </w:r>
      <w:r>
        <w:rPr>
          <w:rFonts w:ascii="Arial" w:hAnsi="Arial"/>
        </w:rPr>
        <w:t xml:space="preserve"> </w:t>
      </w:r>
      <w:r>
        <w:rPr>
          <w:rFonts w:ascii="Arial" w:hAnsi="Arial"/>
        </w:rPr>
        <w:t xml:space="preserve">jede Arbeit mit Bezug zur Intervention, gleich welchen Typs (Training, Sprint, Richtungswechsel, Sprung, deren Tests, Anforderungsprofil, Sommerpause). Sylvester et al. (2024) und Rahman et al. (2021) sind nur als Strukturbefund enthalten, zitiert werden sie nicht (F16 § 6.5). Liste in Anhang A.</w:t>
      </w:r>
    </w:p>
    <w:p>
      <w:pPr>
        <w:pStyle w:val="BodyText"/>
      </w:pPr>
      <w:r>
        <w:rPr>
          <w:bCs/>
          <w:rFonts w:ascii="Arial" w:hAnsi="Arial"/>
          <w:b/>
        </w:rPr>
        <w:t xml:space="preserve">Verfahren:</w:t>
      </w:r>
      <w:r>
        <w:rPr>
          <w:rFonts w:ascii="Arial" w:hAnsi="Arial"/>
        </w:rPr>
        <w:t xml:space="preserve"> </w:t>
      </w:r>
      <w:r>
        <w:rPr>
          <w:rFonts w:ascii="Arial" w:hAnsi="Arial"/>
        </w:rPr>
        <w:t xml:space="preserve">Textfassung aller PDF, Auswertung in zwölf parallelen Gruppen nach festem Raster (Züge Z1 bis Z10, Belegverfahren B1 bis B13), Wortzahlen per Skript als Absatztext ohne Tabellen und Überschriften, Zitate maschinell gegen den Volltext geprüft.</w:t>
      </w:r>
      <w:r>
        <w:rPr>
          <w:rFonts w:ascii="Arial" w:hAnsi="Arial"/>
        </w:rPr>
        <w:t xml:space="preserve"> </w:t>
      </w:r>
      <w:r>
        <w:rPr>
          <w:bCs/>
          <w:rFonts w:ascii="Arial" w:hAnsi="Arial"/>
          <w:b/>
        </w:rPr>
        <w:t xml:space="preserve">Grenzen:</w:t>
      </w:r>
      <w:r>
        <w:rPr>
          <w:rFonts w:ascii="Arial" w:hAnsi="Arial"/>
        </w:rPr>
        <w:t xml:space="preserve"> </w:t>
      </w:r>
      <w:r>
        <w:rPr>
          <w:rFonts w:ascii="Arial" w:hAnsi="Arial"/>
        </w:rPr>
        <w:t xml:space="preserve">eine Kodierung je Studie, keine Doppelkodierung. Wortzahlen sind Näherungen. Die Haupttexte des Korpus liegen innerhalb von 10 % der Werte im Bauplan vom 15.09., außer Negra 2019 (Kopfzeilen des Manuskripts entfernt).</w:t>
      </w:r>
    </w:p>
    <w:bookmarkEnd w:id="21"/>
    <w:bookmarkStart w:id="22" w:name="eigener-abschnitt-ort-titel-umfang-ziel"/>
    <w:p>
      <w:pPr>
        <w:pStyle w:val="Heading2"/>
      </w:pPr>
      <w:r>
        <w:rPr>
          <w:rFonts w:ascii="Arial" w:hAnsi="Arial"/>
        </w:rPr>
        <w:t xml:space="preserve">2 Eigener Abschnitt: Ort, Titel, Umfang, Ziel</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267"/>
        <w:gridCol w:w="792"/>
        <w:gridCol w:w="2376"/>
        <w:gridCol w:w="950"/>
        <w:gridCol w:w="792"/>
        <w:gridCol w:w="1742"/>
      </w:tblGrid>
      <w:tr>
        <w:trPr>
          <w:tblHeader w:val="true"/>
        </w:trPr>
        <w:tc>
          <w:tcPr>
            <w:shd w:val="clear" w:color="auto" w:fill="D6E4F0"/>
          </w:tcPr>
          <w:p>
            <w:pPr>
              <w:pStyle w:val="Compact"/>
              <w:jc w:val="left"/>
            </w:pPr>
            <w:r>
              <w:rPr>
                <w:rFonts w:ascii="Arial" w:hAnsi="Arial"/>
                <w:b/>
                <w:sz w:val="18"/>
              </w:rPr>
              <w:t xml:space="preserve">Studientyp (n)</w:t>
            </w:r>
          </w:p>
        </w:tc>
        <w:tc>
          <w:tcPr>
            <w:shd w:val="clear" w:color="auto" w:fill="D6E4F0"/>
          </w:tcPr>
          <w:p>
            <w:pPr>
              <w:pStyle w:val="Compact"/>
              <w:jc w:val="left"/>
            </w:pPr>
            <w:r>
              <w:rPr>
                <w:rFonts w:ascii="Arial" w:hAnsi="Arial"/>
                <w:b/>
                <w:sz w:val="18"/>
              </w:rPr>
              <w:t xml:space="preserve">eigener Abschnitt</w:t>
            </w:r>
          </w:p>
        </w:tc>
        <w:tc>
          <w:tcPr>
            <w:shd w:val="clear" w:color="auto" w:fill="D6E4F0"/>
          </w:tcPr>
          <w:p>
            <w:pPr>
              <w:pStyle w:val="Compact"/>
              <w:jc w:val="left"/>
            </w:pPr>
            <w:r>
              <w:rPr>
                <w:rFonts w:ascii="Arial" w:hAnsi="Arial"/>
                <w:b/>
                <w:sz w:val="18"/>
              </w:rPr>
              <w:t xml:space="preserve">Ort und typische Titel</w:t>
            </w:r>
          </w:p>
        </w:tc>
        <w:tc>
          <w:tcPr>
            <w:shd w:val="clear" w:color="auto" w:fill="D6E4F0"/>
          </w:tcPr>
          <w:p>
            <w:pPr>
              <w:pStyle w:val="Compact"/>
              <w:jc w:val="left"/>
            </w:pPr>
            <w:r>
              <w:rPr>
                <w:rFonts w:ascii="Arial" w:hAnsi="Arial"/>
                <w:b/>
                <w:sz w:val="18"/>
              </w:rPr>
              <w:t xml:space="preserve">Wörter, Median (Spanne)</w:t>
            </w:r>
          </w:p>
        </w:tc>
        <w:tc>
          <w:tcPr>
            <w:shd w:val="clear" w:color="auto" w:fill="D6E4F0"/>
          </w:tcPr>
          <w:p>
            <w:pPr>
              <w:pStyle w:val="Compact"/>
              <w:jc w:val="left"/>
            </w:pPr>
            <w:r>
              <w:rPr>
                <w:rFonts w:ascii="Arial" w:hAnsi="Arial"/>
                <w:b/>
                <w:sz w:val="18"/>
              </w:rPr>
              <w:t xml:space="preserve">Anteil am Haupttext</w:t>
            </w:r>
          </w:p>
        </w:tc>
        <w:tc>
          <w:tcPr>
            <w:shd w:val="clear" w:color="auto" w:fill="D6E4F0"/>
          </w:tcPr>
          <w:p>
            <w:pPr>
              <w:pStyle w:val="Compact"/>
              <w:jc w:val="left"/>
            </w:pPr>
            <w:r>
              <w:rPr>
                <w:rFonts w:ascii="Arial" w:hAnsi="Arial"/>
                <w:b/>
                <w:sz w:val="18"/>
              </w:rPr>
              <w:t xml:space="preserve">Ziel</w:t>
            </w:r>
          </w:p>
        </w:tc>
      </w:tr>
      <w:tr>
        <w:tc>
          <w:tcPr/>
          <w:p>
            <w:pPr>
              <w:pStyle w:val="Compact"/>
              <w:jc w:val="left"/>
            </w:pPr>
            <w:r>
              <w:rPr>
                <w:rFonts w:ascii="Arial" w:hAnsi="Arial"/>
                <w:sz w:val="18"/>
              </w:rPr>
              <w:t xml:space="preserve">Interventionskorpus, Testteil (11)</w:t>
            </w:r>
          </w:p>
        </w:tc>
        <w:tc>
          <w:tcPr/>
          <w:p>
            <w:pPr>
              <w:pStyle w:val="Compact"/>
              <w:jc w:val="left"/>
            </w:pPr>
            <w:r>
              <w:rPr>
                <w:rFonts w:ascii="Arial" w:hAnsi="Arial"/>
                <w:sz w:val="18"/>
              </w:rPr>
              <w:t xml:space="preserve">ja 10, nein 1</w:t>
            </w:r>
          </w:p>
        </w:tc>
        <w:tc>
          <w:tcPr/>
          <w:p>
            <w:pPr>
              <w:pStyle w:val="Compact"/>
              <w:jc w:val="left"/>
            </w:pPr>
            <w:r>
              <w:rPr>
                <w:rFonts w:ascii="Arial" w:hAnsi="Arial"/>
                <w:sz w:val="18"/>
              </w:rPr>
              <w:t xml:space="preserve">Methodik: „Testing Procedures“, „Physical fitness assessments“, „Procedure(s)“, „Measurements“, ein Titel je Test</w:t>
            </w:r>
          </w:p>
        </w:tc>
        <w:tc>
          <w:tcPr/>
          <w:p>
            <w:pPr>
              <w:pStyle w:val="Compact"/>
              <w:jc w:val="left"/>
            </w:pPr>
            <w:r>
              <w:rPr>
                <w:rFonts w:ascii="Arial" w:hAnsi="Arial"/>
                <w:sz w:val="18"/>
              </w:rPr>
              <w:t xml:space="preserve">638 (216–1.061)</w:t>
            </w:r>
          </w:p>
        </w:tc>
        <w:tc>
          <w:tcPr/>
          <w:p>
            <w:pPr>
              <w:pStyle w:val="Compact"/>
              <w:jc w:val="left"/>
            </w:pPr>
            <w:r>
              <w:rPr>
                <w:rFonts w:ascii="Arial" w:hAnsi="Arial"/>
                <w:sz w:val="18"/>
              </w:rPr>
              <w:t xml:space="preserve">14,9 % (6,6–25,6)</w:t>
            </w:r>
          </w:p>
        </w:tc>
        <w:tc>
          <w:tcPr/>
          <w:p>
            <w:pPr>
              <w:pStyle w:val="Compact"/>
              <w:jc w:val="left"/>
            </w:pPr>
            <w:r>
              <w:rPr>
                <w:rFonts w:ascii="Arial" w:hAnsi="Arial"/>
                <w:sz w:val="18"/>
              </w:rPr>
              <w:t xml:space="preserve">Durchführung replizierbar machen, Messgüte belegen</w:t>
            </w:r>
          </w:p>
        </w:tc>
      </w:tr>
      <w:tr>
        <w:tc>
          <w:tcPr>
            <w:shd w:val="clear" w:color="auto" w:fill="EEF3F9"/>
          </w:tcPr>
          <w:p>
            <w:pPr>
              <w:pStyle w:val="Compact"/>
              <w:jc w:val="left"/>
            </w:pPr>
            <w:r>
              <w:rPr>
                <w:rFonts w:ascii="Arial" w:hAnsi="Arial"/>
                <w:sz w:val="18"/>
              </w:rPr>
              <w:t xml:space="preserve">Interventionskorpus, Einleitung (11)</w:t>
            </w:r>
          </w:p>
        </w:tc>
        <w:tc>
          <w:tcPr>
            <w:shd w:val="clear" w:color="auto" w:fill="EEF3F9"/>
          </w:tcPr>
          <w:p>
            <w:pPr>
              <w:pStyle w:val="Compact"/>
              <w:jc w:val="left"/>
            </w:pPr>
            <w:r>
              <w:rPr>
                <w:rFonts w:ascii="Arial" w:hAnsi="Arial"/>
                <w:sz w:val="18"/>
              </w:rPr>
              <w:t xml:space="preserve">nein, einzelne Sätze</w:t>
            </w:r>
          </w:p>
        </w:tc>
        <w:tc>
          <w:tcPr>
            <w:shd w:val="clear" w:color="auto" w:fill="EEF3F9"/>
          </w:tcPr>
          <w:p>
            <w:pPr>
              <w:pStyle w:val="Compact"/>
              <w:jc w:val="left"/>
            </w:pPr>
            <w:r>
              <w:rPr>
                <w:rFonts w:ascii="Arial" w:hAnsi="Arial"/>
                <w:sz w:val="18"/>
              </w:rPr>
              <w:t xml:space="preserve">meist erster Absatz</w:t>
            </w:r>
          </w:p>
        </w:tc>
        <w:tc>
          <w:tcPr>
            <w:shd w:val="clear" w:color="auto" w:fill="EEF3F9"/>
          </w:tcPr>
          <w:p>
            <w:pPr>
              <w:pStyle w:val="Compact"/>
              <w:jc w:val="left"/>
            </w:pPr>
            <w:r>
              <w:rPr>
                <w:rFonts w:ascii="Arial" w:hAnsi="Arial"/>
                <w:sz w:val="18"/>
              </w:rPr>
              <w:t xml:space="preserve">97 (0–366)</w:t>
            </w:r>
          </w:p>
        </w:tc>
        <w:tc>
          <w:tcPr>
            <w:shd w:val="clear" w:color="auto" w:fill="EEF3F9"/>
          </w:tcPr>
          <w:p>
            <w:pPr>
              <w:pStyle w:val="Compact"/>
              <w:jc w:val="left"/>
            </w:pPr>
            <w:r>
              <w:rPr>
                <w:rFonts w:ascii="Arial" w:hAnsi="Arial"/>
                <w:sz w:val="18"/>
              </w:rPr>
              <w:t xml:space="preserve">2,7 % (0–8,0)</w:t>
            </w:r>
          </w:p>
        </w:tc>
        <w:tc>
          <w:tcPr>
            <w:shd w:val="clear" w:color="auto" w:fill="EEF3F9"/>
          </w:tcPr>
          <w:p>
            <w:pPr>
              <w:pStyle w:val="Compact"/>
              <w:jc w:val="left"/>
            </w:pPr>
            <w:r>
              <w:rPr>
                <w:rFonts w:ascii="Arial" w:hAnsi="Arial"/>
                <w:sz w:val="18"/>
              </w:rPr>
              <w:t xml:space="preserve">Relevanz der Zielgrößen für Sportart und Leistung</w:t>
            </w:r>
          </w:p>
        </w:tc>
      </w:tr>
      <w:tr>
        <w:tc>
          <w:tcPr/>
          <w:p>
            <w:pPr>
              <w:pStyle w:val="Compact"/>
              <w:jc w:val="left"/>
            </w:pPr>
            <w:r>
              <w:rPr>
                <w:rFonts w:ascii="Arial" w:hAnsi="Arial"/>
                <w:sz w:val="18"/>
              </w:rPr>
              <w:t xml:space="preserve">Übersichten zum Training (10)</w:t>
            </w:r>
          </w:p>
        </w:tc>
        <w:tc>
          <w:tcPr/>
          <w:p>
            <w:pPr>
              <w:pStyle w:val="Compact"/>
              <w:jc w:val="left"/>
            </w:pPr>
            <w:r>
              <w:rPr>
                <w:rFonts w:ascii="Arial" w:hAnsi="Arial"/>
                <w:sz w:val="18"/>
              </w:rPr>
              <w:t xml:space="preserve">teilweise 10</w:t>
            </w:r>
          </w:p>
        </w:tc>
        <w:tc>
          <w:tcPr/>
          <w:p>
            <w:pPr>
              <w:pStyle w:val="Compact"/>
              <w:jc w:val="left"/>
            </w:pPr>
            <w:r>
              <w:rPr>
                <w:rFonts w:ascii="Arial" w:hAnsi="Arial"/>
                <w:sz w:val="18"/>
              </w:rPr>
              <w:t xml:space="preserve">Methodik: „Outcome“ im PICO, „Data items“, „Data extraction“</w:t>
            </w:r>
          </w:p>
        </w:tc>
        <w:tc>
          <w:tcPr/>
          <w:p>
            <w:pPr>
              <w:pStyle w:val="Compact"/>
              <w:jc w:val="left"/>
            </w:pPr>
            <w:r>
              <w:rPr>
                <w:rFonts w:ascii="Arial" w:hAnsi="Arial"/>
                <w:sz w:val="18"/>
              </w:rPr>
              <w:t xml:space="preserve">87 (18–764)</w:t>
            </w:r>
          </w:p>
        </w:tc>
        <w:tc>
          <w:tcPr/>
          <w:p>
            <w:pPr>
              <w:pStyle w:val="Compact"/>
              <w:jc w:val="left"/>
            </w:pPr>
            <w:r>
              <w:rPr>
                <w:rFonts w:ascii="Arial" w:hAnsi="Arial"/>
                <w:sz w:val="18"/>
              </w:rPr>
              <w:t xml:space="preserve">1,6 %</w:t>
            </w:r>
          </w:p>
        </w:tc>
        <w:tc>
          <w:tcPr/>
          <w:p>
            <w:pPr>
              <w:pStyle w:val="Compact"/>
              <w:jc w:val="left"/>
            </w:pPr>
            <w:r>
              <w:rPr>
                <w:rFonts w:ascii="Arial" w:hAnsi="Arial"/>
                <w:sz w:val="18"/>
              </w:rPr>
              <w:t xml:space="preserve">Zielgrößen festlegen und kategorisieren, je Studie einen repräsentativen, reliablen Test wählen</w:t>
            </w:r>
          </w:p>
        </w:tc>
      </w:tr>
      <w:tr>
        <w:tc>
          <w:tcPr>
            <w:shd w:val="clear" w:color="auto" w:fill="EEF3F9"/>
          </w:tcPr>
          <w:p>
            <w:pPr>
              <w:pStyle w:val="Compact"/>
              <w:jc w:val="left"/>
            </w:pPr>
            <w:r>
              <w:rPr>
                <w:rFonts w:ascii="Arial" w:hAnsi="Arial"/>
                <w:sz w:val="18"/>
              </w:rPr>
              <w:t xml:space="preserve">Diagnostik (19)</w:t>
            </w:r>
          </w:p>
        </w:tc>
        <w:tc>
          <w:tcPr>
            <w:shd w:val="clear" w:color="auto" w:fill="EEF3F9"/>
          </w:tcPr>
          <w:p>
            <w:pPr>
              <w:pStyle w:val="Compact"/>
              <w:jc w:val="left"/>
            </w:pPr>
            <w:r>
              <w:rPr>
                <w:rFonts w:ascii="Arial" w:hAnsi="Arial"/>
                <w:sz w:val="18"/>
              </w:rPr>
              <w:t xml:space="preserve">ja 17, teilweise 2</w:t>
            </w:r>
          </w:p>
        </w:tc>
        <w:tc>
          <w:tcPr>
            <w:shd w:val="clear" w:color="auto" w:fill="EEF3F9"/>
          </w:tcPr>
          <w:p>
            <w:pPr>
              <w:pStyle w:val="Compact"/>
              <w:jc w:val="left"/>
            </w:pPr>
            <w:r>
              <w:rPr>
                <w:rFonts w:ascii="Arial" w:hAnsi="Arial"/>
                <w:sz w:val="18"/>
              </w:rPr>
              <w:t xml:space="preserve">ganze Einleitung, dazu Methodik („Experimental Approach to the Problem“, „Procedures“), eigener Theorieteil nur in narrativen Übersichten und bei Rahman („Literature Review“)</w:t>
            </w:r>
          </w:p>
        </w:tc>
        <w:tc>
          <w:tcPr>
            <w:shd w:val="clear" w:color="auto" w:fill="EEF3F9"/>
          </w:tcPr>
          <w:p>
            <w:pPr>
              <w:pStyle w:val="Compact"/>
              <w:jc w:val="left"/>
            </w:pPr>
            <w:r>
              <w:rPr>
                <w:rFonts w:ascii="Arial" w:hAnsi="Arial"/>
                <w:sz w:val="18"/>
              </w:rPr>
              <w:t xml:space="preserve">Einleitung 631, davon 100 % Zielgröße</w:t>
            </w:r>
          </w:p>
        </w:tc>
        <w:tc>
          <w:tcPr>
            <w:shd w:val="clear" w:color="auto" w:fill="EEF3F9"/>
          </w:tcPr>
          <w:p>
            <w:pPr>
              <w:pStyle w:val="Compact"/>
              <w:jc w:val="left"/>
            </w:pPr>
            <w:r>
              <w:rPr>
                <w:rFonts w:ascii="Arial" w:hAnsi="Arial"/>
                <w:sz w:val="18"/>
              </w:rPr>
              <w:t xml:space="preserve">18,1 %</w:t>
            </w:r>
          </w:p>
        </w:tc>
        <w:tc>
          <w:tcPr>
            <w:shd w:val="clear" w:color="auto" w:fill="EEF3F9"/>
          </w:tcPr>
          <w:p>
            <w:pPr>
              <w:pStyle w:val="Compact"/>
              <w:jc w:val="left"/>
            </w:pPr>
            <w:r>
              <w:rPr>
                <w:rFonts w:ascii="Arial" w:hAnsi="Arial"/>
                <w:sz w:val="18"/>
              </w:rPr>
              <w:t xml:space="preserve">begründen, dass der Test die Fähigkeit erfasst und welche Gütedaten fehlen</w:t>
            </w:r>
          </w:p>
        </w:tc>
      </w:tr>
      <w:tr>
        <w:tc>
          <w:tcPr/>
          <w:p>
            <w:pPr>
              <w:pStyle w:val="Compact"/>
              <w:jc w:val="left"/>
            </w:pPr>
            <w:r>
              <w:rPr>
                <w:rFonts w:ascii="Arial" w:hAnsi="Arial"/>
                <w:sz w:val="18"/>
              </w:rPr>
              <w:t xml:space="preserve">Anforderungsprofil (8)</w:t>
            </w:r>
          </w:p>
        </w:tc>
        <w:tc>
          <w:tcPr/>
          <w:p>
            <w:pPr>
              <w:pStyle w:val="Compact"/>
              <w:jc w:val="left"/>
            </w:pPr>
            <w:r>
              <w:rPr>
                <w:rFonts w:ascii="Arial" w:hAnsi="Arial"/>
                <w:sz w:val="18"/>
              </w:rPr>
              <w:t xml:space="preserve">ja 5, teilweise 3</w:t>
            </w:r>
          </w:p>
        </w:tc>
        <w:tc>
          <w:tcPr/>
          <w:p>
            <w:pPr>
              <w:pStyle w:val="Compact"/>
              <w:jc w:val="left"/>
            </w:pPr>
            <w:r>
              <w:rPr>
                <w:rFonts w:ascii="Arial" w:hAnsi="Arial"/>
                <w:sz w:val="18"/>
              </w:rPr>
              <w:t xml:space="preserve">Methodik: „Match Running Metrics“, „GPS Tracking“, „Notational Analysis“</w:t>
            </w:r>
          </w:p>
        </w:tc>
        <w:tc>
          <w:tcPr/>
          <w:p>
            <w:pPr>
              <w:pStyle w:val="Compact"/>
              <w:jc w:val="left"/>
            </w:pPr>
            <w:r>
              <w:rPr>
                <w:rFonts w:ascii="Arial" w:hAnsi="Arial"/>
                <w:sz w:val="18"/>
              </w:rPr>
              <w:t xml:space="preserve">462 (172–995)</w:t>
            </w:r>
          </w:p>
        </w:tc>
        <w:tc>
          <w:tcPr/>
          <w:p>
            <w:pPr>
              <w:pStyle w:val="Compact"/>
              <w:jc w:val="left"/>
            </w:pPr>
            <w:r>
              <w:rPr>
                <w:rFonts w:ascii="Arial" w:hAnsi="Arial"/>
                <w:sz w:val="18"/>
              </w:rPr>
              <w:t xml:space="preserve">10,6 %</w:t>
            </w:r>
          </w:p>
        </w:tc>
        <w:tc>
          <w:tcPr/>
          <w:p>
            <w:pPr>
              <w:pStyle w:val="Compact"/>
              <w:jc w:val="left"/>
            </w:pPr>
            <w:r>
              <w:rPr>
                <w:rFonts w:ascii="Arial" w:hAnsi="Arial"/>
                <w:sz w:val="18"/>
              </w:rPr>
              <w:t xml:space="preserve">Messgrößen und Schwellen des Spiels festlegen</w:t>
            </w:r>
          </w:p>
        </w:tc>
      </w:tr>
      <w:tr>
        <w:tc>
          <w:tcPr>
            <w:shd w:val="clear" w:color="auto" w:fill="EEF3F9"/>
          </w:tcPr>
          <w:p>
            <w:pPr>
              <w:pStyle w:val="Compact"/>
              <w:jc w:val="left"/>
            </w:pPr>
            <w:r>
              <w:rPr>
                <w:rFonts w:ascii="Arial" w:hAnsi="Arial"/>
                <w:sz w:val="18"/>
              </w:rPr>
              <w:t xml:space="preserve">Detraining und Übergang (5)</w:t>
            </w:r>
          </w:p>
        </w:tc>
        <w:tc>
          <w:tcPr>
            <w:shd w:val="clear" w:color="auto" w:fill="EEF3F9"/>
          </w:tcPr>
          <w:p>
            <w:pPr>
              <w:pStyle w:val="Compact"/>
              <w:jc w:val="left"/>
            </w:pPr>
            <w:r>
              <w:rPr>
                <w:rFonts w:ascii="Arial" w:hAnsi="Arial"/>
                <w:sz w:val="18"/>
              </w:rPr>
              <w:t xml:space="preserve">teilweise 4, ja 1</w:t>
            </w:r>
          </w:p>
        </w:tc>
        <w:tc>
          <w:tcPr>
            <w:shd w:val="clear" w:color="auto" w:fill="EEF3F9"/>
          </w:tcPr>
          <w:p>
            <w:pPr>
              <w:pStyle w:val="Compact"/>
              <w:jc w:val="left"/>
            </w:pPr>
            <w:r>
              <w:rPr>
                <w:rFonts w:ascii="Arial" w:hAnsi="Arial"/>
                <w:sz w:val="18"/>
              </w:rPr>
              <w:t xml:space="preserve">PICO oder Befundabschnitt</w:t>
            </w:r>
          </w:p>
        </w:tc>
        <w:tc>
          <w:tcPr>
            <w:shd w:val="clear" w:color="auto" w:fill="EEF3F9"/>
          </w:tcPr>
          <w:p>
            <w:pPr>
              <w:pStyle w:val="Compact"/>
              <w:jc w:val="left"/>
            </w:pPr>
            <w:r>
              <w:rPr>
                <w:rFonts w:ascii="Arial" w:hAnsi="Arial"/>
                <w:sz w:val="18"/>
              </w:rPr>
              <w:t xml:space="preserve">147 (33–516)</w:t>
            </w:r>
          </w:p>
        </w:tc>
        <w:tc>
          <w:tcPr>
            <w:shd w:val="clear" w:color="auto" w:fill="EEF3F9"/>
          </w:tcPr>
          <w:p>
            <w:pPr>
              <w:pStyle w:val="Compact"/>
              <w:jc w:val="left"/>
            </w:pPr>
            <w:r>
              <w:rPr>
                <w:rFonts w:ascii="Arial" w:hAnsi="Arial"/>
                <w:sz w:val="18"/>
              </w:rPr>
              <w:t xml:space="preserve">4,3 %</w:t>
            </w:r>
          </w:p>
        </w:tc>
        <w:tc>
          <w:tcPr>
            <w:shd w:val="clear" w:color="auto" w:fill="EEF3F9"/>
          </w:tcPr>
          <w:p>
            <w:pPr>
              <w:pStyle w:val="Compact"/>
              <w:jc w:val="left"/>
            </w:pPr>
            <w:r>
              <w:rPr>
                <w:rFonts w:ascii="Arial" w:hAnsi="Arial"/>
                <w:sz w:val="18"/>
              </w:rPr>
              <w:t xml:space="preserve">Zielgrößen als Kategorien des Leistungsverlusts</w:t>
            </w:r>
          </w:p>
        </w:tc>
      </w:tr>
    </w:tbl>
    <w:p>
      <w:pPr>
        <w:pStyle w:val="BodyText"/>
      </w:pPr>
      <w:r>
        <w:rPr>
          <w:bCs/>
          <w:rFonts w:ascii="Arial" w:hAnsi="Arial"/>
          <w:b/>
        </w:rPr>
        <w:t xml:space="preserve">Interventionskorpus einzeln</w:t>
      </w:r>
      <w:r>
        <w:rPr>
          <w:rFonts w:ascii="Arial" w:hAnsi="Arial"/>
        </w:rPr>
        <w:t xml:space="preserve"> </w:t>
      </w:r>
      <w:r>
        <w:rPr>
          <w:rFonts w:ascii="Arial" w:hAnsi="Arial"/>
        </w:rPr>
        <w:t xml:space="preserve">(Wörter als Absatztext, Anteil am Haupttext)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08"/>
        <w:gridCol w:w="3009"/>
        <w:gridCol w:w="712"/>
        <w:gridCol w:w="712"/>
        <w:gridCol w:w="1188"/>
        <w:gridCol w:w="1188"/>
      </w:tblGrid>
      <w:tr>
        <w:trPr>
          <w:tblHeader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Titel des Testteils (wörtlich)</w:t>
            </w:r>
          </w:p>
        </w:tc>
        <w:tc>
          <w:tcPr>
            <w:shd w:val="clear" w:color="auto" w:fill="D6E4F0"/>
          </w:tcPr>
          <w:p>
            <w:pPr>
              <w:pStyle w:val="Compact"/>
              <w:jc w:val="left"/>
            </w:pPr>
            <w:r>
              <w:rPr>
                <w:rFonts w:ascii="Arial" w:hAnsi="Arial"/>
                <w:b/>
                <w:sz w:val="18"/>
              </w:rPr>
              <w:t xml:space="preserve">Wörter</w:t>
            </w:r>
          </w:p>
        </w:tc>
        <w:tc>
          <w:tcPr>
            <w:shd w:val="clear" w:color="auto" w:fill="D6E4F0"/>
          </w:tcPr>
          <w:p>
            <w:pPr>
              <w:pStyle w:val="Compact"/>
              <w:jc w:val="left"/>
            </w:pPr>
            <w:r>
              <w:rPr>
                <w:rFonts w:ascii="Arial" w:hAnsi="Arial"/>
                <w:b/>
                <w:sz w:val="18"/>
              </w:rPr>
              <w:t xml:space="preserve">Anteil</w:t>
            </w:r>
          </w:p>
        </w:tc>
        <w:tc>
          <w:tcPr>
            <w:shd w:val="clear" w:color="auto" w:fill="D6E4F0"/>
          </w:tcPr>
          <w:p>
            <w:pPr>
              <w:pStyle w:val="Compact"/>
              <w:jc w:val="left"/>
            </w:pPr>
            <w:r>
              <w:rPr>
                <w:rFonts w:ascii="Arial" w:hAnsi="Arial"/>
                <w:b/>
                <w:sz w:val="18"/>
              </w:rPr>
              <w:t xml:space="preserve">Zielgrößensätze in der Einleitung</w:t>
            </w:r>
          </w:p>
        </w:tc>
        <w:tc>
          <w:tcPr>
            <w:shd w:val="clear" w:color="auto" w:fill="D6E4F0"/>
          </w:tcPr>
          <w:p>
            <w:pPr>
              <w:pStyle w:val="Compact"/>
              <w:jc w:val="left"/>
            </w:pPr>
            <w:r>
              <w:rPr>
                <w:rFonts w:ascii="Arial" w:hAnsi="Arial"/>
                <w:b/>
                <w:sz w:val="18"/>
              </w:rPr>
              <w:t xml:space="preserve">Relevanzsatz in der Diskussion</w:t>
            </w:r>
          </w:p>
        </w:tc>
      </w:tr>
      <w:t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Testing Procedures (Anthropometrics, Jump Protocols, Sprinting Protocols)</w:t>
            </w:r>
          </w:p>
        </w:tc>
        <w:tc>
          <w:tcPr/>
          <w:p>
            <w:pPr>
              <w:pStyle w:val="Compact"/>
              <w:jc w:val="left"/>
            </w:pPr>
            <w:r>
              <w:rPr>
                <w:rFonts w:ascii="Arial" w:hAnsi="Arial"/>
                <w:sz w:val="18"/>
              </w:rPr>
              <w:t xml:space="preserve">509</w:t>
            </w:r>
          </w:p>
        </w:tc>
        <w:tc>
          <w:tcPr/>
          <w:p>
            <w:pPr>
              <w:pStyle w:val="Compact"/>
              <w:jc w:val="left"/>
            </w:pPr>
            <w:r>
              <w:rPr>
                <w:rFonts w:ascii="Arial" w:hAnsi="Arial"/>
                <w:sz w:val="18"/>
              </w:rPr>
              <w:t xml:space="preserve">13,0 %</w:t>
            </w:r>
          </w:p>
        </w:tc>
        <w:tc>
          <w:tcPr/>
          <w:p>
            <w:pPr>
              <w:pStyle w:val="Compact"/>
              <w:jc w:val="left"/>
            </w:pPr>
            <w:r>
              <w:rPr>
                <w:rFonts w:ascii="Arial" w:hAnsi="Arial"/>
                <w:sz w:val="18"/>
              </w:rPr>
              <w:t xml:space="preserve">46</w:t>
            </w:r>
          </w:p>
        </w:tc>
        <w:tc>
          <w:tcPr/>
          <w:p>
            <w:pPr>
              <w:pStyle w:val="Compact"/>
              <w:jc w:val="left"/>
            </w:pPr>
            <w:r>
              <w:rPr>
                <w:rFonts w:ascii="Arial" w:hAnsi="Arial"/>
                <w:sz w:val="18"/>
              </w:rPr>
              <w:t xml:space="preserve">nein</w:t>
            </w:r>
          </w:p>
        </w:tc>
      </w:tr>
      <w:t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Procedures and evaluation, nach Testtagen</w:t>
            </w:r>
          </w:p>
        </w:tc>
        <w:tc>
          <w:tcPr>
            <w:shd w:val="clear" w:color="auto" w:fill="EEF3F9"/>
          </w:tcPr>
          <w:p>
            <w:pPr>
              <w:pStyle w:val="Compact"/>
              <w:jc w:val="left"/>
            </w:pPr>
            <w:r>
              <w:rPr>
                <w:rFonts w:ascii="Arial" w:hAnsi="Arial"/>
                <w:sz w:val="18"/>
              </w:rPr>
              <w:t xml:space="preserve">1.061</w:t>
            </w:r>
          </w:p>
        </w:tc>
        <w:tc>
          <w:tcPr>
            <w:shd w:val="clear" w:color="auto" w:fill="EEF3F9"/>
          </w:tcPr>
          <w:p>
            <w:pPr>
              <w:pStyle w:val="Compact"/>
              <w:jc w:val="left"/>
            </w:pPr>
            <w:r>
              <w:rPr>
                <w:rFonts w:ascii="Arial" w:hAnsi="Arial"/>
                <w:sz w:val="18"/>
              </w:rPr>
              <w:t xml:space="preserve">25,6 %</w:t>
            </w:r>
          </w:p>
        </w:tc>
        <w:tc>
          <w:tcPr>
            <w:shd w:val="clear" w:color="auto" w:fill="EEF3F9"/>
          </w:tcPr>
          <w:p>
            <w:pPr>
              <w:pStyle w:val="Compact"/>
              <w:jc w:val="left"/>
            </w:pPr>
            <w:r>
              <w:rPr>
                <w:rFonts w:ascii="Arial" w:hAnsi="Arial"/>
                <w:sz w:val="18"/>
              </w:rPr>
              <w:t xml:space="preserve">287</w:t>
            </w:r>
          </w:p>
        </w:tc>
        <w:tc>
          <w:tcPr>
            <w:shd w:val="clear" w:color="auto" w:fill="EEF3F9"/>
          </w:tcPr>
          <w:p>
            <w:pPr>
              <w:pStyle w:val="Compact"/>
              <w:jc w:val="left"/>
            </w:pPr>
            <w:r>
              <w:rPr>
                <w:rFonts w:ascii="Arial" w:hAnsi="Arial"/>
                <w:sz w:val="18"/>
              </w:rPr>
              <w:t xml:space="preserve">nein</w:t>
            </w:r>
          </w:p>
        </w:tc>
      </w:tr>
      <w:t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ohne Titel, in „Design and training protocol“</w:t>
            </w:r>
          </w:p>
        </w:tc>
        <w:tc>
          <w:tcPr/>
          <w:p>
            <w:pPr>
              <w:pStyle w:val="Compact"/>
              <w:jc w:val="left"/>
            </w:pPr>
            <w:r>
              <w:rPr>
                <w:rFonts w:ascii="Arial" w:hAnsi="Arial"/>
                <w:sz w:val="18"/>
              </w:rPr>
              <w:t xml:space="preserve">534</w:t>
            </w:r>
          </w:p>
        </w:tc>
        <w:tc>
          <w:tcPr/>
          <w:p>
            <w:pPr>
              <w:pStyle w:val="Compact"/>
              <w:jc w:val="left"/>
            </w:pPr>
            <w:r>
              <w:rPr>
                <w:rFonts w:ascii="Arial" w:hAnsi="Arial"/>
                <w:sz w:val="18"/>
              </w:rPr>
              <w:t xml:space="preserve">14,9 %</w:t>
            </w:r>
          </w:p>
        </w:tc>
        <w:tc>
          <w:tcPr/>
          <w:p>
            <w:pPr>
              <w:pStyle w:val="Compact"/>
              <w:jc w:val="left"/>
            </w:pPr>
            <w:r>
              <w:rPr>
                <w:rFonts w:ascii="Arial" w:hAnsi="Arial"/>
                <w:sz w:val="18"/>
              </w:rPr>
              <w:t xml:space="preserve">97</w:t>
            </w:r>
          </w:p>
        </w:tc>
        <w:tc>
          <w:tcPr/>
          <w:p>
            <w:pPr>
              <w:pStyle w:val="Compact"/>
              <w:jc w:val="left"/>
            </w:pPr>
            <w:r>
              <w:rPr>
                <w:rFonts w:ascii="Arial" w:hAnsi="Arial"/>
                <w:sz w:val="18"/>
              </w:rPr>
              <w:t xml:space="preserve">teilweise</w:t>
            </w:r>
          </w:p>
        </w:tc>
      </w:tr>
      <w:t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ein Titel je Test</w:t>
            </w:r>
          </w:p>
        </w:tc>
        <w:tc>
          <w:tcPr>
            <w:shd w:val="clear" w:color="auto" w:fill="EEF3F9"/>
          </w:tcPr>
          <w:p>
            <w:pPr>
              <w:pStyle w:val="Compact"/>
              <w:jc w:val="left"/>
            </w:pPr>
            <w:r>
              <w:rPr>
                <w:rFonts w:ascii="Arial" w:hAnsi="Arial"/>
                <w:sz w:val="18"/>
              </w:rPr>
              <w:t xml:space="preserve">638</w:t>
            </w:r>
          </w:p>
        </w:tc>
        <w:tc>
          <w:tcPr>
            <w:shd w:val="clear" w:color="auto" w:fill="EEF3F9"/>
          </w:tcPr>
          <w:p>
            <w:pPr>
              <w:pStyle w:val="Compact"/>
              <w:jc w:val="left"/>
            </w:pPr>
            <w:r>
              <w:rPr>
                <w:rFonts w:ascii="Arial" w:hAnsi="Arial"/>
                <w:sz w:val="18"/>
              </w:rPr>
              <w:t xml:space="preserve">16,9 %</w:t>
            </w:r>
          </w:p>
        </w:tc>
        <w:tc>
          <w:tcPr>
            <w:shd w:val="clear" w:color="auto" w:fill="EEF3F9"/>
          </w:tcPr>
          <w:p>
            <w:pPr>
              <w:pStyle w:val="Compact"/>
              <w:jc w:val="left"/>
            </w:pPr>
            <w:r>
              <w:rPr>
                <w:rFonts w:ascii="Arial" w:hAnsi="Arial"/>
                <w:sz w:val="18"/>
              </w:rPr>
              <w:t xml:space="preserve">90</w:t>
            </w:r>
          </w:p>
        </w:tc>
        <w:tc>
          <w:tcPr>
            <w:shd w:val="clear" w:color="auto" w:fill="EEF3F9"/>
          </w:tcPr>
          <w:p>
            <w:pPr>
              <w:pStyle w:val="Compact"/>
              <w:jc w:val="left"/>
            </w:pPr>
            <w:r>
              <w:rPr>
                <w:rFonts w:ascii="Arial" w:hAnsi="Arial"/>
                <w:sz w:val="18"/>
              </w:rPr>
              <w:t xml:space="preserve">ja</w:t>
            </w:r>
          </w:p>
        </w:tc>
      </w:tr>
      <w:t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2.3 bis 2.9, ein Titel je Test</w:t>
            </w:r>
          </w:p>
        </w:tc>
        <w:tc>
          <w:tcPr/>
          <w:p>
            <w:pPr>
              <w:pStyle w:val="Compact"/>
              <w:jc w:val="left"/>
            </w:pPr>
            <w:r>
              <w:rPr>
                <w:rFonts w:ascii="Arial" w:hAnsi="Arial"/>
                <w:sz w:val="18"/>
              </w:rPr>
              <w:t xml:space="preserve">693</w:t>
            </w:r>
          </w:p>
        </w:tc>
        <w:tc>
          <w:tcPr/>
          <w:p>
            <w:pPr>
              <w:pStyle w:val="Compact"/>
              <w:jc w:val="left"/>
            </w:pPr>
            <w:r>
              <w:rPr>
                <w:rFonts w:ascii="Arial" w:hAnsi="Arial"/>
                <w:sz w:val="18"/>
              </w:rPr>
              <w:t xml:space="preserve">15,9 %</w:t>
            </w:r>
          </w:p>
        </w:tc>
        <w:tc>
          <w:tcPr/>
          <w:p>
            <w:pPr>
              <w:pStyle w:val="Compact"/>
              <w:jc w:val="left"/>
            </w:pPr>
            <w:r>
              <w:rPr>
                <w:rFonts w:ascii="Arial" w:hAnsi="Arial"/>
                <w:sz w:val="18"/>
              </w:rPr>
              <w:t xml:space="preserve">192</w:t>
            </w:r>
          </w:p>
        </w:tc>
        <w:tc>
          <w:tcPr/>
          <w:p>
            <w:pPr>
              <w:pStyle w:val="Compact"/>
              <w:jc w:val="left"/>
            </w:pPr>
            <w:r>
              <w:rPr>
                <w:rFonts w:ascii="Arial" w:hAnsi="Arial"/>
                <w:sz w:val="18"/>
              </w:rPr>
              <w:t xml:space="preserve">teilweise</w:t>
            </w:r>
          </w:p>
        </w:tc>
      </w:tr>
      <w:t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Testing Schedule, Tests nur per Verweis</w:t>
            </w:r>
          </w:p>
        </w:tc>
        <w:tc>
          <w:tcPr>
            <w:shd w:val="clear" w:color="auto" w:fill="EEF3F9"/>
          </w:tcPr>
          <w:p>
            <w:pPr>
              <w:pStyle w:val="Compact"/>
              <w:jc w:val="left"/>
            </w:pPr>
            <w:r>
              <w:rPr>
                <w:rFonts w:ascii="Arial" w:hAnsi="Arial"/>
                <w:sz w:val="18"/>
              </w:rPr>
              <w:t xml:space="preserve">216</w:t>
            </w:r>
          </w:p>
        </w:tc>
        <w:tc>
          <w:tcPr>
            <w:shd w:val="clear" w:color="auto" w:fill="EEF3F9"/>
          </w:tcPr>
          <w:p>
            <w:pPr>
              <w:pStyle w:val="Compact"/>
              <w:jc w:val="left"/>
            </w:pPr>
            <w:r>
              <w:rPr>
                <w:rFonts w:ascii="Arial" w:hAnsi="Arial"/>
                <w:sz w:val="18"/>
              </w:rPr>
              <w:t xml:space="preserve">6,6 %</w:t>
            </w:r>
          </w:p>
        </w:tc>
        <w:tc>
          <w:tcPr>
            <w:shd w:val="clear" w:color="auto" w:fill="EEF3F9"/>
          </w:tcPr>
          <w:p>
            <w:pPr>
              <w:pStyle w:val="Compact"/>
              <w:jc w:val="left"/>
            </w:pPr>
            <w:r>
              <w:rPr>
                <w:rFonts w:ascii="Arial" w:hAnsi="Arial"/>
                <w:sz w:val="18"/>
              </w:rPr>
              <w:t xml:space="preserve">189</w:t>
            </w:r>
          </w:p>
        </w:tc>
        <w:tc>
          <w:tcPr>
            <w:shd w:val="clear" w:color="auto" w:fill="EEF3F9"/>
          </w:tcPr>
          <w:p>
            <w:pPr>
              <w:pStyle w:val="Compact"/>
              <w:jc w:val="left"/>
            </w:pPr>
            <w:r>
              <w:rPr>
                <w:rFonts w:ascii="Arial" w:hAnsi="Arial"/>
                <w:sz w:val="18"/>
              </w:rPr>
              <w:t xml:space="preserve">teilweise</w:t>
            </w:r>
          </w:p>
        </w:tc>
      </w:tr>
      <w:t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Physical fitness assessments</w:t>
            </w:r>
          </w:p>
        </w:tc>
        <w:tc>
          <w:tcPr/>
          <w:p>
            <w:pPr>
              <w:pStyle w:val="Compact"/>
              <w:jc w:val="left"/>
            </w:pPr>
            <w:r>
              <w:rPr>
                <w:rFonts w:ascii="Arial" w:hAnsi="Arial"/>
                <w:sz w:val="18"/>
              </w:rPr>
              <w:t xml:space="preserve">526</w:t>
            </w:r>
          </w:p>
        </w:tc>
        <w:tc>
          <w:tcPr/>
          <w:p>
            <w:pPr>
              <w:pStyle w:val="Compact"/>
              <w:jc w:val="left"/>
            </w:pPr>
            <w:r>
              <w:rPr>
                <w:rFonts w:ascii="Arial" w:hAnsi="Arial"/>
                <w:sz w:val="18"/>
              </w:rPr>
              <w:t xml:space="preserve">12,1 %</w:t>
            </w:r>
          </w:p>
        </w:tc>
        <w:tc>
          <w:tcPr/>
          <w:p>
            <w:pPr>
              <w:pStyle w:val="Compact"/>
              <w:jc w:val="left"/>
            </w:pPr>
            <w:r>
              <w:rPr>
                <w:rFonts w:ascii="Arial" w:hAnsi="Arial"/>
                <w:sz w:val="18"/>
              </w:rPr>
              <w:t xml:space="preserve">88</w:t>
            </w:r>
          </w:p>
        </w:tc>
        <w:tc>
          <w:tcPr/>
          <w:p>
            <w:pPr>
              <w:pStyle w:val="Compact"/>
              <w:jc w:val="left"/>
            </w:pPr>
            <w:r>
              <w:rPr>
                <w:rFonts w:ascii="Arial" w:hAnsi="Arial"/>
                <w:sz w:val="18"/>
              </w:rPr>
              <w:t xml:space="preserve">nein</w:t>
            </w:r>
          </w:p>
        </w:tc>
      </w:tr>
      <w:t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Procedures, Kurztitel je Test</w:t>
            </w:r>
          </w:p>
        </w:tc>
        <w:tc>
          <w:tcPr>
            <w:shd w:val="clear" w:color="auto" w:fill="EEF3F9"/>
          </w:tcPr>
          <w:p>
            <w:pPr>
              <w:pStyle w:val="Compact"/>
              <w:jc w:val="left"/>
            </w:pPr>
            <w:r>
              <w:rPr>
                <w:rFonts w:ascii="Arial" w:hAnsi="Arial"/>
                <w:sz w:val="18"/>
              </w:rPr>
              <w:t xml:space="preserve">764</w:t>
            </w:r>
          </w:p>
        </w:tc>
        <w:tc>
          <w:tcPr>
            <w:shd w:val="clear" w:color="auto" w:fill="EEF3F9"/>
          </w:tcPr>
          <w:p>
            <w:pPr>
              <w:pStyle w:val="Compact"/>
              <w:jc w:val="left"/>
            </w:pPr>
            <w:r>
              <w:rPr>
                <w:rFonts w:ascii="Arial" w:hAnsi="Arial"/>
                <w:sz w:val="18"/>
              </w:rPr>
              <w:t xml:space="preserve">19,1 %</w:t>
            </w:r>
          </w:p>
        </w:tc>
        <w:tc>
          <w:tcPr>
            <w:shd w:val="clear" w:color="auto" w:fill="EEF3F9"/>
          </w:tcPr>
          <w:p>
            <w:pPr>
              <w:pStyle w:val="Compact"/>
              <w:jc w:val="left"/>
            </w:pPr>
            <w:r>
              <w:rPr>
                <w:rFonts w:ascii="Arial" w:hAnsi="Arial"/>
                <w:sz w:val="18"/>
              </w:rPr>
              <w:t xml:space="preserve">27</w:t>
            </w:r>
          </w:p>
        </w:tc>
        <w:tc>
          <w:tcPr>
            <w:shd w:val="clear" w:color="auto" w:fill="EEF3F9"/>
          </w:tcPr>
          <w:p>
            <w:pPr>
              <w:pStyle w:val="Compact"/>
              <w:jc w:val="left"/>
            </w:pPr>
            <w:r>
              <w:rPr>
                <w:rFonts w:ascii="Arial" w:hAnsi="Arial"/>
                <w:sz w:val="18"/>
              </w:rPr>
              <w:t xml:space="preserve">nein</w:t>
            </w:r>
          </w:p>
        </w:tc>
      </w:tr>
      <w:t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Physical fitness tests</w:t>
            </w:r>
          </w:p>
        </w:tc>
        <w:tc>
          <w:tcPr/>
          <w:p>
            <w:pPr>
              <w:pStyle w:val="Compact"/>
              <w:jc w:val="left"/>
            </w:pPr>
            <w:r>
              <w:rPr>
                <w:rFonts w:ascii="Arial" w:hAnsi="Arial"/>
                <w:sz w:val="18"/>
              </w:rPr>
              <w:t xml:space="preserve">518</w:t>
            </w:r>
          </w:p>
        </w:tc>
        <w:tc>
          <w:tcPr/>
          <w:p>
            <w:pPr>
              <w:pStyle w:val="Compact"/>
              <w:jc w:val="left"/>
            </w:pPr>
            <w:r>
              <w:rPr>
                <w:rFonts w:ascii="Arial" w:hAnsi="Arial"/>
                <w:sz w:val="18"/>
              </w:rPr>
              <w:t xml:space="preserve">11,3 %</w:t>
            </w:r>
          </w:p>
        </w:tc>
        <w:tc>
          <w:tcPr/>
          <w:p>
            <w:pPr>
              <w:pStyle w:val="Compact"/>
              <w:jc w:val="left"/>
            </w:pPr>
            <w:r>
              <w:rPr>
                <w:rFonts w:ascii="Arial" w:hAnsi="Arial"/>
                <w:sz w:val="18"/>
              </w:rPr>
              <w:t xml:space="preserve">366</w:t>
            </w:r>
          </w:p>
        </w:tc>
        <w:tc>
          <w:tcPr/>
          <w:p>
            <w:pPr>
              <w:pStyle w:val="Compact"/>
              <w:jc w:val="left"/>
            </w:pPr>
            <w:r>
              <w:rPr>
                <w:rFonts w:ascii="Arial" w:hAnsi="Arial"/>
                <w:sz w:val="18"/>
              </w:rPr>
              <w:t xml:space="preserve">ja</w:t>
            </w:r>
          </w:p>
        </w:tc>
      </w:tr>
      <w:t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Procedure und Measurements</w:t>
            </w:r>
          </w:p>
        </w:tc>
        <w:tc>
          <w:tcPr>
            <w:shd w:val="clear" w:color="auto" w:fill="EEF3F9"/>
          </w:tcPr>
          <w:p>
            <w:pPr>
              <w:pStyle w:val="Compact"/>
              <w:jc w:val="left"/>
            </w:pPr>
            <w:r>
              <w:rPr>
                <w:rFonts w:ascii="Arial" w:hAnsi="Arial"/>
                <w:sz w:val="18"/>
              </w:rPr>
              <w:t xml:space="preserve">820</w:t>
            </w:r>
          </w:p>
        </w:tc>
        <w:tc>
          <w:tcPr>
            <w:shd w:val="clear" w:color="auto" w:fill="EEF3F9"/>
          </w:tcPr>
          <w:p>
            <w:pPr>
              <w:pStyle w:val="Compact"/>
              <w:jc w:val="left"/>
            </w:pPr>
            <w:r>
              <w:rPr>
                <w:rFonts w:ascii="Arial" w:hAnsi="Arial"/>
                <w:sz w:val="18"/>
              </w:rPr>
              <w:t xml:space="preserve">14,8 %</w:t>
            </w:r>
          </w:p>
        </w:tc>
        <w:tc>
          <w:tcPr>
            <w:shd w:val="clear" w:color="auto" w:fill="EEF3F9"/>
          </w:tcPr>
          <w:p>
            <w:pPr>
              <w:pStyle w:val="Compact"/>
              <w:jc w:val="left"/>
            </w:pPr>
            <w:r>
              <w:rPr>
                <w:rFonts w:ascii="Arial" w:hAnsi="Arial"/>
                <w:sz w:val="18"/>
              </w:rPr>
              <w:t xml:space="preserve">198</w:t>
            </w:r>
          </w:p>
        </w:tc>
        <w:tc>
          <w:tcPr>
            <w:shd w:val="clear" w:color="auto" w:fill="EEF3F9"/>
          </w:tcPr>
          <w:p>
            <w:pPr>
              <w:pStyle w:val="Compact"/>
              <w:jc w:val="left"/>
            </w:pPr>
            <w:r>
              <w:rPr>
                <w:rFonts w:ascii="Arial" w:hAnsi="Arial"/>
                <w:sz w:val="18"/>
              </w:rPr>
              <w:t xml:space="preserve">nein</w:t>
            </w:r>
          </w:p>
        </w:tc>
      </w:tr>
      <w:t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Procedures, Kurztitel je Test</w:t>
            </w:r>
          </w:p>
        </w:tc>
        <w:tc>
          <w:tcPr/>
          <w:p>
            <w:pPr>
              <w:pStyle w:val="Compact"/>
              <w:jc w:val="left"/>
            </w:pPr>
            <w:r>
              <w:rPr>
                <w:rFonts w:ascii="Arial" w:hAnsi="Arial"/>
                <w:sz w:val="18"/>
              </w:rPr>
              <w:t xml:space="preserve">826</w:t>
            </w:r>
          </w:p>
        </w:tc>
        <w:tc>
          <w:tcPr/>
          <w:p>
            <w:pPr>
              <w:pStyle w:val="Compact"/>
              <w:jc w:val="left"/>
            </w:pPr>
            <w:r>
              <w:rPr>
                <w:rFonts w:ascii="Arial" w:hAnsi="Arial"/>
                <w:sz w:val="18"/>
              </w:rPr>
              <w:t xml:space="preserve">20,8 %</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ja</w:t>
            </w:r>
          </w:p>
        </w:tc>
      </w:tr>
    </w:tbl>
    <w:p>
      <w:pPr>
        <w:pStyle w:val="BodyText"/>
      </w:pPr>
      <w:r>
        <w:rPr>
          <w:bCs/>
          <w:rFonts w:ascii="Arial" w:hAnsi="Arial"/>
          <w:b/>
        </w:rPr>
        <w:t xml:space="preserve">Inhalt des Testteils (n = 11):</w:t>
      </w:r>
      <w:r>
        <w:rPr>
          <w:rFonts w:ascii="Arial" w:hAnsi="Arial"/>
        </w:rPr>
        <w:t xml:space="preserve"> </w:t>
      </w:r>
      <w:r>
        <w:rPr>
          <w:rFonts w:ascii="Arial" w:hAnsi="Arial"/>
        </w:rPr>
        <w:t xml:space="preserve">Versuche und Pausen 11 · Protokoll 10 · Gerät 10 · Aggregationsregel 10 · Aufwärmen 10 · Protokollherkunft 10 · Testreihenfolge 7 · Familiarisierung 7 · eigene Reliabilität 7 · zitierte Reliabilität 5 · Validität 3 · Konstruktdefinition 2 · Begründung der Testwahl 1.</w:t>
      </w:r>
    </w:p>
    <w:p>
      <w:pPr>
        <w:pStyle w:val="BodyText"/>
      </w:pPr>
      <w:r>
        <w:rPr>
          <w:bCs/>
          <w:rFonts w:ascii="Arial" w:hAnsi="Arial"/>
          <w:b/>
        </w:rPr>
        <w:t xml:space="preserve">Gleicher Inhalt, anderer Titel (Hinweis):</w:t>
      </w:r>
    </w:p>
    <w:p>
      <w:pPr>
        <w:numPr>
          <w:ilvl w:val="0"/>
          <w:numId w:val="1002"/>
        </w:numPr>
        <w:pStyle w:val="Compact"/>
      </w:pPr>
      <w:r>
        <w:rPr>
          <w:rFonts w:ascii="Arial" w:hAnsi="Arial"/>
        </w:rPr>
        <w:t xml:space="preserve">Der Titel „Zielgrößen“ oder „Outcomes“ kommt als Abschnitt mit der Funktion von 2.4 nirgends vor. Das Gegenstück zu 4.4 heißt „Testing Procedures“, „Procedures and evaluation“, „Physical fitness assessments“ oder „tests“, „Procedure(s)“ mit „Measurements“, „Testing Schedule“, oder es fehlt ein Titel (Beato). Allgemeine Testbedingungen stehen oft im Design- oder Procedures-Abschnitt (Beato, Negra 2019, Hammami, Sammoud, bei Negra 2020 unter „2.2. Procedures“).</w:t>
      </w:r>
    </w:p>
    <w:p>
      <w:pPr>
        <w:numPr>
          <w:ilvl w:val="0"/>
          <w:numId w:val="1002"/>
        </w:numPr>
        <w:pStyle w:val="Compact"/>
      </w:pPr>
      <w:r>
        <w:rPr>
          <w:rFonts w:ascii="Arial" w:hAnsi="Arial"/>
        </w:rPr>
        <w:t xml:space="preserve">Übersichten legen die Zielgrößen unter „2.2.2.2 Outcome“ (Oliver 2024), „Outcome“ nur in Tab. 1 (Zheng 2025), „2.4 Data items“ (Ramirez-Campillo 2020), „Data extraction“ (Moran 2016, Ramirez-Campillo 2023), „Identification of the Independent Variables“ (Sáez de Villarreal 2009) oder „Inclusion Criteria“ (Behm 2017) fest.</w:t>
      </w:r>
    </w:p>
    <w:p>
      <w:pPr>
        <w:numPr>
          <w:ilvl w:val="0"/>
          <w:numId w:val="1002"/>
        </w:numPr>
        <w:pStyle w:val="Compact"/>
      </w:pPr>
      <w:r>
        <w:rPr>
          <w:rFonts w:ascii="Arial" w:hAnsi="Arial"/>
        </w:rPr>
        <w:t xml:space="preserve">Einen Theorieteil zur Diagnostik haben nur Arbeiten außerhalb des Korpus: „Defining agility“ und „Testing agility“ (Sheppard &amp; Young, 2006), „4.1 Horizontal Deceleration Assessment“ (McBurnie, Harper et al., 2022), ein Befundteil je Fitnesskomponente (Bianco et al., 2015) und „2. Literature Review“ (Rahman et al., 2021, nicht zitierfähig).</w:t>
      </w:r>
    </w:p>
    <w:p>
      <w:pPr>
        <w:numPr>
          <w:ilvl w:val="0"/>
          <w:numId w:val="1002"/>
        </w:numPr>
        <w:pStyle w:val="Compact"/>
      </w:pPr>
      <w:r>
        <w:rPr>
          <w:rFonts w:ascii="Arial" w:hAnsi="Arial"/>
        </w:rPr>
        <w:t xml:space="preserve">Die Begründung der Testwahl steht, wenn überhaupt, an unerwarteter Stelle: in der Diskussion („these tests were selected because they provided clear information about soccer’s physical demands“, Negra 2020, S. 624), im Designabschnitt („the following tests were selected“, Padrón-Cabo 2025) oder als Zweckangabe je Test im Testteil (Beato 2018, Liu 2024).</w:t>
      </w:r>
    </w:p>
    <w:bookmarkEnd w:id="22"/>
    <w:bookmarkStart w:id="23" w:name="argumentationsketten"/>
    <w:p>
      <w:pPr>
        <w:pStyle w:val="Heading2"/>
      </w:pPr>
      <w:r>
        <w:rPr>
          <w:rFonts w:ascii="Arial" w:hAnsi="Arial"/>
        </w:rPr>
        <w:t xml:space="preserve">3 Argumentationsketten</w:t>
      </w:r>
    </w:p>
    <w:p>
      <w:pPr>
        <w:pStyle w:val="FirstParagraph"/>
      </w:pPr>
      <w:r>
        <w:rPr>
          <w:bCs/>
          <w:rFonts w:ascii="Arial" w:hAnsi="Arial"/>
          <w:b/>
        </w:rPr>
        <w:t xml:space="preserve">3.1 Interventionsstudien, Einleitung.</w:t>
      </w:r>
      <w:r>
        <w:rPr>
          <w:rFonts w:ascii="Arial" w:hAnsi="Arial"/>
        </w:rPr>
        <w:t xml:space="preserve"> </w:t>
      </w:r>
      <w:r>
        <w:rPr>
          <w:rFonts w:ascii="Arial" w:hAnsi="Arial"/>
        </w:rPr>
        <w:t xml:space="preserve">Züge in n von 11: Z1 Spielanforderung 6 · Z2 Leistungsrelevanz 9 · Z3 Konstrukt 2 · Z4 Determinanten 2 · Z5 Trainierbarkeit 10 · Z6 Testwahl 3 · Z7 Messgüte 1 · Z8 Reife oder Saisonphase 4 · Z9 Lücke 5 · Z10 Zweck mit Zielgrößen 10.</w:t>
      </w:r>
    </w:p>
    <w:p>
      <w:pPr>
        <w:numPr>
          <w:ilvl w:val="0"/>
          <w:numId w:val="1003"/>
        </w:numPr>
        <w:pStyle w:val="Compact"/>
      </w:pPr>
      <w:r>
        <w:rPr>
          <w:rFonts w:ascii="Arial" w:hAnsi="Arial"/>
        </w:rPr>
        <w:t xml:space="preserve">Folge:</w:t>
      </w:r>
      <w:r>
        <w:rPr>
          <w:rFonts w:ascii="Arial" w:hAnsi="Arial"/>
        </w:rPr>
        <w:t xml:space="preserve"> </w:t>
      </w:r>
      <w:r>
        <w:rPr>
          <w:bCs/>
          <w:rFonts w:ascii="Arial" w:hAnsi="Arial"/>
          <w:b/>
        </w:rPr>
        <w:t xml:space="preserve">Z1 ↔ Z2 → Z5 → Z9 → Z10.</w:t>
      </w:r>
      <w:r>
        <w:rPr>
          <w:rFonts w:ascii="Arial" w:hAnsi="Arial"/>
        </w:rPr>
        <w:t xml:space="preserve"> </w:t>
      </w:r>
      <w:r>
        <w:rPr>
          <w:rFonts w:ascii="Arial" w:hAnsi="Arial"/>
        </w:rPr>
        <w:t xml:space="preserve">Sieben Einleitungen eröffnen mit Anforderung oder Leistungsrelevanz (Hammami, Beato, Negra 2019, Negra 2020, Aloui, Sammoud, Bouafif). Detrainingstudien setzen den Leistungsverlust an diese Stelle (Liu, Padrón-Cabo). Konstrukt, Testwahl und Messgüte fehlen fast ganz.</w:t>
      </w:r>
    </w:p>
    <w:p>
      <w:pPr>
        <w:numPr>
          <w:ilvl w:val="0"/>
          <w:numId w:val="1003"/>
        </w:numPr>
        <w:pStyle w:val="Compact"/>
      </w:pPr>
      <w:r>
        <w:rPr>
          <w:rFonts w:ascii="Arial" w:hAnsi="Arial"/>
        </w:rPr>
        <w:t xml:space="preserve">Musterkette (Sammoud 2024, S. 2): Anforderung („places considerable demands on players’ physical fitness, including muscle power, sprint speed, and change of direction [CoD] speed“) → Trennschärfe („can differentiate between soccer players of varying skill levels“) → Tabellenplatz → Gegenbefund → Zweck. Kürzeste vollständige Form: Negra 2020 (S. 620–621), Relevanz, Torsituationen, Trennschärfe und Selektion in 209 Wörtern.</w:t>
      </w:r>
    </w:p>
    <w:p>
      <w:pPr>
        <w:pStyle w:val="FirstParagraph"/>
      </w:pPr>
      <w:r>
        <w:rPr>
          <w:bCs/>
          <w:rFonts w:ascii="Arial" w:hAnsi="Arial"/>
          <w:b/>
        </w:rPr>
        <w:t xml:space="preserve">3.2 Diagnostikstudien, Einleitung.</w:t>
      </w:r>
      <w:r>
        <w:rPr>
          <w:rFonts w:ascii="Arial" w:hAnsi="Arial"/>
        </w:rPr>
        <w:t xml:space="preserve"> </w:t>
      </w:r>
      <w:r>
        <w:rPr>
          <w:rFonts w:ascii="Arial" w:hAnsi="Arial"/>
        </w:rPr>
        <w:t xml:space="preserve">Züge in n von 19: Z1 11 · Z2 18 · Z3 16 · Z6 18 · Z7 16 · Z9 16 · Z10 19 · Z5 nur 2.</w:t>
      </w:r>
    </w:p>
    <w:p>
      <w:pPr>
        <w:numPr>
          <w:ilvl w:val="0"/>
          <w:numId w:val="1004"/>
        </w:numPr>
        <w:pStyle w:val="Compact"/>
      </w:pPr>
      <w:r>
        <w:rPr>
          <w:rFonts w:ascii="Arial" w:hAnsi="Arial"/>
        </w:rPr>
        <w:t xml:space="preserve">Folge:</w:t>
      </w:r>
      <w:r>
        <w:rPr>
          <w:rFonts w:ascii="Arial" w:hAnsi="Arial"/>
        </w:rPr>
        <w:t xml:space="preserve"> </w:t>
      </w:r>
      <w:r>
        <w:rPr>
          <w:bCs/>
          <w:rFonts w:ascii="Arial" w:hAnsi="Arial"/>
          <w:b/>
        </w:rPr>
        <w:t xml:space="preserve">Relevanz in ein bis zwei Sätzen → Konstrukt und Abgrenzung → Test als verbreiteter Standard → Messgüte → Grenze oder Lücke → Zweck.</w:t>
      </w:r>
    </w:p>
    <w:p>
      <w:pPr>
        <w:numPr>
          <w:ilvl w:val="0"/>
          <w:numId w:val="1004"/>
        </w:numPr>
        <w:pStyle w:val="Compact"/>
      </w:pPr>
      <w:r>
        <w:rPr>
          <w:rFonts w:ascii="Arial" w:hAnsi="Arial"/>
        </w:rPr>
        <w:t xml:space="preserve">Richtungswechsel (Nimphius 2016, Dugdale 2020, Clarke): Agilität gegen Richtungswechselschnelligkeit nach Sheppard und Young → 505 verbreitet und reliabel → Gesamtzeit überwiegend Linearsprint → COD-Defizit.</w:t>
      </w:r>
    </w:p>
    <w:p>
      <w:pPr>
        <w:numPr>
          <w:ilvl w:val="0"/>
          <w:numId w:val="1004"/>
        </w:numPr>
        <w:pStyle w:val="Compact"/>
      </w:pPr>
      <w:r>
        <w:rPr>
          <w:rFonts w:ascii="Arial" w:hAnsi="Arial"/>
        </w:rPr>
        <w:t xml:space="preserve">Sprint (Ferguson 2024, Altmann 2015): Teilstrecken trennen Beschleunigung und Maximalgeschwindigkeit → Güte je Strecke → Lücke.</w:t>
      </w:r>
    </w:p>
    <w:p>
      <w:pPr>
        <w:numPr>
          <w:ilvl w:val="0"/>
          <w:numId w:val="1004"/>
        </w:numPr>
        <w:pStyle w:val="Compact"/>
      </w:pPr>
      <w:r>
        <w:rPr>
          <w:rFonts w:ascii="Arial" w:hAnsi="Arial"/>
        </w:rPr>
        <w:t xml:space="preserve">Sprung (Tomkinson 2021, ein Absatz): Definition → Praktikabilität und Verbreitung → Gesundheitsbezug → Konstruktvalidität → Reliabilität ohne Lerneffekt → Expertenempfehlung. Die Sprungstudien argumentieren über Gesundheit, sportliche Relevanz fehlt fast ganz.</w:t>
      </w:r>
    </w:p>
    <w:p>
      <w:pPr>
        <w:numPr>
          <w:ilvl w:val="0"/>
          <w:numId w:val="1004"/>
        </w:numPr>
        <w:pStyle w:val="Compact"/>
      </w:pPr>
      <w:r>
        <w:rPr>
          <w:rFonts w:ascii="Arial" w:hAnsi="Arial"/>
        </w:rPr>
        <w:t xml:space="preserve">Bianco et al. (2015) ordnen je Fitnesskomponente: Relevanz → Definition → Testoptionen → Güte → Praktikabilität.</w:t>
      </w:r>
      <w:r>
        <w:rPr>
          <w:rFonts w:ascii="Arial" w:hAnsi="Arial"/>
        </w:rPr>
        <w:t xml:space="preserve"> </w:t>
      </w:r>
      <w:r>
        <w:rPr>
          <w:bCs/>
          <w:rFonts w:ascii="Arial" w:hAnsi="Arial"/>
          <w:b/>
        </w:rPr>
        <w:t xml:space="preserve">Diese Folge braucht 2.4 je Zielgröße.</w:t>
      </w:r>
    </w:p>
    <w:p>
      <w:pPr>
        <w:pStyle w:val="FirstParagraph"/>
      </w:pPr>
      <w:r>
        <w:rPr>
          <w:bCs/>
          <w:rFonts w:ascii="Arial" w:hAnsi="Arial"/>
          <w:b/>
        </w:rPr>
        <w:t xml:space="preserve">3.3 Übersichten, Methodik.</w:t>
      </w:r>
      <w:r>
        <w:rPr>
          <w:rFonts w:ascii="Arial" w:hAnsi="Arial"/>
        </w:rPr>
        <w:t xml:space="preserve"> </w:t>
      </w:r>
      <w:r>
        <w:rPr>
          <w:rFonts w:ascii="Arial" w:hAnsi="Arial"/>
        </w:rPr>
        <w:t xml:space="preserve">Zielgrößen werden nicht eingeführt, sondern festgelegt. Die Auswahllogik steht in einem Satz: „Outcome measures were selected to reflect jumping, sprinting, and change-of-direction capabilities, based on their proven reliability and strong relevance to the physical demands of soccer“ (Zheng et al., 2025, S. 5). Ramirez-Campillo et al. (2023, S. 5) nehmen je Studie „the test that is most representative of the respective outcome variable“. Oliver et al. (2024, S. 626) ordnen Beschleunigung 0–10 m, Sprintgeschwindigkeit 15–40 m und horizontale Sprungleistung zu. Diese Kategorien sind die Brücke zu 2.5, das die Effekte in genau diesen Kategorien berichtet.</w:t>
      </w:r>
    </w:p>
    <w:p>
      <w:pPr>
        <w:pStyle w:val="BodyText"/>
      </w:pPr>
      <w:r>
        <w:rPr>
          <w:bCs/>
          <w:rFonts w:ascii="Arial" w:hAnsi="Arial"/>
          <w:b/>
        </w:rPr>
        <w:t xml:space="preserve">3.4 Diskussion.</w:t>
      </w:r>
      <w:r>
        <w:rPr>
          <w:rFonts w:ascii="Arial" w:hAnsi="Arial"/>
        </w:rPr>
        <w:t xml:space="preserve"> </w:t>
      </w:r>
      <w:r>
        <w:rPr>
          <w:rFonts w:ascii="Arial" w:hAnsi="Arial"/>
        </w:rPr>
        <w:t xml:space="preserve">Sechs von elf Korpusstudien eröffnen den Absatz je Zielgröße ganz oder teilweise mit einem Relevanzsatz, etwa „CoD ability is a distinctive feature of performance in male soccer players“ (Sammoud 2024, S. 6). Für 6.1 reicht ein Halbsatz, weil 2.4 die Herleitung trägt.</w:t>
      </w:r>
    </w:p>
    <w:bookmarkEnd w:id="23"/>
    <w:bookmarkStart w:id="24" w:name="belegverfahren"/>
    <w:p>
      <w:pPr>
        <w:pStyle w:val="Heading2"/>
      </w:pPr>
      <w:r>
        <w:rPr>
          <w:rFonts w:ascii="Arial" w:hAnsi="Arial"/>
        </w:rPr>
        <w:t xml:space="preserve">4 Belegverfahren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475"/>
        <w:gridCol w:w="1188"/>
        <w:gridCol w:w="712"/>
        <w:gridCol w:w="712"/>
        <w:gridCol w:w="712"/>
        <w:gridCol w:w="2851"/>
        <w:gridCol w:w="1267"/>
      </w:tblGrid>
      <w:tr>
        <w:trPr>
          <w:tblHeader w:val="true"/>
        </w:trPr>
        <w:tc>
          <w:tcPr>
            <w:shd w:val="clear" w:color="auto" w:fill="D6E4F0"/>
          </w:tcPr>
          <w:p>
            <w:pPr>
              <w:pStyle w:val="Compact"/>
              <w:jc w:val="left"/>
            </w:pPr>
            <w:r>
              <w:rPr>
                <w:rFonts w:ascii="Arial" w:hAnsi="Arial"/>
                <w:b/>
                <w:sz w:val="18"/>
              </w:rPr>
              <w:t xml:space="preserve">Code</w:t>
            </w:r>
          </w:p>
        </w:tc>
        <w:tc>
          <w:tcPr>
            <w:shd w:val="clear" w:color="auto" w:fill="D6E4F0"/>
          </w:tcPr>
          <w:p>
            <w:pPr>
              <w:pStyle w:val="Compact"/>
              <w:jc w:val="left"/>
            </w:pPr>
            <w:r>
              <w:rPr>
                <w:rFonts w:ascii="Arial" w:hAnsi="Arial"/>
                <w:b/>
                <w:sz w:val="18"/>
              </w:rPr>
              <w:t xml:space="preserve">Verfahren</w:t>
            </w:r>
          </w:p>
        </w:tc>
        <w:tc>
          <w:tcPr>
            <w:shd w:val="clear" w:color="auto" w:fill="D6E4F0"/>
          </w:tcPr>
          <w:p>
            <w:pPr>
              <w:pStyle w:val="Compact"/>
              <w:jc w:val="left"/>
            </w:pPr>
            <w:r>
              <w:rPr>
                <w:rFonts w:ascii="Arial" w:hAnsi="Arial"/>
                <w:b/>
                <w:sz w:val="18"/>
              </w:rPr>
              <w:t xml:space="preserve">Einleitung Korpus (11)</w:t>
            </w:r>
          </w:p>
        </w:tc>
        <w:tc>
          <w:tcPr>
            <w:shd w:val="clear" w:color="auto" w:fill="D6E4F0"/>
          </w:tcPr>
          <w:p>
            <w:pPr>
              <w:pStyle w:val="Compact"/>
              <w:jc w:val="left"/>
            </w:pPr>
            <w:r>
              <w:rPr>
                <w:rFonts w:ascii="Arial" w:hAnsi="Arial"/>
                <w:b/>
                <w:sz w:val="18"/>
              </w:rPr>
              <w:t xml:space="preserve">Methodik Korpus (11)</w:t>
            </w:r>
          </w:p>
        </w:tc>
        <w:tc>
          <w:tcPr>
            <w:shd w:val="clear" w:color="auto" w:fill="D6E4F0"/>
          </w:tcPr>
          <w:p>
            <w:pPr>
              <w:pStyle w:val="Compact"/>
              <w:jc w:val="left"/>
            </w:pPr>
            <w:r>
              <w:rPr>
                <w:rFonts w:ascii="Arial" w:hAnsi="Arial"/>
                <w:b/>
                <w:sz w:val="18"/>
              </w:rPr>
              <w:t xml:space="preserve">Einleitung Diagnostik (19)</w:t>
            </w:r>
          </w:p>
        </w:tc>
        <w:tc>
          <w:tcPr>
            <w:shd w:val="clear" w:color="auto" w:fill="D6E4F0"/>
          </w:tcPr>
          <w:p>
            <w:pPr>
              <w:pStyle w:val="Compact"/>
              <w:jc w:val="left"/>
            </w:pPr>
            <w:r>
              <w:rPr>
                <w:rFonts w:ascii="Arial" w:hAnsi="Arial"/>
                <w:b/>
                <w:sz w:val="18"/>
              </w:rPr>
              <w:t xml:space="preserve">Stärke und Fallstrick</w:t>
            </w:r>
          </w:p>
        </w:tc>
        <w:tc>
          <w:tcPr>
            <w:shd w:val="clear" w:color="auto" w:fill="D6E4F0"/>
          </w:tcPr>
          <w:p>
            <w:pPr>
              <w:pStyle w:val="Compact"/>
              <w:jc w:val="left"/>
            </w:pPr>
            <w:r>
              <w:rPr>
                <w:rFonts w:ascii="Arial" w:hAnsi="Arial"/>
                <w:b/>
                <w:sz w:val="18"/>
              </w:rPr>
              <w:t xml:space="preserve">Ort bei uns</w:t>
            </w:r>
          </w:p>
        </w:tc>
      </w:tr>
      <w:tr>
        <w:tc>
          <w:tcPr/>
          <w:p>
            <w:pPr>
              <w:pStyle w:val="Compact"/>
              <w:jc w:val="left"/>
            </w:pPr>
            <w:r>
              <w:rPr>
                <w:rFonts w:ascii="Arial" w:hAnsi="Arial"/>
                <w:sz w:val="18"/>
              </w:rPr>
              <w:t xml:space="preserve">B1</w:t>
            </w:r>
          </w:p>
        </w:tc>
        <w:tc>
          <w:tcPr/>
          <w:p>
            <w:pPr>
              <w:pStyle w:val="Compact"/>
              <w:jc w:val="left"/>
            </w:pPr>
            <w:r>
              <w:rPr>
                <w:rFonts w:ascii="Arial" w:hAnsi="Arial"/>
                <w:sz w:val="18"/>
              </w:rPr>
              <w:t xml:space="preserve">Spielanforderung</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13</w:t>
            </w:r>
          </w:p>
        </w:tc>
        <w:tc>
          <w:tcPr/>
          <w:p>
            <w:pPr>
              <w:pStyle w:val="Compact"/>
              <w:jc w:val="left"/>
            </w:pPr>
            <w:r>
              <w:rPr>
                <w:rFonts w:ascii="Arial" w:hAnsi="Arial"/>
                <w:sz w:val="18"/>
              </w:rPr>
              <w:t xml:space="preserve">stark mit Übersicht zur Zielpopulation, oft mit alten Erwachsenendaten belegt (Bangsbo 1992, Mohr 2003, Stølen 2005)</w:t>
            </w:r>
          </w:p>
        </w:tc>
        <w:tc>
          <w:tcPr/>
          <w:p>
            <w:pPr>
              <w:pStyle w:val="Compact"/>
              <w:jc w:val="left"/>
            </w:pPr>
            <w:r>
              <w:rPr>
                <w:rFonts w:ascii="Arial" w:hAnsi="Arial"/>
                <w:sz w:val="18"/>
              </w:rPr>
              <w:t xml:space="preserve">2.4 Einstieg</w:t>
            </w:r>
          </w:p>
        </w:tc>
      </w:tr>
      <w:tr>
        <w:tc>
          <w:tcPr>
            <w:shd w:val="clear" w:color="auto" w:fill="EEF3F9"/>
          </w:tcPr>
          <w:p>
            <w:pPr>
              <w:pStyle w:val="Compact"/>
              <w:jc w:val="left"/>
            </w:pPr>
            <w:r>
              <w:rPr>
                <w:rFonts w:ascii="Arial" w:hAnsi="Arial"/>
                <w:sz w:val="18"/>
              </w:rPr>
              <w:t xml:space="preserve">B2</w:t>
            </w:r>
          </w:p>
        </w:tc>
        <w:tc>
          <w:tcPr>
            <w:shd w:val="clear" w:color="auto" w:fill="EEF3F9"/>
          </w:tcPr>
          <w:p>
            <w:pPr>
              <w:pStyle w:val="Compact"/>
              <w:jc w:val="left"/>
            </w:pPr>
            <w:r>
              <w:rPr>
                <w:rFonts w:ascii="Arial" w:hAnsi="Arial"/>
                <w:sz w:val="18"/>
              </w:rPr>
              <w:t xml:space="preserve">Leistungsrelevanz, Trennschärfe</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stärkstes Argument für die Wahl der Zielgröße, oft über Relais oder mit unpassender Quelle belegt</w:t>
            </w:r>
          </w:p>
        </w:tc>
        <w:tc>
          <w:tcPr>
            <w:shd w:val="clear" w:color="auto" w:fill="EEF3F9"/>
          </w:tcPr>
          <w:p>
            <w:pPr>
              <w:pStyle w:val="Compact"/>
              <w:jc w:val="left"/>
            </w:pPr>
            <w:r>
              <w:rPr>
                <w:rFonts w:ascii="Arial" w:hAnsi="Arial"/>
                <w:sz w:val="18"/>
              </w:rPr>
              <w:t xml:space="preserve">2.4 Einstieg</w:t>
            </w:r>
          </w:p>
        </w:tc>
      </w:tr>
      <w:tr>
        <w:tc>
          <w:tcPr/>
          <w:p>
            <w:pPr>
              <w:pStyle w:val="Compact"/>
              <w:jc w:val="left"/>
            </w:pPr>
            <w:r>
              <w:rPr>
                <w:rFonts w:ascii="Arial" w:hAnsi="Arial"/>
                <w:sz w:val="18"/>
              </w:rPr>
              <w:t xml:space="preserve">B3</w:t>
            </w:r>
          </w:p>
        </w:tc>
        <w:tc>
          <w:tcPr/>
          <w:p>
            <w:pPr>
              <w:pStyle w:val="Compact"/>
              <w:jc w:val="left"/>
            </w:pPr>
            <w:r>
              <w:rPr>
                <w:rFonts w:ascii="Arial" w:hAnsi="Arial"/>
                <w:sz w:val="18"/>
              </w:rPr>
              <w:t xml:space="preserve">Nähe zur Intervention</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Mechanismus</w:t>
            </w:r>
          </w:p>
        </w:tc>
        <w:tc>
          <w:tcPr/>
          <w:p>
            <w:pPr>
              <w:pStyle w:val="Compact"/>
              <w:jc w:val="left"/>
            </w:pPr>
            <w:r>
              <w:rPr>
                <w:rFonts w:ascii="Arial" w:hAnsi="Arial"/>
                <w:sz w:val="18"/>
              </w:rPr>
              <w:t xml:space="preserve">2.1</w:t>
            </w:r>
          </w:p>
        </w:tc>
      </w:tr>
      <w:tr>
        <w:tc>
          <w:tcPr>
            <w:shd w:val="clear" w:color="auto" w:fill="EEF3F9"/>
          </w:tcPr>
          <w:p>
            <w:pPr>
              <w:pStyle w:val="Compact"/>
              <w:jc w:val="left"/>
            </w:pPr>
            <w:r>
              <w:rPr>
                <w:rFonts w:ascii="Arial" w:hAnsi="Arial"/>
                <w:sz w:val="18"/>
              </w:rPr>
              <w:t xml:space="preserve">B4</w:t>
            </w:r>
          </w:p>
        </w:tc>
        <w:tc>
          <w:tcPr>
            <w:shd w:val="clear" w:color="auto" w:fill="EEF3F9"/>
          </w:tcPr>
          <w:p>
            <w:pPr>
              <w:pStyle w:val="Compact"/>
              <w:jc w:val="left"/>
            </w:pPr>
            <w:r>
              <w:rPr>
                <w:rFonts w:ascii="Arial" w:hAnsi="Arial"/>
                <w:sz w:val="18"/>
              </w:rPr>
              <w:t xml:space="preserve">Trainierbarkeit</w:t>
            </w:r>
          </w:p>
        </w:tc>
        <w:tc>
          <w:tcPr>
            <w:shd w:val="clear" w:color="auto" w:fill="EEF3F9"/>
          </w:tcPr>
          <w:p>
            <w:pPr>
              <w:pStyle w:val="Compact"/>
              <w:jc w:val="left"/>
            </w:pPr>
            <w:r>
              <w:rPr>
                <w:rFonts w:ascii="Arial" w:hAnsi="Arial"/>
                <w:sz w:val="18"/>
              </w:rPr>
              <w:t xml:space="preserve">11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Evidenz, keine Begründung der Zielgröße</w:t>
            </w:r>
          </w:p>
        </w:tc>
        <w:tc>
          <w:tcPr>
            <w:shd w:val="clear" w:color="auto" w:fill="EEF3F9"/>
          </w:tcPr>
          <w:p>
            <w:pPr>
              <w:pStyle w:val="Compact"/>
              <w:jc w:val="left"/>
            </w:pPr>
            <w:r>
              <w:rPr>
                <w:rFonts w:ascii="Arial" w:hAnsi="Arial"/>
                <w:sz w:val="18"/>
              </w:rPr>
              <w:t xml:space="preserve">2.5</w:t>
            </w:r>
          </w:p>
        </w:tc>
      </w:tr>
      <w:tr>
        <w:tc>
          <w:tcPr/>
          <w:p>
            <w:pPr>
              <w:pStyle w:val="Compact"/>
              <w:jc w:val="left"/>
            </w:pPr>
            <w:r>
              <w:rPr>
                <w:rFonts w:ascii="Arial" w:hAnsi="Arial"/>
                <w:sz w:val="18"/>
              </w:rPr>
              <w:t xml:space="preserve">B5</w:t>
            </w:r>
          </w:p>
        </w:tc>
        <w:tc>
          <w:tcPr/>
          <w:p>
            <w:pPr>
              <w:pStyle w:val="Compact"/>
              <w:jc w:val="left"/>
            </w:pPr>
            <w:r>
              <w:rPr>
                <w:rFonts w:ascii="Arial" w:hAnsi="Arial"/>
                <w:sz w:val="18"/>
              </w:rPr>
              <w:t xml:space="preserve">Reliabilität</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11</w:t>
            </w:r>
          </w:p>
        </w:tc>
        <w:tc>
          <w:tcPr/>
          <w:p>
            <w:pPr>
              <w:pStyle w:val="Compact"/>
              <w:jc w:val="left"/>
            </w:pPr>
            <w:r>
              <w:rPr>
                <w:rFonts w:ascii="Arial" w:hAnsi="Arial"/>
                <w:sz w:val="18"/>
              </w:rPr>
              <w:t xml:space="preserve">14</w:t>
            </w:r>
          </w:p>
        </w:tc>
        <w:tc>
          <w:tcPr/>
          <w:p>
            <w:pPr>
              <w:pStyle w:val="Compact"/>
              <w:jc w:val="left"/>
            </w:pPr>
            <w:r>
              <w:rPr>
                <w:rFonts w:ascii="Arial" w:hAnsi="Arial"/>
                <w:sz w:val="18"/>
              </w:rPr>
              <w:t xml:space="preserve">im Korpus meist eigene ICC, auf Übersichtsebene selten</w:t>
            </w:r>
          </w:p>
        </w:tc>
        <w:tc>
          <w:tcPr/>
          <w:p>
            <w:pPr>
              <w:pStyle w:val="Compact"/>
              <w:jc w:val="left"/>
            </w:pPr>
            <w:r>
              <w:rPr>
                <w:rFonts w:ascii="Arial" w:hAnsi="Arial"/>
                <w:sz w:val="18"/>
              </w:rPr>
              <w:t xml:space="preserve">2.4 nur aus Übersichten, eigene Werte 4.4 (Tab. 1)</w:t>
            </w:r>
          </w:p>
        </w:tc>
      </w:tr>
      <w:tr>
        <w:tc>
          <w:tcPr>
            <w:shd w:val="clear" w:color="auto" w:fill="EEF3F9"/>
          </w:tcPr>
          <w:p>
            <w:pPr>
              <w:pStyle w:val="Compact"/>
              <w:jc w:val="left"/>
            </w:pPr>
            <w:r>
              <w:rPr>
                <w:rFonts w:ascii="Arial" w:hAnsi="Arial"/>
                <w:sz w:val="18"/>
              </w:rPr>
              <w:t xml:space="preserve">B6</w:t>
            </w:r>
          </w:p>
        </w:tc>
        <w:tc>
          <w:tcPr>
            <w:shd w:val="clear" w:color="auto" w:fill="EEF3F9"/>
          </w:tcPr>
          <w:p>
            <w:pPr>
              <w:pStyle w:val="Compact"/>
              <w:jc w:val="left"/>
            </w:pPr>
            <w:r>
              <w:rPr>
                <w:rFonts w:ascii="Arial" w:hAnsi="Arial"/>
                <w:sz w:val="18"/>
              </w:rPr>
              <w:t xml:space="preserve">Validität</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15</w:t>
            </w:r>
          </w:p>
        </w:tc>
        <w:tc>
          <w:tcPr>
            <w:shd w:val="clear" w:color="auto" w:fill="EEF3F9"/>
          </w:tcPr>
          <w:p>
            <w:pPr>
              <w:pStyle w:val="Compact"/>
              <w:jc w:val="left"/>
            </w:pPr>
            <w:r>
              <w:rPr>
                <w:rFonts w:ascii="Arial" w:hAnsi="Arial"/>
                <w:sz w:val="18"/>
              </w:rPr>
              <w:t xml:space="preserve">meist Relais, für den 505 in Altmann (2019) ohne Validitätsbefund</w:t>
            </w:r>
          </w:p>
        </w:tc>
        <w:tc>
          <w:tcPr>
            <w:shd w:val="clear" w:color="auto" w:fill="EEF3F9"/>
          </w:tcPr>
          <w:p>
            <w:pPr>
              <w:pStyle w:val="Compact"/>
              <w:jc w:val="left"/>
            </w:pPr>
            <w:r>
              <w:rPr>
                <w:rFonts w:ascii="Arial" w:hAnsi="Arial"/>
                <w:sz w:val="18"/>
              </w:rPr>
              <w:t xml:space="preserve">2.4 nur wo belegt</w:t>
            </w:r>
          </w:p>
        </w:tc>
      </w:tr>
      <w:tr>
        <w:tc>
          <w:tcPr/>
          <w:p>
            <w:pPr>
              <w:pStyle w:val="Compact"/>
              <w:jc w:val="left"/>
            </w:pPr>
            <w:r>
              <w:rPr>
                <w:rFonts w:ascii="Arial" w:hAnsi="Arial"/>
                <w:sz w:val="18"/>
              </w:rPr>
              <w:t xml:space="preserve">B7</w:t>
            </w:r>
          </w:p>
        </w:tc>
        <w:tc>
          <w:tcPr/>
          <w:p>
            <w:pPr>
              <w:pStyle w:val="Compact"/>
              <w:jc w:val="left"/>
            </w:pPr>
            <w:r>
              <w:rPr>
                <w:rFonts w:ascii="Arial" w:hAnsi="Arial"/>
                <w:sz w:val="18"/>
              </w:rPr>
              <w:t xml:space="preserve">Verbreitung, Standardtest</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12</w:t>
            </w:r>
          </w:p>
        </w:tc>
        <w:tc>
          <w:tcPr/>
          <w:p>
            <w:pPr>
              <w:pStyle w:val="Compact"/>
              <w:jc w:val="left"/>
            </w:pPr>
            <w:r>
              <w:rPr>
                <w:rFonts w:ascii="Arial" w:hAnsi="Arial"/>
                <w:sz w:val="18"/>
              </w:rPr>
              <w:t xml:space="preserve">allein schwach, als Zusatz üblich</w:t>
            </w:r>
          </w:p>
        </w:tc>
        <w:tc>
          <w:tcPr/>
          <w:p>
            <w:pPr>
              <w:pStyle w:val="Compact"/>
              <w:jc w:val="left"/>
            </w:pPr>
            <w:r>
              <w:rPr>
                <w:rFonts w:ascii="Arial" w:hAnsi="Arial"/>
                <w:sz w:val="18"/>
              </w:rPr>
              <w:t xml:space="preserve">2.4, knapp</w:t>
            </w:r>
          </w:p>
        </w:tc>
      </w:tr>
      <w:tr>
        <w:tc>
          <w:tcPr>
            <w:shd w:val="clear" w:color="auto" w:fill="EEF3F9"/>
          </w:tcPr>
          <w:p>
            <w:pPr>
              <w:pStyle w:val="Compact"/>
              <w:jc w:val="left"/>
            </w:pPr>
            <w:r>
              <w:rPr>
                <w:rFonts w:ascii="Arial" w:hAnsi="Arial"/>
                <w:sz w:val="18"/>
              </w:rPr>
              <w:t xml:space="preserve">B8</w:t>
            </w:r>
          </w:p>
        </w:tc>
        <w:tc>
          <w:tcPr>
            <w:shd w:val="clear" w:color="auto" w:fill="EEF3F9"/>
          </w:tcPr>
          <w:p>
            <w:pPr>
              <w:pStyle w:val="Compact"/>
              <w:jc w:val="left"/>
            </w:pPr>
            <w:r>
              <w:rPr>
                <w:rFonts w:ascii="Arial" w:hAnsi="Arial"/>
                <w:sz w:val="18"/>
              </w:rPr>
              <w:t xml:space="preserve">Protokollherkunft</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Methodenbeleg</w:t>
            </w:r>
          </w:p>
        </w:tc>
        <w:tc>
          <w:tcPr>
            <w:shd w:val="clear" w:color="auto" w:fill="EEF3F9"/>
          </w:tcPr>
          <w:p>
            <w:pPr>
              <w:pStyle w:val="Compact"/>
              <w:jc w:val="left"/>
            </w:pPr>
            <w:r>
              <w:rPr>
                <w:rFonts w:ascii="Arial" w:hAnsi="Arial"/>
                <w:sz w:val="18"/>
              </w:rPr>
              <w:t xml:space="preserve">4.4</w:t>
            </w:r>
          </w:p>
        </w:tc>
      </w:tr>
      <w:tr>
        <w:tc>
          <w:tcPr/>
          <w:p>
            <w:pPr>
              <w:pStyle w:val="Compact"/>
              <w:jc w:val="left"/>
            </w:pPr>
            <w:r>
              <w:rPr>
                <w:rFonts w:ascii="Arial" w:hAnsi="Arial"/>
                <w:sz w:val="18"/>
              </w:rPr>
              <w:t xml:space="preserve">B9</w:t>
            </w:r>
          </w:p>
        </w:tc>
        <w:tc>
          <w:tcPr/>
          <w:p>
            <w:pPr>
              <w:pStyle w:val="Compact"/>
              <w:jc w:val="left"/>
            </w:pPr>
            <w:r>
              <w:rPr>
                <w:rFonts w:ascii="Arial" w:hAnsi="Arial"/>
                <w:sz w:val="18"/>
              </w:rPr>
              <w:t xml:space="preserve">Konstruktdefinition</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16</w:t>
            </w:r>
          </w:p>
        </w:tc>
        <w:tc>
          <w:tcPr/>
          <w:p>
            <w:pPr>
              <w:pStyle w:val="Compact"/>
              <w:jc w:val="left"/>
            </w:pPr>
            <w:r>
              <w:rPr>
                <w:rFonts w:ascii="Arial" w:hAnsi="Arial"/>
                <w:sz w:val="18"/>
              </w:rPr>
              <w:t xml:space="preserve">verbindet Fähigkeit und Test</w:t>
            </w:r>
          </w:p>
        </w:tc>
        <w:tc>
          <w:tcPr/>
          <w:p>
            <w:pPr>
              <w:pStyle w:val="Compact"/>
              <w:jc w:val="left"/>
            </w:pPr>
            <w:r>
              <w:rPr>
                <w:rFonts w:ascii="Arial" w:hAnsi="Arial"/>
                <w:sz w:val="18"/>
              </w:rPr>
              <w:t xml:space="preserve">2.4, Kern</w:t>
            </w:r>
          </w:p>
        </w:tc>
      </w:tr>
      <w:tr>
        <w:tc>
          <w:tcPr>
            <w:shd w:val="clear" w:color="auto" w:fill="EEF3F9"/>
          </w:tcPr>
          <w:p>
            <w:pPr>
              <w:pStyle w:val="Compact"/>
              <w:jc w:val="left"/>
            </w:pPr>
            <w:r>
              <w:rPr>
                <w:rFonts w:ascii="Arial" w:hAnsi="Arial"/>
                <w:sz w:val="18"/>
              </w:rPr>
              <w:t xml:space="preserve">B10</w:t>
            </w:r>
          </w:p>
        </w:tc>
        <w:tc>
          <w:tcPr>
            <w:shd w:val="clear" w:color="auto" w:fill="EEF3F9"/>
          </w:tcPr>
          <w:p>
            <w:pPr>
              <w:pStyle w:val="Compact"/>
              <w:jc w:val="left"/>
            </w:pPr>
            <w:r>
              <w:rPr>
                <w:rFonts w:ascii="Arial" w:hAnsi="Arial"/>
                <w:sz w:val="18"/>
              </w:rPr>
              <w:t xml:space="preserve">Praktikabilität, Feldtauglichkeit</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passt zum Feldsetting</w:t>
            </w:r>
          </w:p>
        </w:tc>
        <w:tc>
          <w:tcPr>
            <w:shd w:val="clear" w:color="auto" w:fill="EEF3F9"/>
          </w:tcPr>
          <w:p>
            <w:pPr>
              <w:pStyle w:val="Compact"/>
              <w:jc w:val="left"/>
            </w:pPr>
            <w:r>
              <w:rPr>
                <w:rFonts w:ascii="Arial" w:hAnsi="Arial"/>
                <w:sz w:val="18"/>
              </w:rPr>
              <w:t xml:space="preserve">2.4, Halbsatz</w:t>
            </w:r>
          </w:p>
        </w:tc>
      </w:tr>
      <w:tr>
        <w:tc>
          <w:tcPr/>
          <w:p>
            <w:pPr>
              <w:pStyle w:val="Compact"/>
              <w:jc w:val="left"/>
            </w:pPr>
            <w:r>
              <w:rPr>
                <w:rFonts w:ascii="Arial" w:hAnsi="Arial"/>
                <w:sz w:val="18"/>
              </w:rPr>
              <w:t xml:space="preserve">B11</w:t>
            </w:r>
          </w:p>
        </w:tc>
        <w:tc>
          <w:tcPr/>
          <w:p>
            <w:pPr>
              <w:pStyle w:val="Compact"/>
              <w:jc w:val="left"/>
            </w:pPr>
            <w:r>
              <w:rPr>
                <w:rFonts w:ascii="Arial" w:hAnsi="Arial"/>
                <w:sz w:val="18"/>
              </w:rPr>
              <w:t xml:space="preserve">Normwerte</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Einordnung der eigenen Werte</w:t>
            </w:r>
          </w:p>
        </w:tc>
        <w:tc>
          <w:tcPr/>
          <w:p>
            <w:pPr>
              <w:pStyle w:val="Compact"/>
              <w:jc w:val="left"/>
            </w:pPr>
            <w:r>
              <w:rPr>
                <w:rFonts w:ascii="Arial" w:hAnsi="Arial"/>
                <w:sz w:val="18"/>
              </w:rPr>
              <w:t xml:space="preserve">6.1</w:t>
            </w:r>
          </w:p>
        </w:tc>
      </w:tr>
      <w:tr>
        <w:tc>
          <w:tcPr>
            <w:shd w:val="clear" w:color="auto" w:fill="EEF3F9"/>
          </w:tcPr>
          <w:p>
            <w:pPr>
              <w:pStyle w:val="Compact"/>
              <w:jc w:val="left"/>
            </w:pPr>
            <w:r>
              <w:rPr>
                <w:rFonts w:ascii="Arial" w:hAnsi="Arial"/>
                <w:sz w:val="18"/>
              </w:rPr>
              <w:t xml:space="preserve">B12</w:t>
            </w:r>
          </w:p>
        </w:tc>
        <w:tc>
          <w:tcPr>
            <w:shd w:val="clear" w:color="auto" w:fill="EEF3F9"/>
          </w:tcPr>
          <w:p>
            <w:pPr>
              <w:pStyle w:val="Compact"/>
              <w:jc w:val="left"/>
            </w:pPr>
            <w:r>
              <w:rPr>
                <w:rFonts w:ascii="Arial" w:hAnsi="Arial"/>
                <w:sz w:val="18"/>
              </w:rPr>
              <w:t xml:space="preserve">Gesundheit, Verletzung</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nicht Thema der Arbeit</w:t>
            </w:r>
          </w:p>
        </w:tc>
        <w:tc>
          <w:tcPr>
            <w:shd w:val="clear" w:color="auto" w:fill="EEF3F9"/>
          </w:tcPr>
          <w:p>
            <w:pPr>
              <w:pStyle w:val="Compact"/>
              <w:jc w:val="left"/>
            </w:pPr>
            <w:r>
              <w:rPr>
                <w:rFonts w:ascii="Arial" w:hAnsi="Arial"/>
                <w:sz w:val="18"/>
              </w:rPr>
              <w:t xml:space="preserve">entfällt</w:t>
            </w:r>
          </w:p>
        </w:tc>
      </w:tr>
    </w:tbl>
    <w:p>
      <w:pPr>
        <w:pStyle w:val="BodyText"/>
      </w:pPr>
      <w:r>
        <w:rPr>
          <w:bCs/>
          <w:rFonts w:ascii="Arial" w:hAnsi="Arial"/>
          <w:b/>
        </w:rPr>
        <w:t xml:space="preserve">Quellenart in den Belegketten</w:t>
      </w:r>
      <w:r>
        <w:rPr>
          <w:rFonts w:ascii="Arial" w:hAnsi="Arial"/>
        </w:rPr>
        <w:t xml:space="preserve"> </w:t>
      </w:r>
      <w:r>
        <w:rPr>
          <w:rFonts w:ascii="Arial" w:hAnsi="Arial"/>
        </w:rPr>
        <w:t xml:space="preserve">(ohne Lücke und Zweck): Korpus 58 Belege, davon Primärstudien 31, Übersichten allein oder kombiniert 25, Positionspapier 1, ohne Beleg 1. Diagnostik 194 Belege, davon Primärstudien 86, Übersichten 52, Positionspapier oder Lehrbuch 19, ohne Beleg 37. Die Regel des Verfassers (Herleitung nur über Übersichten, F16 § 6.1, Präferenz 27.09.) ist strenger als der Korpus. Sie ist auch deshalb richtig, weil die Sichtung in neun Arbeiten Relevanz- oder Anforderungsbelege mit unpassender Quelle fand (§ 8 Nr. 4).</w:t>
      </w:r>
    </w:p>
    <w:bookmarkEnd w:id="24"/>
    <w:bookmarkStart w:id="25" w:name="bauplan-2.4"/>
    <w:p>
      <w:pPr>
        <w:pStyle w:val="Heading2"/>
      </w:pPr>
      <w:r>
        <w:rPr>
          <w:rFonts w:ascii="Arial" w:hAnsi="Arial"/>
        </w:rPr>
        <w:t xml:space="preserve">5 Bauplan 2.4</w:t>
      </w:r>
    </w:p>
    <w:p>
      <w:pPr>
        <w:pStyle w:val="FirstParagraph"/>
      </w:pPr>
      <w:r>
        <w:rPr>
          <w:bCs/>
          <w:rFonts w:ascii="Arial" w:hAnsi="Arial"/>
          <w:b/>
        </w:rPr>
        <w:t xml:space="preserve">Ziel:</w:t>
      </w:r>
      <w:r>
        <w:rPr>
          <w:rFonts w:ascii="Arial" w:hAnsi="Arial"/>
        </w:rPr>
        <w:t xml:space="preserve"> </w:t>
      </w:r>
      <w:r>
        <w:rPr>
          <w:rFonts w:ascii="Arial" w:hAnsi="Arial"/>
        </w:rPr>
        <w:t xml:space="preserve">2.4 begründet, warum Sprint-, Richtungswechsel- und Sprungleistung die Zielgrößen sind, legt fest, welche Fähigkeit jede abbildet, und zeigt, dass die gewählten Feldtests sie nach Übersichtsarbeiten zuverlässig erfassen.</w:t>
      </w:r>
      <w:r>
        <w:rPr>
          <w:rFonts w:ascii="Arial" w:hAnsi="Arial"/>
        </w:rPr>
        <w:t xml:space="preserve"> </w:t>
      </w:r>
      <w:r>
        <w:rPr>
          <w:bCs/>
          <w:rFonts w:ascii="Arial" w:hAnsi="Arial"/>
          <w:b/>
        </w:rPr>
        <w:t xml:space="preserve">Nicht Ziel:</w:t>
      </w:r>
      <w:r>
        <w:rPr>
          <w:rFonts w:ascii="Arial" w:hAnsi="Arial"/>
        </w:rPr>
        <w:t xml:space="preserve"> </w:t>
      </w:r>
      <w:r>
        <w:rPr>
          <w:rFonts w:ascii="Arial" w:hAnsi="Arial"/>
        </w:rPr>
        <w:t xml:space="preserve">Durchführung der Tests, eigene Messgüte, Mechanismus, Reife, Detraining, Trainingseffekte, Grenzen der Tests.</w:t>
      </w:r>
    </w:p>
    <w:p>
      <w:pPr>
        <w:pStyle w:val="BodyText"/>
      </w:pPr>
      <w:r>
        <w:rPr>
          <w:bCs/>
          <w:rFonts w:ascii="Arial" w:hAnsi="Arial"/>
          <w:b/>
        </w:rPr>
        <w:t xml:space="preserve">Umfang 300 bis 400 Wörter.</w:t>
      </w:r>
      <w:r>
        <w:rPr>
          <w:rFonts w:ascii="Arial" w:hAnsi="Arial"/>
        </w:rPr>
        <w:t xml:space="preserve"> </w:t>
      </w:r>
      <w:r>
        <w:rPr>
          <w:rFonts w:ascii="Arial" w:hAnsi="Arial"/>
        </w:rPr>
        <w:t xml:space="preserve">Der Einstieg entspricht den Relevanzsätzen der Korpuseinleitungen (Median 97 Wörter, Maximum 366) und braucht rund 100. Die Arbeit ist länger als ein Artikel, das Argument nicht. Hinzu kommen je Zielgröße Konstrukt, Test und Güte mit 60 bis 100 Wörtern. Diese Inhalte führt der Korpus nur als Kennwert im Testteil, der SMK-Leitfaden erwartet sie im Theorieteil. Eine Diagnostikstudie braucht für einen einzigen Test rund 600 Wörter Einleitung. Diese Größe soll 2.4 für drei Tests zusammen deutlich unterschreiten.</w:t>
      </w:r>
    </w:p>
    <w:p>
      <w:pPr>
        <w:pStyle w:val="BodyText"/>
      </w:pPr>
      <w:r>
        <w:rPr>
          <w:bCs/>
          <w:rFonts w:ascii="Arial" w:hAnsi="Arial"/>
          <w:b/>
        </w:rPr>
        <w:t xml:space="preserve">Form:</w:t>
      </w:r>
      <w:r>
        <w:rPr>
          <w:rFonts w:ascii="Arial" w:hAnsi="Arial"/>
        </w:rPr>
        <w:t xml:space="preserve"> </w:t>
      </w:r>
      <w:r>
        <w:rPr>
          <w:rFonts w:ascii="Arial" w:hAnsi="Arial"/>
        </w:rPr>
        <w:t xml:space="preserve">vier Absätze mit festem Ablauf, Reihenfolge Sprint → Richtungswechsel → Sprung wie in Kapitel 3, 5 und 6.</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633"/>
        <w:gridCol w:w="2930"/>
        <w:gridCol w:w="1980"/>
        <w:gridCol w:w="1584"/>
      </w:tblGrid>
      <w:tr>
        <w:trPr>
          <w:tblHeader w:val="true"/>
        </w:trPr>
        <w:tc>
          <w:tcPr>
            <w:shd w:val="clear" w:color="auto" w:fill="D6E4F0"/>
          </w:tcPr>
          <w:p>
            <w:pPr>
              <w:pStyle w:val="Compact"/>
              <w:jc w:val="left"/>
            </w:pPr>
            <w:r>
              <w:rPr>
                <w:rFonts w:ascii="Arial" w:hAnsi="Arial"/>
                <w:b/>
                <w:sz w:val="18"/>
              </w:rPr>
              <w:t xml:space="preserve">Absatz</w:t>
            </w:r>
          </w:p>
        </w:tc>
        <w:tc>
          <w:tcPr>
            <w:shd w:val="clear" w:color="auto" w:fill="D6E4F0"/>
          </w:tcPr>
          <w:p>
            <w:pPr>
              <w:pStyle w:val="Compact"/>
              <w:jc w:val="left"/>
            </w:pPr>
            <w:r>
              <w:rPr>
                <w:rFonts w:ascii="Arial" w:hAnsi="Arial"/>
                <w:b/>
                <w:sz w:val="18"/>
              </w:rPr>
              <w:t xml:space="preserve">Wörter</w:t>
            </w:r>
          </w:p>
        </w:tc>
        <w:tc>
          <w:tcPr>
            <w:shd w:val="clear" w:color="auto" w:fill="D6E4F0"/>
          </w:tcPr>
          <w:p>
            <w:pPr>
              <w:pStyle w:val="Compact"/>
              <w:jc w:val="left"/>
            </w:pPr>
            <w:r>
              <w:rPr>
                <w:rFonts w:ascii="Arial" w:hAnsi="Arial"/>
                <w:b/>
                <w:sz w:val="18"/>
              </w:rPr>
              <w:t xml:space="preserve">Satzkern (Zug)</w:t>
            </w:r>
          </w:p>
        </w:tc>
        <w:tc>
          <w:tcPr>
            <w:shd w:val="clear" w:color="auto" w:fill="D6E4F0"/>
          </w:tcPr>
          <w:p>
            <w:pPr>
              <w:pStyle w:val="Compact"/>
              <w:jc w:val="left"/>
            </w:pPr>
            <w:r>
              <w:rPr>
                <w:rFonts w:ascii="Arial" w:hAnsi="Arial"/>
                <w:b/>
                <w:sz w:val="18"/>
              </w:rPr>
              <w:t xml:space="preserve">Beleg</w:t>
            </w:r>
          </w:p>
        </w:tc>
        <w:tc>
          <w:tcPr>
            <w:shd w:val="clear" w:color="auto" w:fill="D6E4F0"/>
          </w:tcPr>
          <w:p>
            <w:pPr>
              <w:pStyle w:val="Compact"/>
              <w:jc w:val="left"/>
            </w:pPr>
            <w:r>
              <w:rPr>
                <w:rFonts w:ascii="Arial" w:hAnsi="Arial"/>
                <w:b/>
                <w:sz w:val="18"/>
              </w:rPr>
              <w:t xml:space="preserve">Vorbehalt</w:t>
            </w:r>
          </w:p>
        </w:tc>
      </w:tr>
      <w:tr>
        <w:tc>
          <w:tcPr/>
          <w:p>
            <w:pPr>
              <w:pStyle w:val="Compact"/>
              <w:jc w:val="left"/>
            </w:pPr>
            <w:r>
              <w:rPr>
                <w:rFonts w:ascii="Arial" w:hAnsi="Arial"/>
                <w:sz w:val="18"/>
              </w:rPr>
              <w:t xml:space="preserve">1 Einstieg</w:t>
            </w:r>
          </w:p>
        </w:tc>
        <w:tc>
          <w:tcPr/>
          <w:p>
            <w:pPr>
              <w:pStyle w:val="Compact"/>
              <w:jc w:val="left"/>
            </w:pPr>
            <w:r>
              <w:rPr>
                <w:rFonts w:ascii="Arial" w:hAnsi="Arial"/>
                <w:sz w:val="18"/>
              </w:rPr>
              <w:t xml:space="preserve">90–110</w:t>
            </w:r>
          </w:p>
        </w:tc>
        <w:tc>
          <w:tcPr/>
          <w:p>
            <w:pPr>
              <w:pStyle w:val="Compact"/>
              <w:jc w:val="left"/>
            </w:pPr>
            <w:r>
              <w:rPr>
                <w:rFonts w:ascii="Arial" w:hAnsi="Arial"/>
                <w:sz w:val="18"/>
              </w:rPr>
              <w:t xml:space="preserve">a) Der Wettkampf verlangt neben Ausdauer wiederholt kurze, hochintensive Aktionen (Z1)</w:t>
            </w:r>
          </w:p>
        </w:tc>
        <w:tc>
          <w:tcPr/>
          <w:p>
            <w:pPr>
              <w:pStyle w:val="Compact"/>
              <w:jc w:val="left"/>
            </w:pPr>
            <w:r>
              <w:rPr>
                <w:rFonts w:ascii="Arial" w:hAnsi="Arial"/>
                <w:sz w:val="18"/>
              </w:rPr>
              <w:t xml:space="preserve">Turner &amp; Stewart (2014, S. 1), narrative Übersicht</w:t>
            </w:r>
          </w:p>
        </w:tc>
        <w:tc>
          <w:tcPr/>
          <w:p>
            <w:pPr>
              <w:pStyle w:val="Compact"/>
              <w:jc w:val="left"/>
            </w:pPr>
            <w:r>
              <w:rPr>
                <w:rFonts w:ascii="Arial" w:hAnsi="Arial"/>
                <w:sz w:val="18"/>
              </w:rPr>
              <w:t xml:space="preserve">Elite-Männer, als Rahmen vor den Nachwuchsbefunden</w:t>
            </w:r>
          </w:p>
        </w:tc>
      </w:tr>
      <w:tr>
        <w:tc>
          <w:tcPr>
            <w:shd w:val="clear" w:color="auto" w:fill="EEF3F9"/>
          </w:tcPr>
          <w:p>
            <w:pPr>
              <w:pStyle w:val="Compact"/>
            </w:pPr>
          </w:p>
        </w:tc>
        <w:tc>
          <w:tcPr>
            <w:shd w:val="clear" w:color="auto" w:fill="EEF3F9"/>
          </w:tcPr>
          <w:p>
            <w:pPr>
              <w:pStyle w:val="Compact"/>
            </w:pPr>
          </w:p>
        </w:tc>
        <w:tc>
          <w:tcPr>
            <w:shd w:val="clear" w:color="auto" w:fill="EEF3F9"/>
          </w:tcPr>
          <w:p>
            <w:pPr>
              <w:pStyle w:val="Compact"/>
              <w:jc w:val="left"/>
            </w:pPr>
            <w:r>
              <w:rPr>
                <w:rFonts w:ascii="Arial" w:hAnsi="Arial"/>
                <w:sz w:val="18"/>
              </w:rPr>
              <w:t xml:space="preserve">b) Auch leistungsstarke Nachwuchsspieler sind hohen Umfängen an Sprints, Beschleunigungen, Abbremsungen, Richtungswechseln und Sprüngen ausgesetzt (Z1)</w:t>
            </w:r>
          </w:p>
        </w:tc>
        <w:tc>
          <w:tcPr>
            <w:shd w:val="clear" w:color="auto" w:fill="EEF3F9"/>
          </w:tcPr>
          <w:p>
            <w:pPr>
              <w:pStyle w:val="Compact"/>
              <w:jc w:val="left"/>
            </w:pPr>
            <w:r>
              <w:rPr>
                <w:rFonts w:ascii="Arial" w:hAnsi="Arial"/>
                <w:sz w:val="18"/>
              </w:rPr>
              <w:t xml:space="preserve">Oliver et al. (2024, S. 625), SR/MA · McBurnie, Parr et al. (2022, S. 5), Übersicht</w:t>
            </w:r>
          </w:p>
        </w:tc>
        <w:tc>
          <w:tcPr>
            <w:shd w:val="clear" w:color="auto" w:fill="EEF3F9"/>
          </w:tcPr>
          <w:p>
            <w:pPr>
              <w:pStyle w:val="Compact"/>
              <w:jc w:val="left"/>
            </w:pPr>
            <w:r>
              <w:rPr>
                <w:rFonts w:ascii="Arial" w:hAnsi="Arial"/>
                <w:sz w:val="18"/>
              </w:rPr>
              <w:t xml:space="preserve">Oliver spricht von Training, McBurnie von Training und Spiel, beide ohne Einzelbeleg. McBurnie: Ahead-of-Print-Seiten, Heftfundstelle prüfen</w:t>
            </w:r>
          </w:p>
        </w:tc>
      </w:tr>
      <w:tr>
        <w:tc>
          <w:tcPr/>
          <w:p>
            <w:pPr>
              <w:pStyle w:val="Compact"/>
            </w:pPr>
          </w:p>
        </w:tc>
        <w:tc>
          <w:tcPr/>
          <w:p>
            <w:pPr>
              <w:pStyle w:val="Compact"/>
            </w:pPr>
          </w:p>
        </w:tc>
        <w:tc>
          <w:tcPr/>
          <w:p>
            <w:pPr>
              <w:pStyle w:val="Compact"/>
              <w:jc w:val="left"/>
            </w:pPr>
            <w:r>
              <w:rPr>
                <w:rFonts w:ascii="Arial" w:hAnsi="Arial"/>
                <w:sz w:val="18"/>
              </w:rPr>
              <w:t xml:space="preserve">c) Sprint-, Richtungswechsel- und Sprungleistung unterschieden erfolgreichere von weniger erfolgreichen Nachwuchsspielern (Z2)</w:t>
            </w:r>
          </w:p>
        </w:tc>
        <w:tc>
          <w:tcPr/>
          <w:p>
            <w:pPr>
              <w:pStyle w:val="Compact"/>
              <w:jc w:val="left"/>
            </w:pPr>
            <w:r>
              <w:rPr>
                <w:rFonts w:ascii="Arial" w:hAnsi="Arial"/>
                <w:sz w:val="18"/>
              </w:rPr>
              <w:t xml:space="preserve">Oliver et al. (2024, S. 624), Relais [10–12] · Ramirez-Campillo et al. (2020, Ms.-S. 3), Relais [8, 9]</w:t>
            </w:r>
          </w:p>
        </w:tc>
        <w:tc>
          <w:tcPr/>
          <w:p>
            <w:pPr>
              <w:pStyle w:val="Compact"/>
              <w:jc w:val="left"/>
            </w:pPr>
            <w:r>
              <w:rPr>
                <w:rFonts w:ascii="Arial" w:hAnsi="Arial"/>
                <w:sz w:val="18"/>
              </w:rPr>
              <w:t xml:space="preserve">als Aussage der Übersicht formulieren, nicht als Befund der Metaanalyse</w:t>
            </w:r>
          </w:p>
        </w:tc>
      </w:tr>
      <w:tr>
        <w:tc>
          <w:tcPr>
            <w:shd w:val="clear" w:color="auto" w:fill="EEF3F9"/>
          </w:tcPr>
          <w:p>
            <w:pPr>
              <w:pStyle w:val="Compact"/>
            </w:pPr>
          </w:p>
        </w:tc>
        <w:tc>
          <w:tcPr>
            <w:shd w:val="clear" w:color="auto" w:fill="EEF3F9"/>
          </w:tcPr>
          <w:p>
            <w:pPr>
              <w:pStyle w:val="Compact"/>
            </w:pPr>
          </w:p>
        </w:tc>
        <w:tc>
          <w:tcPr>
            <w:shd w:val="clear" w:color="auto" w:fill="EEF3F9"/>
          </w:tcPr>
          <w:p>
            <w:pPr>
              <w:pStyle w:val="Compact"/>
              <w:jc w:val="left"/>
            </w:pPr>
            <w:r>
              <w:rPr>
                <w:rFonts w:ascii="Arial" w:hAnsi="Arial"/>
                <w:sz w:val="18"/>
              </w:rPr>
              <w:t xml:space="preserve">d) Übersichten führen Sprung- und Sprintleistungen als getrennte, sportrelevante Indikatoren und wählen die Tests nach Relevanz und Reliabilität (Z6)</w:t>
            </w:r>
          </w:p>
        </w:tc>
        <w:tc>
          <w:tcPr>
            <w:shd w:val="clear" w:color="auto" w:fill="EEF3F9"/>
          </w:tcPr>
          <w:p>
            <w:pPr>
              <w:pStyle w:val="Compact"/>
              <w:jc w:val="left"/>
            </w:pPr>
            <w:r>
              <w:rPr>
                <w:rFonts w:ascii="Arial" w:hAnsi="Arial"/>
                <w:sz w:val="18"/>
              </w:rPr>
              <w:t xml:space="preserve">Ramirez-Campillo et al. (2020, Ms.-S. 5) · Zheng et al. (2025, S. 5)</w:t>
            </w:r>
          </w:p>
        </w:tc>
        <w:tc>
          <w:tcPr>
            <w:shd w:val="clear" w:color="auto" w:fill="EEF3F9"/>
          </w:tcPr>
          <w:p>
            <w:pPr>
              <w:pStyle w:val="Compact"/>
              <w:jc w:val="left"/>
            </w:pPr>
            <w:r>
              <w:rPr>
                <w:rFonts w:ascii="Arial" w:hAnsi="Arial"/>
                <w:sz w:val="18"/>
              </w:rPr>
              <w:t xml:space="preserve">Überleitung zu den drei Absätzen</w:t>
            </w:r>
          </w:p>
        </w:tc>
      </w:tr>
      <w:tr>
        <w:tc>
          <w:tcPr/>
          <w:p>
            <w:pPr>
              <w:pStyle w:val="Compact"/>
              <w:jc w:val="left"/>
            </w:pPr>
            <w:r>
              <w:rPr>
                <w:rFonts w:ascii="Arial" w:hAnsi="Arial"/>
                <w:sz w:val="18"/>
              </w:rPr>
              <w:t xml:space="preserve">2 Sprint</w:t>
            </w:r>
          </w:p>
        </w:tc>
        <w:tc>
          <w:tcPr/>
          <w:p>
            <w:pPr>
              <w:pStyle w:val="Compact"/>
              <w:jc w:val="left"/>
            </w:pPr>
            <w:r>
              <w:rPr>
                <w:rFonts w:ascii="Arial" w:hAnsi="Arial"/>
                <w:sz w:val="18"/>
              </w:rPr>
              <w:t xml:space="preserve">60–80</w:t>
            </w:r>
          </w:p>
        </w:tc>
        <w:tc>
          <w:tcPr/>
          <w:p>
            <w:pPr>
              <w:pStyle w:val="Compact"/>
              <w:jc w:val="left"/>
            </w:pPr>
            <w:r>
              <w:rPr>
                <w:rFonts w:ascii="Arial" w:hAnsi="Arial"/>
                <w:sz w:val="18"/>
              </w:rPr>
              <w:t xml:space="preserve">a) Sprintschnelligkeit umfasst Beschleunigung und Maximalgeschwindigkeit (Z3)</w:t>
            </w:r>
          </w:p>
        </w:tc>
        <w:tc>
          <w:tcPr/>
          <w:p>
            <w:pPr>
              <w:pStyle w:val="Compact"/>
              <w:jc w:val="left"/>
            </w:pPr>
            <w:r>
              <w:rPr>
                <w:rFonts w:ascii="Arial" w:hAnsi="Arial"/>
                <w:sz w:val="18"/>
              </w:rPr>
              <w:t xml:space="preserve">Hicks et al. (2019, S. 1), Praxisübersicht</w:t>
            </w:r>
          </w:p>
        </w:tc>
        <w:tc>
          <w:tcPr/>
          <w:p>
            <w:pPr>
              <w:pStyle w:val="Compact"/>
              <w:jc w:val="left"/>
            </w:pPr>
            <w:r>
              <w:rPr>
                <w:rFonts w:ascii="Arial" w:hAnsi="Arial"/>
                <w:sz w:val="18"/>
              </w:rPr>
              <w:t xml:space="preserve">Mannschaftssport allgemein, Heftfundstelle prüfen</w:t>
            </w:r>
          </w:p>
        </w:tc>
      </w:tr>
      <w:tr>
        <w:tc>
          <w:tcPr>
            <w:shd w:val="clear" w:color="auto" w:fill="EEF3F9"/>
          </w:tcPr>
          <w:p>
            <w:pPr>
              <w:pStyle w:val="Compact"/>
            </w:pPr>
          </w:p>
        </w:tc>
        <w:tc>
          <w:tcPr>
            <w:shd w:val="clear" w:color="auto" w:fill="EEF3F9"/>
          </w:tcPr>
          <w:p>
            <w:pPr>
              <w:pStyle w:val="Compact"/>
            </w:pPr>
          </w:p>
        </w:tc>
        <w:tc>
          <w:tcPr>
            <w:shd w:val="clear" w:color="auto" w:fill="EEF3F9"/>
          </w:tcPr>
          <w:p>
            <w:pPr>
              <w:pStyle w:val="Compact"/>
              <w:jc w:val="left"/>
            </w:pPr>
            <w:r>
              <w:rPr>
                <w:rFonts w:ascii="Arial" w:hAnsi="Arial"/>
                <w:sz w:val="18"/>
              </w:rPr>
              <w:t xml:space="preserve">b) Strecken bis 10 m bilden die Beschleunigung ab, 15 bis 40 m die Sprintgeschwindigkeit (Z6)</w:t>
            </w:r>
          </w:p>
        </w:tc>
        <w:tc>
          <w:tcPr>
            <w:shd w:val="clear" w:color="auto" w:fill="EEF3F9"/>
          </w:tcPr>
          <w:p>
            <w:pPr>
              <w:pStyle w:val="Compact"/>
              <w:jc w:val="left"/>
            </w:pPr>
            <w:r>
              <w:rPr>
                <w:rFonts w:ascii="Arial" w:hAnsi="Arial"/>
                <w:sz w:val="18"/>
              </w:rPr>
              <w:t xml:space="preserve">Oliver et al. (2024, S. 626)</w:t>
            </w:r>
          </w:p>
        </w:tc>
        <w:tc>
          <w:tcPr>
            <w:shd w:val="clear" w:color="auto" w:fill="EEF3F9"/>
          </w:tcPr>
          <w:p>
            <w:pPr>
              <w:pStyle w:val="Compact"/>
              <w:jc w:val="left"/>
            </w:pPr>
            <w:r>
              <w:rPr>
                <w:rFonts w:ascii="Arial" w:hAnsi="Arial"/>
                <w:sz w:val="18"/>
              </w:rPr>
              <w:t xml:space="preserve">Kategorie der Metaanalyse, Beleg [56]</w:t>
            </w:r>
          </w:p>
        </w:tc>
      </w:tr>
      <w:tr>
        <w:tc>
          <w:tcPr/>
          <w:p>
            <w:pPr>
              <w:pStyle w:val="Compact"/>
            </w:pPr>
          </w:p>
        </w:tc>
        <w:tc>
          <w:tcPr/>
          <w:p>
            <w:pPr>
              <w:pStyle w:val="Compact"/>
            </w:pPr>
          </w:p>
        </w:tc>
        <w:tc>
          <w:tcPr/>
          <w:p>
            <w:pPr>
              <w:pStyle w:val="Compact"/>
              <w:jc w:val="left"/>
            </w:pPr>
            <w:r>
              <w:rPr>
                <w:rFonts w:ascii="Arial" w:hAnsi="Arial"/>
                <w:sz w:val="18"/>
              </w:rPr>
              <w:t xml:space="preserve">c) Lineare Sprinttests bis 40 m trennten Leistungsniveaus und erwiesen sich als reliabel (Z7)</w:t>
            </w:r>
          </w:p>
        </w:tc>
        <w:tc>
          <w:tcPr/>
          <w:p>
            <w:pPr>
              <w:pStyle w:val="Compact"/>
              <w:jc w:val="left"/>
            </w:pPr>
            <w:r>
              <w:rPr>
                <w:rFonts w:ascii="Arial" w:hAnsi="Arial"/>
                <w:sz w:val="18"/>
              </w:rPr>
              <w:t xml:space="preserve">Altmann et al. (2019), SR</w:t>
            </w:r>
          </w:p>
        </w:tc>
        <w:tc>
          <w:tcPr/>
          <w:p>
            <w:pPr>
              <w:pStyle w:val="Compact"/>
              <w:jc w:val="left"/>
            </w:pPr>
            <w:r>
              <w:rPr>
                <w:rFonts w:ascii="Arial" w:hAnsi="Arial"/>
                <w:sz w:val="18"/>
              </w:rPr>
              <w:t xml:space="preserve">Erwachsene ab 17 J., PDF ablegen</w:t>
            </w:r>
          </w:p>
        </w:tc>
      </w:tr>
      <w:tr>
        <w:tc>
          <w:tcPr>
            <w:shd w:val="clear" w:color="auto" w:fill="EEF3F9"/>
          </w:tcPr>
          <w:p>
            <w:pPr>
              <w:pStyle w:val="Compact"/>
              <w:jc w:val="left"/>
            </w:pPr>
            <w:r>
              <w:rPr>
                <w:rFonts w:ascii="Arial" w:hAnsi="Arial"/>
                <w:sz w:val="18"/>
              </w:rPr>
              <w:t xml:space="preserve">3 Richtungswechsel</w:t>
            </w:r>
          </w:p>
        </w:tc>
        <w:tc>
          <w:tcPr>
            <w:shd w:val="clear" w:color="auto" w:fill="EEF3F9"/>
          </w:tcPr>
          <w:p>
            <w:pPr>
              <w:pStyle w:val="Compact"/>
              <w:jc w:val="left"/>
            </w:pPr>
            <w:r>
              <w:rPr>
                <w:rFonts w:ascii="Arial" w:hAnsi="Arial"/>
                <w:sz w:val="18"/>
              </w:rPr>
              <w:t xml:space="preserve">80–100</w:t>
            </w:r>
          </w:p>
        </w:tc>
        <w:tc>
          <w:tcPr>
            <w:shd w:val="clear" w:color="auto" w:fill="EEF3F9"/>
          </w:tcPr>
          <w:p>
            <w:pPr>
              <w:pStyle w:val="Compact"/>
              <w:jc w:val="left"/>
            </w:pPr>
            <w:r>
              <w:rPr>
                <w:rFonts w:ascii="Arial" w:hAnsi="Arial"/>
                <w:sz w:val="18"/>
              </w:rPr>
              <w:t xml:space="preserve">a) Richtungswechselschnelligkeit ist eine eigene Fähigkeit neben dem linearen Sprint (Z3)</w:t>
            </w:r>
          </w:p>
        </w:tc>
        <w:tc>
          <w:tcPr>
            <w:shd w:val="clear" w:color="auto" w:fill="EEF3F9"/>
          </w:tcPr>
          <w:p>
            <w:pPr>
              <w:pStyle w:val="Compact"/>
              <w:jc w:val="left"/>
            </w:pPr>
            <w:r>
              <w:rPr>
                <w:rFonts w:ascii="Arial" w:hAnsi="Arial"/>
                <w:sz w:val="18"/>
              </w:rPr>
              <w:t xml:space="preserve">Sheppard &amp; Young (2006, S. 923)</w:t>
            </w:r>
          </w:p>
        </w:tc>
        <w:tc>
          <w:tcPr>
            <w:shd w:val="clear" w:color="auto" w:fill="EEF3F9"/>
          </w:tcPr>
          <w:p>
            <w:pPr>
              <w:pStyle w:val="Compact"/>
              <w:jc w:val="left"/>
            </w:pPr>
            <w:r>
              <w:rPr>
                <w:rFonts w:ascii="Arial" w:hAnsi="Arial"/>
                <w:sz w:val="18"/>
              </w:rPr>
              <w:t xml:space="preserve">überwiegend andere Sportarten</w:t>
            </w:r>
          </w:p>
        </w:tc>
      </w:tr>
      <w:tr>
        <w:tc>
          <w:tcPr/>
          <w:p>
            <w:pPr>
              <w:pStyle w:val="Compact"/>
            </w:pPr>
          </w:p>
        </w:tc>
        <w:tc>
          <w:tcPr/>
          <w:p>
            <w:pPr>
              <w:pStyle w:val="Compact"/>
            </w:pPr>
          </w:p>
        </w:tc>
        <w:tc>
          <w:tcPr/>
          <w:p>
            <w:pPr>
              <w:pStyle w:val="Compact"/>
              <w:jc w:val="left"/>
            </w:pPr>
            <w:r>
              <w:rPr>
                <w:rFonts w:ascii="Arial" w:hAnsi="Arial"/>
                <w:sz w:val="18"/>
              </w:rPr>
              <w:t xml:space="preserve">b) Vorgeplante Tests wie der 505 erfassen Richtungswechselschnelligkeit, nicht reizgesteuerte Agilität, deren mechanische Grundlage sie ist (Z3, Z6)</w:t>
            </w:r>
          </w:p>
        </w:tc>
        <w:tc>
          <w:tcPr/>
          <w:p>
            <w:pPr>
              <w:pStyle w:val="Compact"/>
              <w:jc w:val="left"/>
            </w:pPr>
            <w:r>
              <w:rPr>
                <w:rFonts w:ascii="Arial" w:hAnsi="Arial"/>
                <w:sz w:val="18"/>
              </w:rPr>
              <w:t xml:space="preserve">Sheppard &amp; Young (2006, S. 922, 929) · McBurnie, Parr et al. (2022, S. 7)</w:t>
            </w:r>
          </w:p>
        </w:tc>
        <w:tc>
          <w:tcPr/>
          <w:p>
            <w:pPr>
              <w:pStyle w:val="Compact"/>
              <w:jc w:val="left"/>
            </w:pPr>
            <w:r>
              <w:rPr>
                <w:rFonts w:ascii="Arial" w:hAnsi="Arial"/>
                <w:sz w:val="18"/>
              </w:rPr>
              <w:t xml:space="preserve">S. 927 trägt noch das alte Etikett „agility“</w:t>
            </w:r>
          </w:p>
        </w:tc>
      </w:tr>
      <w:tr>
        <w:tc>
          <w:tcPr>
            <w:shd w:val="clear" w:color="auto" w:fill="EEF3F9"/>
          </w:tcPr>
          <w:p>
            <w:pPr>
              <w:pStyle w:val="Compact"/>
            </w:pPr>
          </w:p>
        </w:tc>
        <w:tc>
          <w:tcPr>
            <w:shd w:val="clear" w:color="auto" w:fill="EEF3F9"/>
          </w:tcPr>
          <w:p>
            <w:pPr>
              <w:pStyle w:val="Compact"/>
            </w:pPr>
          </w:p>
        </w:tc>
        <w:tc>
          <w:tcPr>
            <w:shd w:val="clear" w:color="auto" w:fill="EEF3F9"/>
          </w:tcPr>
          <w:p>
            <w:pPr>
              <w:pStyle w:val="Compact"/>
              <w:jc w:val="left"/>
            </w:pPr>
            <w:r>
              <w:rPr>
                <w:rFonts w:ascii="Arial" w:hAnsi="Arial"/>
                <w:sz w:val="18"/>
              </w:rPr>
              <w:t xml:space="preserve">c) Die 180°-Wende verlangt ein starkes Abbremsen vor dem Richtungswechsel (Z3)</w:t>
            </w:r>
          </w:p>
        </w:tc>
        <w:tc>
          <w:tcPr>
            <w:shd w:val="clear" w:color="auto" w:fill="EEF3F9"/>
          </w:tcPr>
          <w:p>
            <w:pPr>
              <w:pStyle w:val="Compact"/>
              <w:jc w:val="left"/>
            </w:pPr>
            <w:r>
              <w:rPr>
                <w:rFonts w:ascii="Arial" w:hAnsi="Arial"/>
                <w:sz w:val="18"/>
              </w:rPr>
              <w:t xml:space="preserve">McBurnie, Harper et al. (2022, S. 2–3) · Dos’Santos et al. (2018, S. 2236)</w:t>
            </w:r>
          </w:p>
        </w:tc>
        <w:tc>
          <w:tcPr>
            <w:shd w:val="clear" w:color="auto" w:fill="EEF3F9"/>
          </w:tcPr>
          <w:p>
            <w:pPr>
              <w:pStyle w:val="Compact"/>
              <w:jc w:val="left"/>
            </w:pPr>
            <w:r>
              <w:rPr>
                <w:rFonts w:ascii="Arial" w:hAnsi="Arial"/>
                <w:sz w:val="18"/>
              </w:rPr>
              <w:t xml:space="preserve">Prinzip im Präsens</w:t>
            </w:r>
          </w:p>
        </w:tc>
      </w:tr>
      <w:tr>
        <w:tc>
          <w:tcPr/>
          <w:p>
            <w:pPr>
              <w:pStyle w:val="Compact"/>
            </w:pPr>
          </w:p>
        </w:tc>
        <w:tc>
          <w:tcPr/>
          <w:p>
            <w:pPr>
              <w:pStyle w:val="Compact"/>
            </w:pPr>
          </w:p>
        </w:tc>
        <w:tc>
          <w:tcPr/>
          <w:p>
            <w:pPr>
              <w:pStyle w:val="Compact"/>
              <w:jc w:val="left"/>
            </w:pPr>
            <w:r>
              <w:rPr>
                <w:rFonts w:ascii="Arial" w:hAnsi="Arial"/>
                <w:sz w:val="18"/>
              </w:rPr>
              <w:t xml:space="preserve">d) Der 505 erwies sich als reliabel (Z7)</w:t>
            </w:r>
          </w:p>
        </w:tc>
        <w:tc>
          <w:tcPr/>
          <w:p>
            <w:pPr>
              <w:pStyle w:val="Compact"/>
              <w:jc w:val="left"/>
            </w:pPr>
            <w:r>
              <w:rPr>
                <w:rFonts w:ascii="Arial" w:hAnsi="Arial"/>
                <w:sz w:val="18"/>
              </w:rPr>
              <w:t xml:space="preserve">Altmann et al. (2019)</w:t>
            </w:r>
          </w:p>
        </w:tc>
        <w:tc>
          <w:tcPr/>
          <w:p>
            <w:pPr>
              <w:pStyle w:val="Compact"/>
              <w:jc w:val="left"/>
            </w:pPr>
            <w:r>
              <w:rPr>
                <w:rFonts w:ascii="Arial" w:hAnsi="Arial"/>
                <w:sz w:val="18"/>
              </w:rPr>
              <w:t xml:space="preserve">keine Validitätsaussage, Tab. 6 dort ohne 505</w:t>
            </w:r>
          </w:p>
        </w:tc>
      </w:tr>
      <w:tr>
        <w:tc>
          <w:tcPr>
            <w:shd w:val="clear" w:color="auto" w:fill="EEF3F9"/>
          </w:tcPr>
          <w:p>
            <w:pPr>
              <w:pStyle w:val="Compact"/>
              <w:jc w:val="left"/>
            </w:pPr>
            <w:r>
              <w:rPr>
                <w:rFonts w:ascii="Arial" w:hAnsi="Arial"/>
                <w:sz w:val="18"/>
              </w:rPr>
              <w:t xml:space="preserve">4 Sprung</w:t>
            </w:r>
          </w:p>
        </w:tc>
        <w:tc>
          <w:tcPr>
            <w:shd w:val="clear" w:color="auto" w:fill="EEF3F9"/>
          </w:tcPr>
          <w:p>
            <w:pPr>
              <w:pStyle w:val="Compact"/>
              <w:jc w:val="left"/>
            </w:pPr>
            <w:r>
              <w:rPr>
                <w:rFonts w:ascii="Arial" w:hAnsi="Arial"/>
                <w:sz w:val="18"/>
              </w:rPr>
              <w:t xml:space="preserve">60–80</w:t>
            </w:r>
          </w:p>
        </w:tc>
        <w:tc>
          <w:tcPr>
            <w:shd w:val="clear" w:color="auto" w:fill="EEF3F9"/>
          </w:tcPr>
          <w:p>
            <w:pPr>
              <w:pStyle w:val="Compact"/>
              <w:jc w:val="left"/>
            </w:pPr>
            <w:r>
              <w:rPr>
                <w:rFonts w:ascii="Arial" w:hAnsi="Arial"/>
                <w:sz w:val="18"/>
              </w:rPr>
              <w:t xml:space="preserve">a) Schnellkraft ist die Fähigkeit, Kraft explosiv zu entwickeln (Z3)</w:t>
            </w:r>
          </w:p>
        </w:tc>
        <w:tc>
          <w:tcPr>
            <w:shd w:val="clear" w:color="auto" w:fill="EEF3F9"/>
          </w:tcPr>
          <w:p>
            <w:pPr>
              <w:pStyle w:val="Compact"/>
              <w:jc w:val="left"/>
            </w:pPr>
            <w:r>
              <w:rPr>
                <w:rFonts w:ascii="Arial" w:hAnsi="Arial"/>
                <w:sz w:val="18"/>
              </w:rPr>
              <w:t xml:space="preserve">Tomkinson et al. (2021, S. 531), Hauptteil</w:t>
            </w:r>
          </w:p>
        </w:tc>
        <w:tc>
          <w:tcPr>
            <w:shd w:val="clear" w:color="auto" w:fill="EEF3F9"/>
          </w:tcPr>
          <w:p>
            <w:pPr>
              <w:pStyle w:val="Compact"/>
              <w:jc w:val="left"/>
            </w:pPr>
            <w:r>
              <w:rPr>
                <w:rFonts w:ascii="Arial" w:hAnsi="Arial"/>
                <w:sz w:val="18"/>
              </w:rPr>
              <w:t xml:space="preserve">allgemeine Definition, der Bezug auf Beine und Sprung steht auf S. 531 nur im Abstract</w:t>
            </w:r>
          </w:p>
        </w:tc>
      </w:tr>
      <w:tr>
        <w:tc>
          <w:tcPr/>
          <w:p>
            <w:pPr>
              <w:pStyle w:val="Compact"/>
            </w:pPr>
          </w:p>
        </w:tc>
        <w:tc>
          <w:tcPr/>
          <w:p>
            <w:pPr>
              <w:pStyle w:val="Compact"/>
            </w:pPr>
          </w:p>
        </w:tc>
        <w:tc>
          <w:tcPr/>
          <w:p>
            <w:pPr>
              <w:pStyle w:val="Compact"/>
              <w:jc w:val="left"/>
            </w:pPr>
            <w:r>
              <w:rPr>
                <w:rFonts w:ascii="Arial" w:hAnsi="Arial"/>
                <w:sz w:val="18"/>
              </w:rPr>
              <w:t xml:space="preserve">b) Der Standweitsprung gilt als praktikables, verbreitetes Feldmaß der Schnellkraft (Z6)</w:t>
            </w:r>
          </w:p>
        </w:tc>
        <w:tc>
          <w:tcPr/>
          <w:p>
            <w:pPr>
              <w:pStyle w:val="Compact"/>
              <w:jc w:val="left"/>
            </w:pPr>
            <w:r>
              <w:rPr>
                <w:rFonts w:ascii="Arial" w:hAnsi="Arial"/>
                <w:sz w:val="18"/>
              </w:rPr>
              <w:t xml:space="preserve">Tomkinson et al. (2021, S. 532)</w:t>
            </w:r>
          </w:p>
        </w:tc>
        <w:tc>
          <w:tcPr/>
          <w:p>
            <w:pPr>
              <w:pStyle w:val="Compact"/>
              <w:jc w:val="left"/>
            </w:pPr>
            <w:r>
              <w:rPr>
                <w:rFonts w:ascii="Arial" w:hAnsi="Arial"/>
                <w:sz w:val="18"/>
              </w:rPr>
              <w:t xml:space="preserve">Allgemeinbevölkerung 9–17 J.</w:t>
            </w:r>
          </w:p>
        </w:tc>
      </w:tr>
      <w:tr>
        <w:tc>
          <w:tcPr>
            <w:shd w:val="clear" w:color="auto" w:fill="EEF3F9"/>
          </w:tcPr>
          <w:p>
            <w:pPr>
              <w:pStyle w:val="Compact"/>
            </w:pPr>
          </w:p>
        </w:tc>
        <w:tc>
          <w:tcPr>
            <w:shd w:val="clear" w:color="auto" w:fill="EEF3F9"/>
          </w:tcPr>
          <w:p>
            <w:pPr>
              <w:pStyle w:val="Compact"/>
            </w:pPr>
          </w:p>
        </w:tc>
        <w:tc>
          <w:tcPr>
            <w:shd w:val="clear" w:color="auto" w:fill="EEF3F9"/>
          </w:tcPr>
          <w:p>
            <w:pPr>
              <w:pStyle w:val="Compact"/>
              <w:jc w:val="left"/>
            </w:pPr>
            <w:r>
              <w:rPr>
                <w:rFonts w:ascii="Arial" w:hAnsi="Arial"/>
                <w:sz w:val="18"/>
              </w:rPr>
              <w:t xml:space="preserve">c) mit sehr hoher Test-Retest-Reliabilität und geringen Lerneffekten (Z7)</w:t>
            </w:r>
          </w:p>
        </w:tc>
        <w:tc>
          <w:tcPr>
            <w:shd w:val="clear" w:color="auto" w:fill="EEF3F9"/>
          </w:tcPr>
          <w:p>
            <w:pPr>
              <w:pStyle w:val="Compact"/>
              <w:jc w:val="left"/>
            </w:pPr>
            <w:r>
              <w:rPr>
                <w:rFonts w:ascii="Arial" w:hAnsi="Arial"/>
                <w:sz w:val="18"/>
              </w:rPr>
              <w:t xml:space="preserve">Tomkinson et al. (2021, S. 532), Relais [21, 23] · Bianco et al. (2015), SR</w:t>
            </w:r>
          </w:p>
        </w:tc>
        <w:tc>
          <w:tcPr>
            <w:shd w:val="clear" w:color="auto" w:fill="EEF3F9"/>
          </w:tcPr>
          <w:p>
            <w:pPr>
              <w:pStyle w:val="Compact"/>
              <w:jc w:val="left"/>
            </w:pPr>
            <w:r>
              <w:rPr>
                <w:rFonts w:ascii="Arial" w:hAnsi="Arial"/>
                <w:sz w:val="18"/>
              </w:rPr>
              <w:t xml:space="preserve">beide Relais, T4 vor Zitation</w:t>
            </w:r>
          </w:p>
        </w:tc>
      </w:tr>
      <w:tr>
        <w:tc>
          <w:tcPr/>
          <w:p>
            <w:pPr>
              <w:pStyle w:val="Compact"/>
            </w:pPr>
          </w:p>
        </w:tc>
        <w:tc>
          <w:tcPr/>
          <w:p>
            <w:pPr>
              <w:pStyle w:val="Compact"/>
            </w:pPr>
          </w:p>
        </w:tc>
        <w:tc>
          <w:tcPr/>
          <w:p>
            <w:pPr>
              <w:pStyle w:val="Compact"/>
              <w:jc w:val="left"/>
            </w:pPr>
            <w:r>
              <w:rPr>
                <w:rFonts w:ascii="Arial" w:hAnsi="Arial"/>
                <w:sz w:val="18"/>
              </w:rPr>
              <w:t xml:space="preserve">d) Die horizontale Sprungleistung ist eigene Zielgröße der Metaanalyse (Z6)</w:t>
            </w:r>
          </w:p>
        </w:tc>
        <w:tc>
          <w:tcPr/>
          <w:p>
            <w:pPr>
              <w:pStyle w:val="Compact"/>
              <w:jc w:val="left"/>
            </w:pPr>
            <w:r>
              <w:rPr>
                <w:rFonts w:ascii="Arial" w:hAnsi="Arial"/>
                <w:sz w:val="18"/>
              </w:rPr>
              <w:t xml:space="preserve">Oliver et al. (2024, S. 626)</w:t>
            </w:r>
          </w:p>
        </w:tc>
        <w:tc>
          <w:tcPr/>
          <w:p>
            <w:pPr>
              <w:pStyle w:val="Compact"/>
              <w:jc w:val="left"/>
            </w:pPr>
            <w:r>
              <w:rPr>
                <w:rFonts w:ascii="Arial" w:hAnsi="Arial"/>
                <w:sz w:val="18"/>
              </w:rPr>
              <w:t xml:space="preserve">Anschluss an 2.5</w:t>
            </w:r>
          </w:p>
        </w:tc>
      </w:tr>
    </w:tbl>
    <w:p>
      <w:pPr>
        <w:pStyle w:val="BodyText"/>
      </w:pPr>
      <w:r>
        <w:rPr>
          <w:bCs/>
          <w:rFonts w:ascii="Arial" w:hAnsi="Arial"/>
          <w:b/>
        </w:rPr>
        <w:t xml:space="preserve">Wortlaut zur Hand</w:t>
      </w:r>
      <w:r>
        <w:rPr>
          <w:rFonts w:ascii="Arial" w:hAnsi="Arial"/>
        </w:rPr>
        <w:t xml:space="preserve"> </w:t>
      </w:r>
      <w:r>
        <w:rPr>
          <w:rFonts w:ascii="Arial" w:hAnsi="Arial"/>
        </w:rPr>
        <w:t xml:space="preserve">(am Volltext geprüft)</w:t>
      </w:r>
    </w:p>
    <w:p>
      <w:pPr>
        <w:numPr>
          <w:ilvl w:val="0"/>
          <w:numId w:val="1005"/>
        </w:numPr>
        <w:pStyle w:val="Compact"/>
      </w:pPr>
      <w:r>
        <w:rPr>
          <w:rFonts w:ascii="Arial" w:hAnsi="Arial"/>
        </w:rPr>
        <w:t xml:space="preserve">Oliver et al. (2024), S. 624: „The ability to produce high levels of sprint speed, change of direction speed (CODS) and jump performance have also been shown to distinguish between more and less successful players at the junior level [10–12].“</w:t>
      </w:r>
    </w:p>
    <w:p>
      <w:pPr>
        <w:numPr>
          <w:ilvl w:val="0"/>
          <w:numId w:val="1005"/>
        </w:numPr>
        <w:pStyle w:val="Compact"/>
      </w:pPr>
      <w:r>
        <w:rPr>
          <w:rFonts w:ascii="Arial" w:hAnsi="Arial"/>
        </w:rPr>
        <w:t xml:space="preserve">Oliver et al. (2024), S. 625: „exposed to a high volume of training, which will include a high exposure to sprinting, accelerating and decelerating, changing direction and jumping.“</w:t>
      </w:r>
    </w:p>
    <w:p>
      <w:pPr>
        <w:numPr>
          <w:ilvl w:val="0"/>
          <w:numId w:val="1005"/>
        </w:numPr>
        <w:pStyle w:val="Compact"/>
      </w:pPr>
      <w:r>
        <w:rPr>
          <w:rFonts w:ascii="Arial" w:hAnsi="Arial"/>
        </w:rPr>
        <w:t xml:space="preserve">Oliver et al. (2024), S. 626: „Acceleration was presented as sprint time over distances of 0–10 m, and speed was represented as sprint time over distances of 15–40 m [56]“ · „Horizontal power was represented by jump distance in tests such as a standing broad jump“</w:t>
      </w:r>
    </w:p>
    <w:p>
      <w:pPr>
        <w:numPr>
          <w:ilvl w:val="0"/>
          <w:numId w:val="1005"/>
        </w:numPr>
        <w:pStyle w:val="Compact"/>
      </w:pPr>
      <w:r>
        <w:rPr>
          <w:rFonts w:ascii="Arial" w:hAnsi="Arial"/>
        </w:rPr>
        <w:t xml:space="preserve">McBurnie, Parr et al. (2022), S. 5: „training and match-play … can expose them to high volumes of high-speed running distance, sprinting distance, acceleration, and deceleration actions“ · S. 7: „COD speed can be considered the mechanical basis for effective agility“</w:t>
      </w:r>
    </w:p>
    <w:p>
      <w:pPr>
        <w:numPr>
          <w:ilvl w:val="0"/>
          <w:numId w:val="1005"/>
        </w:numPr>
        <w:pStyle w:val="Compact"/>
      </w:pPr>
      <w:r>
        <w:rPr>
          <w:rFonts w:ascii="Arial" w:hAnsi="Arial"/>
        </w:rPr>
        <w:t xml:space="preserve">Ramirez-Campillo et al. (2020), Ms.-S. 3: „youth elite and sub-elite players were shown to jump higher and run faster than non-elite“ · Ms.-S. 5: „separate indicators of fitness relevant to soccer performance, particularly at youth level where maturational changes are taking place“</w:t>
      </w:r>
    </w:p>
    <w:p>
      <w:pPr>
        <w:numPr>
          <w:ilvl w:val="0"/>
          <w:numId w:val="1005"/>
        </w:numPr>
        <w:pStyle w:val="Compact"/>
      </w:pPr>
      <w:r>
        <w:rPr>
          <w:rFonts w:ascii="Arial" w:hAnsi="Arial"/>
        </w:rPr>
        <w:t xml:space="preserve">Zheng et al. (2025), S. 5: „selected to reflect jumping, sprinting, and change-of-direction capabilities, based on their proven reliability and strong relevance to the physical demands of soccer“</w:t>
      </w:r>
    </w:p>
    <w:p>
      <w:pPr>
        <w:numPr>
          <w:ilvl w:val="0"/>
          <w:numId w:val="1005"/>
        </w:numPr>
        <w:pStyle w:val="Compact"/>
      </w:pPr>
      <w:r>
        <w:rPr>
          <w:rFonts w:ascii="Arial" w:hAnsi="Arial"/>
        </w:rPr>
        <w:t xml:space="preserve">Sheppard &amp; Young (2006), S. 923: „straight-sprinting speed and speed while changing direction appear to be distinct physical qualities“ · S. 929: „could be better described as change of direction speed tests“</w:t>
      </w:r>
    </w:p>
    <w:p>
      <w:pPr>
        <w:numPr>
          <w:ilvl w:val="0"/>
          <w:numId w:val="1005"/>
        </w:numPr>
        <w:pStyle w:val="Compact"/>
      </w:pPr>
      <w:r>
        <w:rPr>
          <w:rFonts w:ascii="Arial" w:hAnsi="Arial"/>
        </w:rPr>
        <w:t xml:space="preserve">Hicks et al. (2019), S. 1: „involves 2 key phases: acceleration and maximal velocity“</w:t>
      </w:r>
    </w:p>
    <w:p>
      <w:pPr>
        <w:numPr>
          <w:ilvl w:val="0"/>
          <w:numId w:val="1005"/>
        </w:numPr>
        <w:pStyle w:val="Compact"/>
      </w:pPr>
      <w:r>
        <w:rPr>
          <w:rFonts w:ascii="Arial" w:hAnsi="Arial"/>
        </w:rPr>
        <w:t xml:space="preserve">McBurnie, Harper et al. (2022), S. 2: Abbremsen „refers to the action performed during sporting scenarios that precedes a change-of-direction (COD) manoeuvre“</w:t>
      </w:r>
    </w:p>
    <w:p>
      <w:pPr>
        <w:numPr>
          <w:ilvl w:val="0"/>
          <w:numId w:val="1005"/>
        </w:numPr>
        <w:pStyle w:val="Compact"/>
      </w:pPr>
      <w:r>
        <w:rPr>
          <w:rFonts w:ascii="Arial" w:hAnsi="Arial"/>
        </w:rPr>
        <w:t xml:space="preserve">Tomkinson et al. (2021), S. 532: „a practical, feasible, widely used, ecologically valid and scalable measure of functional explosive strength“ · „very high test–retest reliability [21], negligible test–retest learning and fatigue effects“</w:t>
      </w:r>
    </w:p>
    <w:p>
      <w:pPr>
        <w:pStyle w:val="FirstParagraph"/>
      </w:pPr>
      <w:r>
        <w:rPr>
          <w:bCs/>
          <w:rFonts w:ascii="Arial" w:hAnsi="Arial"/>
          <w:b/>
        </w:rPr>
        <w:t xml:space="preserve">Stil:</w:t>
      </w:r>
      <w:r>
        <w:rPr>
          <w:rFonts w:ascii="Arial" w:hAnsi="Arial"/>
        </w:rPr>
        <w:t xml:space="preserve"> </w:t>
      </w:r>
      <w:r>
        <w:rPr>
          <w:rFonts w:ascii="Arial" w:hAnsi="Arial"/>
        </w:rPr>
        <w:t xml:space="preserve">Einstieg als generalisierende Präsensaussage · Konstrukte im Präsens, Literaturbefunde im Präteritum · abweichende Population im Satz · keine Einzelzahl aus einer Primärstudie · kein Satz erklärt die Durchführung eines Tests · keine Statistikdefinition · kein Abschnittsverweis, kein Semikolon, kein Satz über 32 Wörter · Begriffe wie in 4.4: Sprintschnelligkeit mit Beschleunigung und Sprintgeschwindigkeit, Richtungswechselschnelligkeit, Schnellkraft der Beine mit der Messgröße horizontale Sprungleistung.</w:t>
      </w:r>
    </w:p>
    <w:p>
      <w:pPr>
        <w:pStyle w:val="BodyText"/>
      </w:pPr>
      <w:r>
        <w:rPr>
          <w:bCs/>
          <w:rFonts w:ascii="Arial" w:hAnsi="Arial"/>
          <w:b/>
        </w:rPr>
        <w:t xml:space="preserve">Nicht in 2.4: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5940"/>
        <w:gridCol w:w="1980"/>
      </w:tblGrid>
      <w:tr>
        <w:trPr>
          <w:tblHeader w:val="true"/>
        </w:trPr>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Ort</w:t>
            </w:r>
          </w:p>
        </w:tc>
      </w:tr>
      <w:tr>
        <w:tc>
          <w:tcPr/>
          <w:p>
            <w:pPr>
              <w:pStyle w:val="Compact"/>
              <w:jc w:val="left"/>
            </w:pPr>
            <w:r>
              <w:rPr>
                <w:rFonts w:ascii="Arial" w:hAnsi="Arial"/>
                <w:sz w:val="18"/>
              </w:rPr>
              <w:t xml:space="preserve">Testablauf, Gerät, Versuche, Aggregation, eigene Messgüte</w:t>
            </w:r>
          </w:p>
        </w:tc>
        <w:tc>
          <w:tcPr/>
          <w:p>
            <w:pPr>
              <w:pStyle w:val="Compact"/>
              <w:jc w:val="left"/>
            </w:pPr>
            <w:r>
              <w:rPr>
                <w:rFonts w:ascii="Arial" w:hAnsi="Arial"/>
                <w:sz w:val="18"/>
              </w:rPr>
              <w:t xml:space="preserve">4.4 mit Tab. 1</w:t>
            </w:r>
          </w:p>
        </w:tc>
      </w:tr>
      <w:tr>
        <w:tc>
          <w:tcPr>
            <w:shd w:val="clear" w:color="auto" w:fill="EEF3F9"/>
          </w:tcPr>
          <w:p>
            <w:pPr>
              <w:pStyle w:val="Compact"/>
              <w:jc w:val="left"/>
            </w:pPr>
            <w:r>
              <w:rPr>
                <w:rFonts w:ascii="Arial" w:hAnsi="Arial"/>
                <w:sz w:val="18"/>
              </w:rPr>
              <w:t xml:space="preserve">Kraft und Dehnungs-Verkürzungs-Zyklus als Grundlage der Leistungen</w:t>
            </w:r>
          </w:p>
        </w:tc>
        <w:tc>
          <w:tcPr>
            <w:shd w:val="clear" w:color="auto" w:fill="EEF3F9"/>
          </w:tcPr>
          <w:p>
            <w:pPr>
              <w:pStyle w:val="Compact"/>
              <w:jc w:val="left"/>
            </w:pPr>
            <w:r>
              <w:rPr>
                <w:rFonts w:ascii="Arial" w:hAnsi="Arial"/>
                <w:sz w:val="18"/>
              </w:rPr>
              <w:t xml:space="preserve">2.1</w:t>
            </w:r>
          </w:p>
        </w:tc>
      </w:tr>
      <w:tr>
        <w:tc>
          <w:tcPr/>
          <w:p>
            <w:pPr>
              <w:pStyle w:val="Compact"/>
              <w:jc w:val="left"/>
            </w:pPr>
            <w:r>
              <w:rPr>
                <w:rFonts w:ascii="Arial" w:hAnsi="Arial"/>
                <w:sz w:val="18"/>
              </w:rPr>
              <w:t xml:space="preserve">Reife als Moderator der Zielgrößen</w:t>
            </w:r>
          </w:p>
        </w:tc>
        <w:tc>
          <w:tcPr/>
          <w:p>
            <w:pPr>
              <w:pStyle w:val="Compact"/>
              <w:jc w:val="left"/>
            </w:pPr>
            <w:r>
              <w:rPr>
                <w:rFonts w:ascii="Arial" w:hAnsi="Arial"/>
                <w:sz w:val="18"/>
              </w:rPr>
              <w:t xml:space="preserve">2.2</w:t>
            </w:r>
          </w:p>
        </w:tc>
      </w:tr>
      <w:tr>
        <w:tc>
          <w:tcPr>
            <w:shd w:val="clear" w:color="auto" w:fill="EEF3F9"/>
          </w:tcPr>
          <w:p>
            <w:pPr>
              <w:pStyle w:val="Compact"/>
              <w:jc w:val="left"/>
            </w:pPr>
            <w:r>
              <w:rPr>
                <w:rFonts w:ascii="Arial" w:hAnsi="Arial"/>
                <w:sz w:val="18"/>
              </w:rPr>
              <w:t xml:space="preserve">Leistungsverluste in der Sommerpause</w:t>
            </w:r>
          </w:p>
        </w:tc>
        <w:tc>
          <w:tcPr>
            <w:shd w:val="clear" w:color="auto" w:fill="EEF3F9"/>
          </w:tcPr>
          <w:p>
            <w:pPr>
              <w:pStyle w:val="Compact"/>
              <w:jc w:val="left"/>
            </w:pPr>
            <w:r>
              <w:rPr>
                <w:rFonts w:ascii="Arial" w:hAnsi="Arial"/>
                <w:sz w:val="18"/>
              </w:rPr>
              <w:t xml:space="preserve">2.3</w:t>
            </w:r>
          </w:p>
        </w:tc>
      </w:tr>
      <w:tr>
        <w:tc>
          <w:tcPr/>
          <w:p>
            <w:pPr>
              <w:pStyle w:val="Compact"/>
              <w:jc w:val="left"/>
            </w:pPr>
            <w:r>
              <w:rPr>
                <w:rFonts w:ascii="Arial" w:hAnsi="Arial"/>
                <w:sz w:val="18"/>
              </w:rPr>
              <w:t xml:space="preserve">Trainingseffekte auf die Zielgrößen</w:t>
            </w:r>
          </w:p>
        </w:tc>
        <w:tc>
          <w:tcPr/>
          <w:p>
            <w:pPr>
              <w:pStyle w:val="Compact"/>
              <w:jc w:val="left"/>
            </w:pPr>
            <w:r>
              <w:rPr>
                <w:rFonts w:ascii="Arial" w:hAnsi="Arial"/>
                <w:sz w:val="18"/>
              </w:rPr>
              <w:t xml:space="preserve">2.5</w:t>
            </w:r>
          </w:p>
        </w:tc>
      </w:tr>
      <w:tr>
        <w:tc>
          <w:tcPr>
            <w:shd w:val="clear" w:color="auto" w:fill="EEF3F9"/>
          </w:tcPr>
          <w:p>
            <w:pPr>
              <w:pStyle w:val="Compact"/>
              <w:jc w:val="left"/>
            </w:pPr>
            <w:r>
              <w:rPr>
                <w:rFonts w:ascii="Arial" w:hAnsi="Arial"/>
                <w:sz w:val="18"/>
              </w:rPr>
              <w:t xml:space="preserve">Grenzen der Tests: seltene 180°-Wenden im Spiel, Sprintanteil der 505-Zeit, Startdistanz, Lerneffekt beim Standweitsprung</w:t>
            </w:r>
          </w:p>
        </w:tc>
        <w:tc>
          <w:tcPr>
            <w:shd w:val="clear" w:color="auto" w:fill="EEF3F9"/>
          </w:tcPr>
          <w:p>
            <w:pPr>
              <w:pStyle w:val="Compact"/>
              <w:jc w:val="left"/>
            </w:pPr>
            <w:r>
              <w:rPr>
                <w:rFonts w:ascii="Arial" w:hAnsi="Arial"/>
                <w:sz w:val="18"/>
              </w:rPr>
              <w:t xml:space="preserve">6.2</w:t>
            </w:r>
          </w:p>
        </w:tc>
      </w:tr>
      <w:tr>
        <w:tc>
          <w:tcPr/>
          <w:p>
            <w:pPr>
              <w:pStyle w:val="Compact"/>
              <w:jc w:val="left"/>
            </w:pPr>
            <w:r>
              <w:rPr>
                <w:rFonts w:ascii="Arial" w:hAnsi="Arial"/>
                <w:sz w:val="18"/>
              </w:rPr>
              <w:t xml:space="preserve">Normwerte des Standweitsprungs</w:t>
            </w:r>
          </w:p>
        </w:tc>
        <w:tc>
          <w:tcPr/>
          <w:p>
            <w:pPr>
              <w:pStyle w:val="Compact"/>
              <w:jc w:val="left"/>
            </w:pPr>
            <w:r>
              <w:rPr>
                <w:rFonts w:ascii="Arial" w:hAnsi="Arial"/>
                <w:sz w:val="18"/>
              </w:rPr>
              <w:t xml:space="preserve">6.1</w:t>
            </w:r>
          </w:p>
        </w:tc>
      </w:tr>
      <w:tr>
        <w:tc>
          <w:tcPr>
            <w:shd w:val="clear" w:color="auto" w:fill="EEF3F9"/>
          </w:tcPr>
          <w:p>
            <w:pPr>
              <w:pStyle w:val="Compact"/>
              <w:jc w:val="left"/>
            </w:pPr>
            <w:r>
              <w:rPr>
                <w:rFonts w:ascii="Arial" w:hAnsi="Arial"/>
                <w:sz w:val="18"/>
              </w:rPr>
              <w:t xml:space="preserve">Häufigkeiten und Kennwerte aus Primärstudien, Definitionen statistischer Kennwerte</w:t>
            </w:r>
          </w:p>
        </w:tc>
        <w:tc>
          <w:tcPr>
            <w:shd w:val="clear" w:color="auto" w:fill="EEF3F9"/>
          </w:tcPr>
          <w:p>
            <w:pPr>
              <w:pStyle w:val="Compact"/>
              <w:jc w:val="left"/>
            </w:pPr>
            <w:r>
              <w:rPr>
                <w:rFonts w:ascii="Arial" w:hAnsi="Arial"/>
                <w:sz w:val="18"/>
              </w:rPr>
              <w:t xml:space="preserve">entfällt oder Anmerkung zu Tab. 1</w:t>
            </w:r>
          </w:p>
        </w:tc>
      </w:tr>
    </w:tbl>
    <w:bookmarkEnd w:id="25"/>
    <w:bookmarkStart w:id="26" w:name="roter-faden-und-abgrenzung"/>
    <w:p>
      <w:pPr>
        <w:pStyle w:val="Heading2"/>
      </w:pPr>
      <w:r>
        <w:rPr>
          <w:rFonts w:ascii="Arial" w:hAnsi="Arial"/>
        </w:rPr>
        <w:t xml:space="preserve">6 Roter Faden und Abgrenzung</w:t>
      </w:r>
    </w:p>
    <w:p>
      <w:pPr>
        <w:pStyle w:val="FirstParagraph"/>
      </w:pPr>
      <w:r>
        <w:rPr>
          <w:rFonts w:ascii="Arial" w:hAnsi="Arial"/>
        </w:rPr>
        <w:t xml:space="preserve">Der Trichter der Artikeleinleitung verteilt sich bei uns auf Kapitel 1 bis 3. Jeder Zug hat genau einen Ort.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742"/>
        <w:gridCol w:w="1584"/>
        <w:gridCol w:w="4593"/>
      </w:tblGrid>
      <w:tr>
        <w:trPr>
          <w:tblHeader w:val="true"/>
        </w:trPr>
        <w:tc>
          <w:tcPr>
            <w:shd w:val="clear" w:color="auto" w:fill="D6E4F0"/>
          </w:tcPr>
          <w:p>
            <w:pPr>
              <w:pStyle w:val="Compact"/>
              <w:jc w:val="left"/>
            </w:pPr>
            <w:r>
              <w:rPr>
                <w:rFonts w:ascii="Arial" w:hAnsi="Arial"/>
                <w:b/>
                <w:sz w:val="18"/>
              </w:rPr>
              <w:t xml:space="preserve">Zug im Artikel</w:t>
            </w:r>
          </w:p>
        </w:tc>
        <w:tc>
          <w:tcPr>
            <w:shd w:val="clear" w:color="auto" w:fill="D6E4F0"/>
          </w:tcPr>
          <w:p>
            <w:pPr>
              <w:pStyle w:val="Compact"/>
              <w:jc w:val="left"/>
            </w:pPr>
            <w:r>
              <w:rPr>
                <w:rFonts w:ascii="Arial" w:hAnsi="Arial"/>
                <w:b/>
                <w:sz w:val="18"/>
              </w:rPr>
              <w:t xml:space="preserve">Ort bei uns</w:t>
            </w:r>
          </w:p>
        </w:tc>
        <w:tc>
          <w:tcPr>
            <w:shd w:val="clear" w:color="auto" w:fill="D6E4F0"/>
          </w:tcPr>
          <w:p>
            <w:pPr>
              <w:pStyle w:val="Compact"/>
              <w:jc w:val="left"/>
            </w:pPr>
            <w:r>
              <w:rPr>
                <w:rFonts w:ascii="Arial" w:hAnsi="Arial"/>
                <w:b/>
                <w:sz w:val="18"/>
              </w:rPr>
              <w:t xml:space="preserve">Anschluss</w:t>
            </w:r>
          </w:p>
        </w:tc>
      </w:tr>
      <w:tr>
        <w:tc>
          <w:tcPr/>
          <w:p>
            <w:pPr>
              <w:pStyle w:val="Compact"/>
              <w:jc w:val="left"/>
            </w:pPr>
            <w:r>
              <w:rPr>
                <w:rFonts w:ascii="Arial" w:hAnsi="Arial"/>
                <w:sz w:val="18"/>
              </w:rPr>
              <w:t xml:space="preserve">Z1, Z2 Relevanz</w:t>
            </w:r>
          </w:p>
        </w:tc>
        <w:tc>
          <w:tcPr/>
          <w:p>
            <w:pPr>
              <w:pStyle w:val="Compact"/>
              <w:jc w:val="left"/>
            </w:pPr>
            <w:r>
              <w:rPr>
                <w:rFonts w:ascii="Arial" w:hAnsi="Arial"/>
                <w:sz w:val="18"/>
              </w:rPr>
              <w:t xml:space="preserve">Kapitel 1 ein Satz, 2.4 mit Belegen</w:t>
            </w:r>
          </w:p>
        </w:tc>
        <w:tc>
          <w:tcPr/>
          <w:p>
            <w:pPr>
              <w:pStyle w:val="Compact"/>
              <w:jc w:val="left"/>
            </w:pPr>
            <w:r>
              <w:rPr>
                <w:rFonts w:ascii="Arial" w:hAnsi="Arial"/>
                <w:sz w:val="18"/>
              </w:rPr>
              <w:t xml:space="preserve">Kapitel 1 nennt den Kern, 2.4 belegt ihn</w:t>
            </w:r>
          </w:p>
        </w:tc>
      </w:tr>
      <w:tr>
        <w:tc>
          <w:tcPr>
            <w:shd w:val="clear" w:color="auto" w:fill="EEF3F9"/>
          </w:tcPr>
          <w:p>
            <w:pPr>
              <w:pStyle w:val="Compact"/>
              <w:jc w:val="left"/>
            </w:pPr>
            <w:r>
              <w:rPr>
                <w:rFonts w:ascii="Arial" w:hAnsi="Arial"/>
                <w:sz w:val="18"/>
              </w:rPr>
              <w:t xml:space="preserve">Z4 Determinanten</w:t>
            </w:r>
          </w:p>
        </w:tc>
        <w:tc>
          <w:tcPr>
            <w:shd w:val="clear" w:color="auto" w:fill="EEF3F9"/>
          </w:tcPr>
          <w:p>
            <w:pPr>
              <w:pStyle w:val="Compact"/>
              <w:jc w:val="left"/>
            </w:pPr>
            <w:r>
              <w:rPr>
                <w:rFonts w:ascii="Arial" w:hAnsi="Arial"/>
                <w:sz w:val="18"/>
              </w:rPr>
              <w:t xml:space="preserve">2.1</w:t>
            </w:r>
          </w:p>
        </w:tc>
        <w:tc>
          <w:tcPr>
            <w:shd w:val="clear" w:color="auto" w:fill="EEF3F9"/>
          </w:tcPr>
          <w:p>
            <w:pPr>
              <w:pStyle w:val="Compact"/>
              <w:jc w:val="left"/>
            </w:pPr>
            <w:r>
              <w:rPr>
                <w:rFonts w:ascii="Arial" w:hAnsi="Arial"/>
                <w:sz w:val="18"/>
              </w:rPr>
              <w:t xml:space="preserve">2.4 nennt Kraft und DVZ nicht</w:t>
            </w:r>
          </w:p>
        </w:tc>
      </w:tr>
      <w:tr>
        <w:tc>
          <w:tcPr/>
          <w:p>
            <w:pPr>
              <w:pStyle w:val="Compact"/>
              <w:jc w:val="left"/>
            </w:pPr>
            <w:r>
              <w:rPr>
                <w:rFonts w:ascii="Arial" w:hAnsi="Arial"/>
                <w:sz w:val="18"/>
              </w:rPr>
              <w:t xml:space="preserve">Z8 Reife</w:t>
            </w:r>
          </w:p>
        </w:tc>
        <w:tc>
          <w:tcPr/>
          <w:p>
            <w:pPr>
              <w:pStyle w:val="Compact"/>
              <w:jc w:val="left"/>
            </w:pPr>
            <w:r>
              <w:rPr>
                <w:rFonts w:ascii="Arial" w:hAnsi="Arial"/>
                <w:sz w:val="18"/>
              </w:rPr>
              <w:t xml:space="preserve">2.2</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Z8 Saisonphase</w:t>
            </w:r>
          </w:p>
        </w:tc>
        <w:tc>
          <w:tcPr>
            <w:shd w:val="clear" w:color="auto" w:fill="EEF3F9"/>
          </w:tcPr>
          <w:p>
            <w:pPr>
              <w:pStyle w:val="Compact"/>
              <w:jc w:val="left"/>
            </w:pPr>
            <w:r>
              <w:rPr>
                <w:rFonts w:ascii="Arial" w:hAnsi="Arial"/>
                <w:sz w:val="18"/>
              </w:rPr>
              <w:t xml:space="preserve">2.3</w:t>
            </w:r>
          </w:p>
        </w:tc>
        <w:tc>
          <w:tcPr>
            <w:shd w:val="clear" w:color="auto" w:fill="EEF3F9"/>
          </w:tcPr>
          <w:p>
            <w:pPr>
              <w:pStyle w:val="Compact"/>
              <w:jc w:val="left"/>
            </w:pPr>
            <w:r>
              <w:rPr>
                <w:rFonts w:ascii="Arial" w:hAnsi="Arial"/>
                <w:sz w:val="18"/>
              </w:rPr>
              <w:t xml:space="preserve">2.3 endet mit den Verlusten in Sprint-, Sprung- und Richtungswechselleistung, 2.4 setzt mit deren Bedeutung ein. Die Brücke ist inhaltlich, kein Verweis</w:t>
            </w:r>
          </w:p>
        </w:tc>
      </w:tr>
      <w:tr>
        <w:tc>
          <w:tcPr/>
          <w:p>
            <w:pPr>
              <w:pStyle w:val="Compact"/>
              <w:jc w:val="left"/>
            </w:pPr>
            <w:r>
              <w:rPr>
                <w:rFonts w:ascii="Arial" w:hAnsi="Arial"/>
                <w:sz w:val="18"/>
              </w:rPr>
              <w:t xml:space="preserve">Z3, Z6, Z7 Konstrukt und Messung</w:t>
            </w:r>
          </w:p>
        </w:tc>
        <w:tc>
          <w:tcPr/>
          <w:p>
            <w:pPr>
              <w:pStyle w:val="Compact"/>
              <w:jc w:val="left"/>
            </w:pPr>
            <w:r>
              <w:rPr>
                <w:rFonts w:ascii="Arial" w:hAnsi="Arial"/>
                <w:sz w:val="18"/>
              </w:rPr>
              <w:t xml:space="preserve">2.4</w:t>
            </w:r>
          </w:p>
        </w:tc>
        <w:tc>
          <w:tcPr/>
          <w:p>
            <w:pPr>
              <w:pStyle w:val="Compact"/>
              <w:jc w:val="left"/>
            </w:pPr>
            <w:r>
              <w:rPr>
                <w:rFonts w:ascii="Arial" w:hAnsi="Arial"/>
                <w:sz w:val="18"/>
              </w:rPr>
              <w:t xml:space="preserve">endet mit den Kategorien, in denen 2.5 berichtet</w:t>
            </w:r>
          </w:p>
        </w:tc>
      </w:tr>
      <w:tr>
        <w:tc>
          <w:tcPr>
            <w:shd w:val="clear" w:color="auto" w:fill="EEF3F9"/>
          </w:tcPr>
          <w:p>
            <w:pPr>
              <w:pStyle w:val="Compact"/>
              <w:jc w:val="left"/>
            </w:pPr>
            <w:r>
              <w:rPr>
                <w:rFonts w:ascii="Arial" w:hAnsi="Arial"/>
                <w:sz w:val="18"/>
              </w:rPr>
              <w:t xml:space="preserve">Z5 Trainierbarkeit</w:t>
            </w:r>
          </w:p>
        </w:tc>
        <w:tc>
          <w:tcPr>
            <w:shd w:val="clear" w:color="auto" w:fill="EEF3F9"/>
          </w:tcPr>
          <w:p>
            <w:pPr>
              <w:pStyle w:val="Compact"/>
              <w:jc w:val="left"/>
            </w:pPr>
            <w:r>
              <w:rPr>
                <w:rFonts w:ascii="Arial" w:hAnsi="Arial"/>
                <w:sz w:val="18"/>
              </w:rPr>
              <w:t xml:space="preserve">2.5</w:t>
            </w:r>
          </w:p>
        </w:tc>
        <w:tc>
          <w:tcPr>
            <w:shd w:val="clear" w:color="auto" w:fill="EEF3F9"/>
          </w:tcPr>
          <w:p>
            <w:pPr>
              <w:pStyle w:val="Compact"/>
              <w:jc w:val="left"/>
            </w:pPr>
            <w:r>
              <w:rPr>
                <w:rFonts w:ascii="Arial" w:hAnsi="Arial"/>
                <w:sz w:val="18"/>
              </w:rPr>
              <w:t xml:space="preserve">Effekte je Kategorie</w:t>
            </w:r>
          </w:p>
        </w:tc>
      </w:tr>
      <w:tr>
        <w:tc>
          <w:tcPr/>
          <w:p>
            <w:pPr>
              <w:pStyle w:val="Compact"/>
              <w:jc w:val="left"/>
            </w:pPr>
            <w:r>
              <w:rPr>
                <w:rFonts w:ascii="Arial" w:hAnsi="Arial"/>
                <w:sz w:val="18"/>
              </w:rPr>
              <w:t xml:space="preserve">Z9, Z10 Lücke und Zweck</w:t>
            </w:r>
          </w:p>
        </w:tc>
        <w:tc>
          <w:tcPr/>
          <w:p>
            <w:pPr>
              <w:pStyle w:val="Compact"/>
              <w:jc w:val="left"/>
            </w:pPr>
            <w:r>
              <w:rPr>
                <w:rFonts w:ascii="Arial" w:hAnsi="Arial"/>
                <w:sz w:val="18"/>
              </w:rPr>
              <w:t xml:space="preserve">Kapitel 3</w:t>
            </w:r>
          </w:p>
        </w:tc>
        <w:tc>
          <w:tcPr/>
          <w:p>
            <w:pPr>
              <w:pStyle w:val="Compact"/>
              <w:jc w:val="left"/>
            </w:pPr>
            <w:r>
              <w:rPr>
                <w:rFonts w:ascii="Arial" w:hAnsi="Arial"/>
                <w:sz w:val="18"/>
              </w:rPr>
              <w:t xml:space="preserve">Hypothesen in derselben Reihenfolge</w:t>
            </w:r>
          </w:p>
        </w:tc>
      </w:tr>
      <w:tr>
        <w:tc>
          <w:tcPr>
            <w:shd w:val="clear" w:color="auto" w:fill="EEF3F9"/>
          </w:tcPr>
          <w:p>
            <w:pPr>
              <w:pStyle w:val="Compact"/>
              <w:jc w:val="left"/>
            </w:pPr>
            <w:r>
              <w:rPr>
                <w:rFonts w:ascii="Arial" w:hAnsi="Arial"/>
                <w:sz w:val="18"/>
              </w:rPr>
              <w:t xml:space="preserve">Testteil</w:t>
            </w:r>
          </w:p>
        </w:tc>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left"/>
            </w:pPr>
            <w:r>
              <w:rPr>
                <w:rFonts w:ascii="Arial" w:hAnsi="Arial"/>
                <w:sz w:val="18"/>
              </w:rPr>
              <w:t xml:space="preserve">Protokoll, Gerät, Versuche, Aggregation, Tab. 1</w:t>
            </w:r>
          </w:p>
        </w:tc>
      </w:tr>
      <w:tr>
        <w:tc>
          <w:tcPr/>
          <w:p>
            <w:pPr>
              <w:pStyle w:val="Compact"/>
              <w:jc w:val="left"/>
            </w:pPr>
            <w:r>
              <w:rPr>
                <w:rFonts w:ascii="Arial" w:hAnsi="Arial"/>
                <w:sz w:val="18"/>
              </w:rPr>
              <w:t xml:space="preserve">Relevanzsatz je Zielgröße</w:t>
            </w:r>
          </w:p>
        </w:tc>
        <w:tc>
          <w:tcPr/>
          <w:p>
            <w:pPr>
              <w:pStyle w:val="Compact"/>
              <w:jc w:val="left"/>
            </w:pPr>
            <w:r>
              <w:rPr>
                <w:rFonts w:ascii="Arial" w:hAnsi="Arial"/>
                <w:sz w:val="18"/>
              </w:rPr>
              <w:t xml:space="preserve">6.1</w:t>
            </w:r>
          </w:p>
        </w:tc>
        <w:tc>
          <w:tcPr/>
          <w:p>
            <w:pPr>
              <w:pStyle w:val="Compact"/>
              <w:jc w:val="left"/>
            </w:pPr>
            <w:r>
              <w:rPr>
                <w:rFonts w:ascii="Arial" w:hAnsi="Arial"/>
                <w:sz w:val="18"/>
              </w:rPr>
              <w:t xml:space="preserve">Halbsatz</w:t>
            </w:r>
          </w:p>
        </w:tc>
      </w:tr>
    </w:tbl>
    <w:p>
      <w:pPr>
        <w:pStyle w:val="BodyText"/>
      </w:pPr>
      <w:r>
        <w:rPr>
          <w:bCs/>
          <w:rFonts w:ascii="Arial" w:hAnsi="Arial"/>
          <w:b/>
        </w:rPr>
        <w:t xml:space="preserve">Stellung von 2.4: bleibt vor 2.5.</w:t>
      </w:r>
      <w:r>
        <w:rPr>
          <w:rFonts w:ascii="Arial" w:hAnsi="Arial"/>
        </w:rPr>
        <w:t xml:space="preserve"> </w:t>
      </w:r>
      <w:r>
        <w:rPr>
          <w:rFonts w:ascii="Arial" w:hAnsi="Arial"/>
        </w:rPr>
        <w:t xml:space="preserve">Gründe: SMK-Muster (Messung als letzter Theorieunterabschnitt vor dem Forschungsstand, S. 18), inhaltliche Brücke von 2.3, und 2.5 berichtet unmittelbar danach Effekte auf genau diese Zielgrößen. Die Alternative, 2.4 an den Anfang von Kapitel 2 zu stellen, folgt dem Artikeltrichter (7 von 11 Einleitungen beginnen mit der Relevanz), kostet aber eine Umgliederung und doppelt Kapitel 1.</w:t>
      </w:r>
    </w:p>
    <w:bookmarkEnd w:id="26"/>
    <w:bookmarkStart w:id="27" w:name="X553976d39942c2fe0c5c88ee814ea41a2b1385e"/>
    <w:p>
      <w:pPr>
        <w:pStyle w:val="Heading2"/>
      </w:pPr>
      <w:r>
        <w:rPr>
          <w:rFonts w:ascii="Arial" w:hAnsi="Arial"/>
        </w:rPr>
        <w:t xml:space="preserve">7 Abgleich mit Textvorschlag 2.4 Fassung 5 (251 Wörter)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92"/>
        <w:gridCol w:w="2613"/>
        <w:gridCol w:w="2613"/>
      </w:tblGrid>
      <w:tr>
        <w:trPr>
          <w:tblHeader w:val="true"/>
        </w:trPr>
        <w:tc>
          <w:tcPr>
            <w:shd w:val="clear" w:color="auto" w:fill="D6E4F0"/>
          </w:tcPr>
          <w:p>
            <w:pPr>
              <w:pStyle w:val="Compact"/>
              <w:jc w:val="left"/>
            </w:pPr>
            <w:r>
              <w:rPr>
                <w:rFonts w:ascii="Arial" w:hAnsi="Arial"/>
                <w:b/>
                <w:sz w:val="18"/>
              </w:rPr>
              <w:t xml:space="preserve">Fassung 5</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Empfehlung</w:t>
            </w:r>
          </w:p>
        </w:tc>
      </w:tr>
      <w:tr>
        <w:tc>
          <w:tcPr/>
          <w:p>
            <w:pPr>
              <w:pStyle w:val="Compact"/>
              <w:jc w:val="left"/>
            </w:pPr>
            <w:r>
              <w:rPr>
                <w:rFonts w:ascii="Arial" w:hAnsi="Arial"/>
                <w:sz w:val="18"/>
              </w:rPr>
              <w:t xml:space="preserve">1.1–1.2 breiter Einstieg (Turner &amp; Stewart)</w:t>
            </w:r>
          </w:p>
        </w:tc>
        <w:tc>
          <w:tcPr/>
          <w:p>
            <w:pPr>
              <w:pStyle w:val="Compact"/>
              <w:jc w:val="left"/>
            </w:pPr>
            <w:r>
              <w:rPr>
                <w:rFonts w:ascii="Arial" w:hAnsi="Arial"/>
                <w:sz w:val="18"/>
              </w:rPr>
              <w:t xml:space="preserve">Einstieg mit der Anforderung wie in 7 von 11 Einleitungen</w:t>
            </w:r>
          </w:p>
        </w:tc>
        <w:tc>
          <w:tcPr/>
          <w:p>
            <w:pPr>
              <w:pStyle w:val="Compact"/>
              <w:jc w:val="left"/>
            </w:pPr>
            <w:r>
              <w:rPr>
                <w:rFonts w:ascii="Arial" w:hAnsi="Arial"/>
                <w:sz w:val="18"/>
              </w:rPr>
              <w:t xml:space="preserve">bleibt</w:t>
            </w:r>
          </w:p>
        </w:tc>
      </w:tr>
      <w:tr>
        <w:tc>
          <w:tcPr>
            <w:shd w:val="clear" w:color="auto" w:fill="EEF3F9"/>
          </w:tcPr>
          <w:p>
            <w:pPr>
              <w:pStyle w:val="Compact"/>
              <w:jc w:val="left"/>
            </w:pPr>
            <w:r>
              <w:rPr>
                <w:rFonts w:ascii="Arial" w:hAnsi="Arial"/>
                <w:sz w:val="18"/>
              </w:rPr>
              <w:t xml:space="preserve">1.3 Abbremsungen im Elitefußball (Harper et al., 2019)</w:t>
            </w:r>
          </w:p>
        </w:tc>
        <w:tc>
          <w:tcPr>
            <w:shd w:val="clear" w:color="auto" w:fill="EEF3F9"/>
          </w:tcPr>
          <w:p>
            <w:pPr>
              <w:pStyle w:val="Compact"/>
              <w:jc w:val="left"/>
            </w:pPr>
            <w:r>
              <w:rPr>
                <w:rFonts w:ascii="Arial" w:hAnsi="Arial"/>
                <w:sz w:val="18"/>
              </w:rPr>
              <w:t xml:space="preserve">Erwachsenendetail ohne eigene Funktion im Trichter, Volltext nicht im Ordner</w:t>
            </w:r>
          </w:p>
        </w:tc>
        <w:tc>
          <w:tcPr>
            <w:shd w:val="clear" w:color="auto" w:fill="EEF3F9"/>
          </w:tcPr>
          <w:p>
            <w:pPr>
              <w:pStyle w:val="Compact"/>
              <w:jc w:val="left"/>
            </w:pPr>
            <w:r>
              <w:rPr>
                <w:rFonts w:ascii="Arial" w:hAnsi="Arial"/>
                <w:sz w:val="18"/>
              </w:rPr>
              <w:t xml:space="preserve">streichen, Abbremsen erst beim 505 (McBurnie, Harper et al., 2022, im Ordner)</w:t>
            </w:r>
          </w:p>
        </w:tc>
      </w:tr>
      <w:tr>
        <w:tc>
          <w:tcPr/>
          <w:p>
            <w:pPr>
              <w:pStyle w:val="Compact"/>
              <w:jc w:val="left"/>
            </w:pPr>
            <w:r>
              <w:rPr>
                <w:rFonts w:ascii="Arial" w:hAnsi="Arial"/>
                <w:sz w:val="18"/>
              </w:rPr>
              <w:t xml:space="preserve">1.4 Nachwuchs (McBurnie, Parr, Oliver)</w:t>
            </w:r>
          </w:p>
        </w:tc>
        <w:tc>
          <w:tcPr/>
          <w:p>
            <w:pPr>
              <w:pStyle w:val="Compact"/>
              <w:jc w:val="left"/>
            </w:pPr>
            <w:r>
              <w:rPr>
                <w:rFonts w:ascii="Arial" w:hAnsi="Arial"/>
                <w:sz w:val="18"/>
              </w:rPr>
              <w:t xml:space="preserve">Z1 auf Übersichtsebene</w:t>
            </w:r>
          </w:p>
        </w:tc>
        <w:tc>
          <w:tcPr/>
          <w:p>
            <w:pPr>
              <w:pStyle w:val="Compact"/>
              <w:jc w:val="left"/>
            </w:pPr>
            <w:r>
              <w:rPr>
                <w:rFonts w:ascii="Arial" w:hAnsi="Arial"/>
                <w:sz w:val="18"/>
              </w:rPr>
              <w:t xml:space="preserve">bleibt</w:t>
            </w:r>
          </w:p>
        </w:tc>
      </w:tr>
      <w:tr>
        <w:tc>
          <w:tcPr>
            <w:shd w:val="clear" w:color="auto" w:fill="EEF3F9"/>
          </w:tcPr>
          <w:p>
            <w:pPr>
              <w:pStyle w:val="Compact"/>
              <w:jc w:val="left"/>
            </w:pPr>
            <w:r>
              <w:rPr>
                <w:rFonts w:ascii="Arial" w:hAnsi="Arial"/>
                <w:sz w:val="18"/>
              </w:rPr>
              <w:t xml:space="preserve">1.5 Kraft hängt mit Beschleunigung zusammen (Oliver)</w:t>
            </w:r>
          </w:p>
        </w:tc>
        <w:tc>
          <w:tcPr>
            <w:shd w:val="clear" w:color="auto" w:fill="EEF3F9"/>
          </w:tcPr>
          <w:p>
            <w:pPr>
              <w:pStyle w:val="Compact"/>
              <w:jc w:val="left"/>
            </w:pPr>
            <w:r>
              <w:rPr>
                <w:rFonts w:ascii="Arial" w:hAnsi="Arial"/>
                <w:sz w:val="18"/>
              </w:rPr>
              <w:t xml:space="preserve">Z4, Relais mit Trainingsstudien, Aufgabe von 2.1</w:t>
            </w:r>
          </w:p>
        </w:tc>
        <w:tc>
          <w:tcPr>
            <w:shd w:val="clear" w:color="auto" w:fill="EEF3F9"/>
          </w:tcPr>
          <w:p>
            <w:pPr>
              <w:pStyle w:val="Compact"/>
              <w:jc w:val="left"/>
            </w:pPr>
            <w:r>
              <w:rPr>
                <w:rFonts w:ascii="Arial" w:hAnsi="Arial"/>
                <w:sz w:val="18"/>
              </w:rPr>
              <w:t xml:space="preserve">streichen</w:t>
            </w:r>
          </w:p>
        </w:tc>
      </w:tr>
      <w:tr>
        <w:tc>
          <w:tcPr/>
          <w:p>
            <w:pPr>
              <w:pStyle w:val="Compact"/>
              <w:jc w:val="left"/>
            </w:pPr>
            <w:r>
              <w:rPr>
                <w:rFonts w:ascii="Arial" w:hAnsi="Arial"/>
                <w:sz w:val="18"/>
              </w:rPr>
              <w:t xml:space="preserve">fehlt</w:t>
            </w:r>
          </w:p>
        </w:tc>
        <w:tc>
          <w:tcPr/>
          <w:p>
            <w:pPr>
              <w:pStyle w:val="Compact"/>
              <w:jc w:val="left"/>
            </w:pPr>
            <w:r>
              <w:rPr>
                <w:rFonts w:ascii="Arial" w:hAnsi="Arial"/>
                <w:sz w:val="18"/>
              </w:rPr>
              <w:t xml:space="preserve">Leistungsrelevanz (Z2) ist der häufigste Relevanzzug (9 von 11 Interventions-, 18 von 19 Diagnostikeinleitungen)</w:t>
            </w:r>
          </w:p>
        </w:tc>
        <w:tc>
          <w:tcPr/>
          <w:p>
            <w:pPr>
              <w:pStyle w:val="Compact"/>
              <w:jc w:val="left"/>
            </w:pPr>
            <w:r>
              <w:rPr>
                <w:rFonts w:ascii="Arial" w:hAnsi="Arial"/>
                <w:sz w:val="18"/>
              </w:rPr>
              <w:t xml:space="preserve">ergänzen (Oliver S. 624, Ramirez-Campillo 2020)</w:t>
            </w:r>
          </w:p>
        </w:tc>
      </w:tr>
      <w:tr>
        <w:tc>
          <w:tcPr>
            <w:shd w:val="clear" w:color="auto" w:fill="EEF3F9"/>
          </w:tcPr>
          <w:p>
            <w:pPr>
              <w:pStyle w:val="Compact"/>
              <w:jc w:val="left"/>
            </w:pPr>
            <w:r>
              <w:rPr>
                <w:rFonts w:ascii="Arial" w:hAnsi="Arial"/>
                <w:sz w:val="18"/>
              </w:rPr>
              <w:t xml:space="preserve">2.1 Sprint und Richtungswechsel eigenständig (Sheppard &amp; Young)</w:t>
            </w:r>
          </w:p>
        </w:tc>
        <w:tc>
          <w:tcPr>
            <w:shd w:val="clear" w:color="auto" w:fill="EEF3F9"/>
          </w:tcPr>
          <w:p>
            <w:pPr>
              <w:pStyle w:val="Compact"/>
              <w:jc w:val="left"/>
            </w:pPr>
            <w:r>
              <w:rPr>
                <w:rFonts w:ascii="Arial" w:hAnsi="Arial"/>
                <w:sz w:val="18"/>
              </w:rPr>
              <w:t xml:space="preserve">Z3</w:t>
            </w:r>
          </w:p>
        </w:tc>
        <w:tc>
          <w:tcPr>
            <w:shd w:val="clear" w:color="auto" w:fill="EEF3F9"/>
          </w:tcPr>
          <w:p>
            <w:pPr>
              <w:pStyle w:val="Compact"/>
              <w:jc w:val="left"/>
            </w:pPr>
            <w:r>
              <w:rPr>
                <w:rFonts w:ascii="Arial" w:hAnsi="Arial"/>
                <w:sz w:val="18"/>
              </w:rPr>
              <w:t xml:space="preserve">in den Richtungswechselabsatz</w:t>
            </w:r>
          </w:p>
        </w:tc>
      </w:tr>
      <w:tr>
        <w:tc>
          <w:tcPr/>
          <w:p>
            <w:pPr>
              <w:pStyle w:val="Compact"/>
              <w:jc w:val="left"/>
            </w:pPr>
            <w:r>
              <w:rPr>
                <w:rFonts w:ascii="Arial" w:hAnsi="Arial"/>
                <w:sz w:val="18"/>
              </w:rPr>
              <w:t xml:space="preserve">2.2 und 2.5 Güte über Altmann et al. (2019)</w:t>
            </w:r>
          </w:p>
        </w:tc>
        <w:tc>
          <w:tcPr/>
          <w:p>
            <w:pPr>
              <w:pStyle w:val="Compact"/>
              <w:jc w:val="left"/>
            </w:pPr>
            <w:r>
              <w:rPr>
                <w:rFonts w:ascii="Arial" w:hAnsi="Arial"/>
                <w:sz w:val="18"/>
              </w:rPr>
              <w:t xml:space="preserve">Z7 auf Übersichtsebene, Volltext nicht im Ordner</w:t>
            </w:r>
          </w:p>
        </w:tc>
        <w:tc>
          <w:tcPr/>
          <w:p>
            <w:pPr>
              <w:pStyle w:val="Compact"/>
              <w:jc w:val="left"/>
            </w:pPr>
            <w:r>
              <w:rPr>
                <w:rFonts w:ascii="Arial" w:hAnsi="Arial"/>
                <w:sz w:val="18"/>
              </w:rPr>
              <w:t xml:space="preserve">PDF ablegen, sonst beide Güteaussagen streichen</w:t>
            </w:r>
          </w:p>
        </w:tc>
      </w:tr>
      <w:tr>
        <w:tc>
          <w:tcPr>
            <w:shd w:val="clear" w:color="auto" w:fill="EEF3F9"/>
          </w:tcPr>
          <w:p>
            <w:pPr>
              <w:pStyle w:val="Compact"/>
              <w:jc w:val="left"/>
            </w:pPr>
            <w:r>
              <w:rPr>
                <w:rFonts w:ascii="Arial" w:hAnsi="Arial"/>
                <w:sz w:val="18"/>
              </w:rPr>
              <w:t xml:space="preserve">2.5 „bilden das Spiel oft nicht nach“</w:t>
            </w:r>
          </w:p>
        </w:tc>
        <w:tc>
          <w:tcPr>
            <w:shd w:val="clear" w:color="auto" w:fill="EEF3F9"/>
          </w:tcPr>
          <w:p>
            <w:pPr>
              <w:pStyle w:val="Compact"/>
              <w:jc w:val="left"/>
            </w:pPr>
            <w:r>
              <w:rPr>
                <w:rFonts w:ascii="Arial" w:hAnsi="Arial"/>
                <w:sz w:val="18"/>
              </w:rPr>
              <w:t xml:space="preserve">Grenze des Tests</w:t>
            </w:r>
          </w:p>
        </w:tc>
        <w:tc>
          <w:tcPr>
            <w:shd w:val="clear" w:color="auto" w:fill="EEF3F9"/>
          </w:tcPr>
          <w:p>
            <w:pPr>
              <w:pStyle w:val="Compact"/>
              <w:jc w:val="left"/>
            </w:pPr>
            <w:r>
              <w:rPr>
                <w:rFonts w:ascii="Arial" w:hAnsi="Arial"/>
                <w:sz w:val="18"/>
              </w:rPr>
              <w:t xml:space="preserve">nach 6.2</w:t>
            </w:r>
          </w:p>
        </w:tc>
      </w:tr>
      <w:tr>
        <w:tc>
          <w:tcPr/>
          <w:p>
            <w:pPr>
              <w:pStyle w:val="Compact"/>
              <w:jc w:val="left"/>
            </w:pPr>
            <w:r>
              <w:rPr>
                <w:rFonts w:ascii="Arial" w:hAnsi="Arial"/>
                <w:sz w:val="18"/>
              </w:rPr>
              <w:t xml:space="preserve">2.6 Tomkinson S. 531</w:t>
            </w:r>
          </w:p>
        </w:tc>
        <w:tc>
          <w:tcPr/>
          <w:p>
            <w:pPr>
              <w:pStyle w:val="Compact"/>
              <w:jc w:val="left"/>
            </w:pPr>
            <w:r>
              <w:rPr>
                <w:rFonts w:ascii="Arial" w:hAnsi="Arial"/>
                <w:sz w:val="18"/>
              </w:rPr>
              <w:t xml:space="preserve">Wortlaut steht im Abstract</w:t>
            </w:r>
          </w:p>
        </w:tc>
        <w:tc>
          <w:tcPr/>
          <w:p>
            <w:pPr>
              <w:pStyle w:val="Compact"/>
              <w:jc w:val="left"/>
            </w:pPr>
            <w:r>
              <w:rPr>
                <w:rFonts w:ascii="Arial" w:hAnsi="Arial"/>
                <w:sz w:val="18"/>
              </w:rPr>
              <w:t xml:space="preserve">Hauptteil S. 532 zitieren</w:t>
            </w:r>
          </w:p>
        </w:tc>
      </w:tr>
      <w:tr>
        <w:tc>
          <w:tcPr>
            <w:shd w:val="clear" w:color="auto" w:fill="EEF3F9"/>
          </w:tcPr>
          <w:p>
            <w:pPr>
              <w:pStyle w:val="Compact"/>
              <w:jc w:val="left"/>
            </w:pPr>
            <w:r>
              <w:rPr>
                <w:rFonts w:ascii="Arial" w:hAnsi="Arial"/>
                <w:sz w:val="18"/>
              </w:rPr>
              <w:t xml:space="preserve">fehlt</w:t>
            </w:r>
          </w:p>
        </w:tc>
        <w:tc>
          <w:tcPr>
            <w:shd w:val="clear" w:color="auto" w:fill="EEF3F9"/>
          </w:tcPr>
          <w:p>
            <w:pPr>
              <w:pStyle w:val="Compact"/>
              <w:jc w:val="left"/>
            </w:pPr>
            <w:r>
              <w:rPr>
                <w:rFonts w:ascii="Arial" w:hAnsi="Arial"/>
                <w:sz w:val="18"/>
              </w:rPr>
              <w:t xml:space="preserve">Güte des Standweitsprungs auf Übersichtsebene</w:t>
            </w:r>
          </w:p>
        </w:tc>
        <w:tc>
          <w:tcPr>
            <w:shd w:val="clear" w:color="auto" w:fill="EEF3F9"/>
          </w:tcPr>
          <w:p>
            <w:pPr>
              <w:pStyle w:val="Compact"/>
              <w:jc w:val="left"/>
            </w:pPr>
            <w:r>
              <w:rPr>
                <w:rFonts w:ascii="Arial" w:hAnsi="Arial"/>
                <w:sz w:val="18"/>
              </w:rPr>
              <w:t xml:space="preserve">ergänzen (Tomkinson S. 532, Bianco 2015)</w:t>
            </w:r>
          </w:p>
        </w:tc>
      </w:tr>
      <w:tr>
        <w:tc>
          <w:tcPr/>
          <w:p>
            <w:pPr>
              <w:pStyle w:val="Compact"/>
              <w:jc w:val="left"/>
            </w:pPr>
            <w:r>
              <w:rPr>
                <w:rFonts w:ascii="Arial" w:hAnsi="Arial"/>
                <w:sz w:val="18"/>
              </w:rPr>
              <w:t xml:space="preserve">2.7 Kategorien nach Oliver</w:t>
            </w:r>
          </w:p>
        </w:tc>
        <w:tc>
          <w:tcPr/>
          <w:p>
            <w:pPr>
              <w:pStyle w:val="Compact"/>
              <w:jc w:val="left"/>
            </w:pPr>
            <w:r>
              <w:rPr>
                <w:rFonts w:ascii="Arial" w:hAnsi="Arial"/>
                <w:sz w:val="18"/>
              </w:rPr>
              <w:t xml:space="preserve">Operationalisierung</w:t>
            </w:r>
          </w:p>
        </w:tc>
        <w:tc>
          <w:tcPr/>
          <w:p>
            <w:pPr>
              <w:pStyle w:val="Compact"/>
              <w:jc w:val="left"/>
            </w:pPr>
            <w:r>
              <w:rPr>
                <w:rFonts w:ascii="Arial" w:hAnsi="Arial"/>
                <w:sz w:val="18"/>
              </w:rPr>
              <w:t xml:space="preserve">aufteilen: Strecken in den Sprintabsatz, horizontale Sprungleistung in den Sprungabsatz</w:t>
            </w:r>
          </w:p>
        </w:tc>
      </w:tr>
      <w:tr>
        <w:tc>
          <w:tcPr>
            <w:shd w:val="clear" w:color="auto" w:fill="EEF3F9"/>
          </w:tcPr>
          <w:p>
            <w:pPr>
              <w:pStyle w:val="Compact"/>
              <w:jc w:val="left"/>
            </w:pPr>
            <w:r>
              <w:rPr>
                <w:rFonts w:ascii="Arial" w:hAnsi="Arial"/>
                <w:sz w:val="18"/>
              </w:rPr>
              <w:t xml:space="preserve">zwei Absätze</w:t>
            </w:r>
          </w:p>
        </w:tc>
        <w:tc>
          <w:tcPr>
            <w:shd w:val="clear" w:color="auto" w:fill="EEF3F9"/>
          </w:tcPr>
          <w:p>
            <w:pPr>
              <w:pStyle w:val="Compact"/>
              <w:jc w:val="left"/>
            </w:pPr>
            <w:r>
              <w:rPr>
                <w:rFonts w:ascii="Arial" w:hAnsi="Arial"/>
                <w:sz w:val="18"/>
              </w:rPr>
              <w:t xml:space="preserve">Bianco-Folge je Komponente trägt den roten Faden besser</w:t>
            </w:r>
          </w:p>
        </w:tc>
        <w:tc>
          <w:tcPr>
            <w:shd w:val="clear" w:color="auto" w:fill="EEF3F9"/>
          </w:tcPr>
          <w:p>
            <w:pPr>
              <w:pStyle w:val="Compact"/>
              <w:jc w:val="left"/>
            </w:pPr>
            <w:r>
              <w:rPr>
                <w:rFonts w:ascii="Arial" w:hAnsi="Arial"/>
                <w:sz w:val="18"/>
              </w:rPr>
              <w:t xml:space="preserve">vier Absätze</w:t>
            </w:r>
          </w:p>
        </w:tc>
      </w:tr>
    </w:tbl>
    <w:bookmarkEnd w:id="27"/>
    <w:bookmarkStart w:id="28" w:name="weitere-gesichtspunkte"/>
    <w:p>
      <w:pPr>
        <w:pStyle w:val="Heading2"/>
      </w:pPr>
      <w:r>
        <w:rPr>
          <w:rFonts w:ascii="Arial" w:hAnsi="Arial"/>
        </w:rPr>
        <w:t xml:space="preserve">8 Weitere Gesichtspunkte</w:t>
      </w:r>
    </w:p>
    <w:p>
      <w:pPr>
        <w:numPr>
          <w:ilvl w:val="0"/>
          <w:numId w:val="1006"/>
        </w:numPr>
        <w:pStyle w:val="Compact"/>
      </w:pPr>
      <w:r>
        <w:rPr>
          <w:bCs/>
          <w:rFonts w:ascii="Arial" w:hAnsi="Arial"/>
          <w:b/>
        </w:rPr>
        <w:t xml:space="preserve">Volltexte.</w:t>
      </w:r>
      <w:r>
        <w:rPr>
          <w:rFonts w:ascii="Arial" w:hAnsi="Arial"/>
        </w:rPr>
        <w:t xml:space="preserve"> </w:t>
      </w:r>
      <w:r>
        <w:rPr>
          <w:rFonts w:ascii="Arial" w:hAnsi="Arial"/>
        </w:rPr>
        <w:t xml:space="preserve">Altmann et al. (2019) und Harper et al. (2019) liegen nicht im Ordner, Fassung 5 hat beide online gelesen. Altmann wird gebraucht (PLoS ONE, frei), Harper nicht mehr. Murr et al. (2018), Artero et al. (2011) und Castro-Piñero et al. (2010) bleiben Beschaffung. Sie würden Leistungsrelevanz und Sprunggüte auf Übersichtsebene stärken.</w:t>
      </w:r>
    </w:p>
    <w:p>
      <w:pPr>
        <w:numPr>
          <w:ilvl w:val="0"/>
          <w:numId w:val="1006"/>
        </w:numPr>
        <w:pStyle w:val="Compact"/>
      </w:pPr>
      <w:r>
        <w:rPr>
          <w:bCs/>
          <w:rFonts w:ascii="Arial" w:hAnsi="Arial"/>
          <w:b/>
        </w:rPr>
        <w:t xml:space="preserve">Datei „2018 Taylor et al.“</w:t>
      </w:r>
      <w:r>
        <w:rPr>
          <w:rFonts w:ascii="Arial" w:hAnsi="Arial"/>
        </w:rPr>
        <w:t xml:space="preserve"> </w:t>
      </w:r>
      <w:r>
        <w:rPr>
          <w:rFonts w:ascii="Arial" w:hAnsi="Arial"/>
        </w:rPr>
        <w:t xml:space="preserve">ist nicht die Übersicht zu Aktivitätsanforderungen (Taylor et al., 2017), sondern eine Reliabilitätsstudie zu modifiziertem 505 und COD-Defizit im Elite-Nachwuchs (Taylor et al., 2018, Science and Medicine in Football). Für 6.2 nutzbar, nicht für 2.4.</w:t>
      </w:r>
    </w:p>
    <w:p>
      <w:pPr>
        <w:numPr>
          <w:ilvl w:val="0"/>
          <w:numId w:val="1006"/>
        </w:numPr>
        <w:pStyle w:val="Compact"/>
      </w:pPr>
      <w:r>
        <w:rPr>
          <w:bCs/>
          <w:rFonts w:ascii="Arial" w:hAnsi="Arial"/>
          <w:b/>
        </w:rPr>
        <w:t xml:space="preserve">Seiten.</w:t>
      </w:r>
      <w:r>
        <w:rPr>
          <w:rFonts w:ascii="Arial" w:hAnsi="Arial"/>
        </w:rPr>
        <w:t xml:space="preserve"> </w:t>
      </w:r>
      <w:r>
        <w:rPr>
          <w:rFonts w:ascii="Arial" w:hAnsi="Arial"/>
        </w:rPr>
        <w:t xml:space="preserve">Nimphius et al. (2016): Die Projektangabe „S. 4, 7“ (F16 § 6.5) sind PDF-Seiten, gedruckt S. 3027 und 3030. Tomkinson et al. (2021): „excellent functional measure“ steht im Abstract (S. 531), der Hauptteil formuliert auf S. 532.</w:t>
      </w:r>
    </w:p>
    <w:p>
      <w:pPr>
        <w:numPr>
          <w:ilvl w:val="0"/>
          <w:numId w:val="1006"/>
        </w:numPr>
        <w:pStyle w:val="Compact"/>
      </w:pPr>
      <w:r>
        <w:rPr>
          <w:bCs/>
          <w:rFonts w:ascii="Arial" w:hAnsi="Arial"/>
          <w:b/>
        </w:rPr>
        <w:t xml:space="preserve">Zitierfallen für T4:</w:t>
      </w:r>
      <w:r>
        <w:rPr>
          <w:rFonts w:ascii="Arial" w:hAnsi="Arial"/>
        </w:rPr>
        <w:t xml:space="preserve"> </w:t>
      </w:r>
      <w:r>
        <w:rPr>
          <w:rFonts w:ascii="Arial" w:hAnsi="Arial"/>
        </w:rPr>
        <w:t xml:space="preserve">Oliver et al. (2024, S. 624) „~1350 high-intensity activities“ ist ein Relais auf Erwachsene · Zheng et al. (2025) belegen die Trennschärfe mit McKay et al. (2022), einem Klassifikationsrahmen, und die Reliabilität aller Tests mit einer CMJ-Studie · Ramirez-Campillo et al. (2020) stützen „testing protocols“ auf Sáez de Villarreal et al. (2009), die keinen Effekt der Testart fanden · Sáez de Villarreal et al. (2009, S. 502) widersprechen ihrer Tab. 5 · Turner &amp; Stewart (2014): „every 2–4 s“ aus einem Handbuch, „1,200–1,400“ aus Bangsbo (1992) · McBurnie, Parr et al. (2022): „~85 %“ gekrümmte Maximalsprints aus einer Hochschulschrift · Dugdale et al. (2020): „1.000–1.500“ Bewegungswechsel mit einer Fitnessprofilstudie belegt · Sammoud et al. (2024): Trennschärfe mit dem Klassifikationsrahmen von McKay et al. belegt, Referenznummern wie bei Bouafif et al. (2026) verschoben, Bouafif übernimmt Sammouds Testtext samt ICC · Negra 2019, Negra 2020, Aloui 2022 und Asimakidis 2022 belegen Relevanz mit Interventionsstudien · „2020 Clark“ ist Clarke et al., ein Manuskript ohne Jahr und Zeitschrift.</w:t>
      </w:r>
    </w:p>
    <w:p>
      <w:pPr>
        <w:numPr>
          <w:ilvl w:val="0"/>
          <w:numId w:val="1006"/>
        </w:numPr>
        <w:pStyle w:val="Compact"/>
      </w:pPr>
      <w:r>
        <w:rPr>
          <w:bCs/>
          <w:rFonts w:ascii="Arial" w:hAnsi="Arial"/>
          <w:b/>
        </w:rPr>
        <w:t xml:space="preserve">Populationsdistanz.</w:t>
      </w:r>
      <w:r>
        <w:rPr>
          <w:rFonts w:ascii="Arial" w:hAnsi="Arial"/>
        </w:rPr>
        <w:t xml:space="preserve"> </w:t>
      </w:r>
      <w:r>
        <w:rPr>
          <w:rFonts w:ascii="Arial" w:hAnsi="Arial"/>
        </w:rPr>
        <w:t xml:space="preserve">Güteaussagen auf Übersichtsebene stammen für Sprint und 505 von Erwachsenen (Altmann 2019), für den Standweitsprung aus der Allgemeinbevölkerung (Tomkinson 2021, Bianco 2015). Im Nachwuchsspiel sind Beschleunigungen und Abbremsungen nur in 20 % der Studien erfasst (Palucci Vieira et al., 2019, S. 314). Folge: Population im Satz nennen (Distanz 1 bis 2, F16 § 6.4). Die eigene Messgüte zeigt Tab. 1.</w:t>
      </w:r>
    </w:p>
    <w:p>
      <w:pPr>
        <w:numPr>
          <w:ilvl w:val="0"/>
          <w:numId w:val="1006"/>
        </w:numPr>
        <w:pStyle w:val="Compact"/>
      </w:pPr>
      <w:r>
        <w:rPr>
          <w:bCs/>
          <w:rFonts w:ascii="Arial" w:hAnsi="Arial"/>
          <w:b/>
        </w:rPr>
        <w:t xml:space="preserve">Proportionen in Kapitel 2</w:t>
      </w:r>
      <w:r>
        <w:rPr>
          <w:rFonts w:ascii="Arial" w:hAnsi="Arial"/>
        </w:rPr>
        <w:t xml:space="preserve"> </w:t>
      </w:r>
      <w:r>
        <w:rPr>
          <w:rFonts w:ascii="Arial" w:hAnsi="Arial"/>
        </w:rPr>
        <w:t xml:space="preserve">(für Tasks 8 bis 10): In den Korpuseinleitungen entfallen auf Anforderung und Relevanz 20 %, Mechanismus 18 %, Interventionsevidenz 21 %, Lücke 14 %, Zweck 11 %, Reife 8 % (nur 2 von 11 Studien), Saisonphase 7 % (2 von 11), Konstrukt und Diagnostik 1 %. Das Budget gewichtet Reife mit 2.2 deutlich höher (850 von 3.350, 25 %). Das deckt die Kovariate %PAH, einen Korpusmaßstab dafür gibt es nicht.</w:t>
      </w:r>
    </w:p>
    <w:p>
      <w:pPr>
        <w:numPr>
          <w:ilvl w:val="0"/>
          <w:numId w:val="1006"/>
        </w:numPr>
        <w:pStyle w:val="Compact"/>
      </w:pPr>
      <w:r>
        <w:rPr>
          <w:bCs/>
          <w:rFonts w:ascii="Arial" w:hAnsi="Arial"/>
          <w:b/>
        </w:rPr>
        <w:t xml:space="preserve">Vormerkungen für andere Abschnitte:</w:t>
      </w:r>
      <w:r>
        <w:rPr>
          <w:rFonts w:ascii="Arial" w:hAnsi="Arial"/>
        </w:rPr>
        <w:t xml:space="preserve"> </w:t>
      </w:r>
      <w:r>
        <w:rPr>
          <w:rFonts w:ascii="Arial" w:hAnsi="Arial"/>
        </w:rPr>
        <w:t xml:space="preserve">Asimakidis et al. (2022): 12- bis 14-Jährige um den PHV verbesserten 505, Sprint und CMJ über 32 Wochen ohne Training (2.2, 2.3, 6.2) · Morgan et al. (2022): exakte 180°-Wenden im Spiel selten (6.2) · Havanecz et al. (2026): Beindominanz aufgabenspezifisch (4.4, 6.2) · Marín-Jiménez et al. (2024): Lerneffekt beim Standweitsprung ohne Vorübung, Erwachsene (6.2) · Moran et al. (2024): Zielgrößen über Richtungsspezifität begründet (2.1, 6.1) · Padrón-Cabo et al. (2025): Diagnostik nah am eigenen Setting, Witty und Start 0,5 m (4.4, 6.2).</w:t>
      </w:r>
    </w:p>
    <w:p>
      <w:pPr>
        <w:numPr>
          <w:ilvl w:val="0"/>
          <w:numId w:val="1006"/>
        </w:numPr>
        <w:pStyle w:val="Compact"/>
      </w:pPr>
      <w:r>
        <w:rPr>
          <w:bCs/>
          <w:rFonts w:ascii="Arial" w:hAnsi="Arial"/>
          <w:b/>
        </w:rPr>
        <w:t xml:space="preserve">Schneller für die nächsten Abschnitte.</w:t>
      </w:r>
      <w:r>
        <w:rPr>
          <w:rFonts w:ascii="Arial" w:hAnsi="Arial"/>
        </w:rPr>
        <w:t xml:space="preserve"> </w:t>
      </w:r>
      <w:r>
        <w:rPr>
          <w:rFonts w:ascii="Arial" w:hAnsi="Arial"/>
        </w:rPr>
        <w:t xml:space="preserve">Die Anlage enthält je Korpusstudie die Absatzkarte der Einleitung (Thema, Wörter) und die Belegketten mit Wortlaut. Für 2.3, 2.1 und 2.2 braucht es damit keine neue Vollsichtung, nur die gezielte Lektüre der markierten Stellen. Raster und Zählwerkzeug lassen sich mit anderen Zügen wiederverwenden.</w:t>
      </w:r>
    </w:p>
    <w:bookmarkEnd w:id="28"/>
    <w:bookmarkStart w:id="29" w:name="anhang-a-studienliste"/>
    <w:p>
      <w:pPr>
        <w:pStyle w:val="Heading2"/>
      </w:pPr>
      <w:r>
        <w:rPr>
          <w:rFonts w:ascii="Arial" w:hAnsi="Arial"/>
        </w:rPr>
        <w:t xml:space="preserve">Anhang A — Studienliste</w:t>
      </w:r>
    </w:p>
    <w:p>
      <w:pPr>
        <w:pStyle w:val="FirstParagraph"/>
      </w:pPr>
      <w:r>
        <w:rPr>
          <w:bCs/>
          <w:rFonts w:ascii="Arial" w:hAnsi="Arial"/>
          <w:b/>
        </w:rPr>
        <w:t xml:space="preserve">Ausgewertet (57)</w:t>
      </w:r>
    </w:p>
    <w:p>
      <w:pPr>
        <w:numPr>
          <w:ilvl w:val="0"/>
          <w:numId w:val="1007"/>
        </w:numPr>
        <w:pStyle w:val="Compact"/>
      </w:pPr>
      <w:r>
        <w:rPr>
          <w:rFonts w:ascii="Arial" w:hAnsi="Arial"/>
        </w:rPr>
        <w:t xml:space="preserve">Interventionskorpus (11): Lloyd 2016 · Hammami 2016 · Beato 2018 · Negra 2019 · Negra 2020 · Aloui 2022 · Liu 2024 · Moran 2024 · Sammoud 2024 · Bouafif 2026 · Padrón-Cabo 2025</w:t>
      </w:r>
    </w:p>
    <w:p>
      <w:pPr>
        <w:numPr>
          <w:ilvl w:val="0"/>
          <w:numId w:val="1007"/>
        </w:numPr>
        <w:pStyle w:val="Compact"/>
      </w:pPr>
      <w:r>
        <w:rPr>
          <w:rFonts w:ascii="Arial" w:hAnsi="Arial"/>
        </w:rPr>
        <w:t xml:space="preserve">Weitere Trainings-, Akut- und Laborstudien (4): Hilska 2021 · Sylvester 2024 (nicht zitierfähig) · Birch 2025 · Koch 2003</w:t>
      </w:r>
    </w:p>
    <w:p>
      <w:pPr>
        <w:numPr>
          <w:ilvl w:val="0"/>
          <w:numId w:val="1007"/>
        </w:numPr>
        <w:pStyle w:val="Compact"/>
      </w:pPr>
      <w:r>
        <w:rPr>
          <w:rFonts w:ascii="Arial" w:hAnsi="Arial"/>
        </w:rPr>
        <w:t xml:space="preserve">Übersichten zum Training (10): Sáez de Villarreal 2009 · Markovic &amp; Mikulic 2010 · Bedoya 2015 · Moran 2016 · Behm 2017 · Ramirez-Campillo 2020 · Ramirez-Campillo 2023 · Oliver 2024 · Zheng 2025 · Olivier 2026 (NMT und Verletzungen)</w:t>
      </w:r>
    </w:p>
    <w:p>
      <w:pPr>
        <w:numPr>
          <w:ilvl w:val="0"/>
          <w:numId w:val="1007"/>
        </w:numPr>
        <w:pStyle w:val="Compact"/>
      </w:pPr>
      <w:r>
        <w:rPr>
          <w:rFonts w:ascii="Arial" w:hAnsi="Arial"/>
        </w:rPr>
        <w:t xml:space="preserve">Diagnostik (19): Sheppard &amp; Young 2006 · Ortega 2008 · Altmann 2015 · Bianco 2015 · Fernández-Santos 2015 · Nimphius 2016 · Dos’Santos 2018 · Taylor 2018 · Dugdale 2019 · Hicks 2019 · Clarke (o. J.) · Dos’Santos 2020 · Dugdale 2020 · Thomas 2020 · Rahman 2021 (nicht zitierfähig) · Sammoud 2021 · Tomkinson 2021 · Ferguson 2024 · Marín-Jiménez 2024</w:t>
      </w:r>
    </w:p>
    <w:p>
      <w:pPr>
        <w:numPr>
          <w:ilvl w:val="0"/>
          <w:numId w:val="1007"/>
        </w:numPr>
        <w:pStyle w:val="Compact"/>
      </w:pPr>
      <w:r>
        <w:rPr>
          <w:rFonts w:ascii="Arial" w:hAnsi="Arial"/>
        </w:rPr>
        <w:t xml:space="preserve">Anforderungsprofil (8): Turner &amp; Stewart 2014 · Palucci Vieira 2019 · Algroy 2021 · McBurnie, Harper et al. 2022 · McBurnie, Parr et al. 2022 · Morgan 2022 · Parr 2022 · Havanecz 2026</w:t>
      </w:r>
    </w:p>
    <w:p>
      <w:pPr>
        <w:numPr>
          <w:ilvl w:val="0"/>
          <w:numId w:val="1007"/>
        </w:numPr>
        <w:pStyle w:val="Compact"/>
      </w:pPr>
      <w:r>
        <w:rPr>
          <w:rFonts w:ascii="Arial" w:hAnsi="Arial"/>
        </w:rPr>
        <w:t xml:space="preserve">Detraining und Übergang (5): Mujika &amp; Padilla 2000 · Silva 2016 · Walker &amp; Hawkins 2018 · Asimakidis 2022 · Dambel 2025</w:t>
      </w:r>
    </w:p>
    <w:p>
      <w:pPr>
        <w:pStyle w:val="FirstParagraph"/>
      </w:pPr>
      <w:r>
        <w:rPr>
          <w:bCs/>
          <w:rFonts w:ascii="Arial" w:hAnsi="Arial"/>
          <w:b/>
        </w:rPr>
        <w:t xml:space="preserve">Ausgeschlossen (35 PDF)</w:t>
      </w:r>
    </w:p>
    <w:p>
      <w:pPr>
        <w:numPr>
          <w:ilvl w:val="0"/>
          <w:numId w:val="1008"/>
        </w:numPr>
        <w:pStyle w:val="Compact"/>
      </w:pPr>
      <w:r>
        <w:rPr>
          <w:rFonts w:ascii="Arial" w:hAnsi="Arial"/>
        </w:rPr>
        <w:t xml:space="preserve">Reifung und Anthropometrie (10): Tanner 1966 · Khamis &amp; Roche 1994 · Mirwald 2002 · Lloyd 2011 · Lloyd &amp; Oliver 2012 · Malina &amp; Koziel 2014 · Cumming 2017 · Radnor 2017 · Norton 2018 · Flores 2025</w:t>
      </w:r>
    </w:p>
    <w:p>
      <w:pPr>
        <w:numPr>
          <w:ilvl w:val="0"/>
          <w:numId w:val="1008"/>
        </w:numPr>
        <w:pStyle w:val="Compact"/>
      </w:pPr>
      <w:r>
        <w:rPr>
          <w:rFonts w:ascii="Arial" w:hAnsi="Arial"/>
        </w:rPr>
        <w:t xml:space="preserve">Mechanismus und Physiologie (7): Harris 1976 · Ferris &amp; Farley 1997 · Glaister 2005 · Nicol 2006 · Ratel 2006 · Fukutani 2021 · Three Filament Theory</w:t>
      </w:r>
    </w:p>
    <w:p>
      <w:pPr>
        <w:numPr>
          <w:ilvl w:val="0"/>
          <w:numId w:val="1008"/>
        </w:numPr>
        <w:pStyle w:val="Compact"/>
      </w:pPr>
      <w:r>
        <w:rPr>
          <w:rFonts w:ascii="Arial" w:hAnsi="Arial"/>
        </w:rPr>
        <w:t xml:space="preserve">Methodik, Statistik, Berichtsstandards (10): Cohen 1988 · Hopkins 2000 · Vickers &amp; Altman 2001 · Moher 2010 · Schulz 2010 · Hoffmann 2014 · Smart 2015 · Fröhlich 2020 · Lakens 2022 · McKay 2022</w:t>
      </w:r>
    </w:p>
    <w:p>
      <w:pPr>
        <w:numPr>
          <w:ilvl w:val="0"/>
          <w:numId w:val="1008"/>
        </w:numPr>
        <w:pStyle w:val="Compact"/>
      </w:pPr>
      <w:r>
        <w:rPr>
          <w:rFonts w:ascii="Arial" w:hAnsi="Arial"/>
        </w:rPr>
        <w:t xml:space="preserve">Monitoring und Aufwärmen (4): Foster 2001 · Jeffreys 2007 · Haddad 2017 · Liu 2023</w:t>
      </w:r>
    </w:p>
    <w:p>
      <w:pPr>
        <w:numPr>
          <w:ilvl w:val="0"/>
          <w:numId w:val="1008"/>
        </w:numPr>
        <w:pStyle w:val="Compact"/>
      </w:pPr>
      <w:r>
        <w:rPr>
          <w:rFonts w:ascii="Arial" w:hAnsi="Arial"/>
        </w:rPr>
        <w:t xml:space="preserve">Sonstige (4): Price 2004 (Verletzungsepidemiologie) · Stølen 2005 (F16 § 6.5) · Erste-Hilfe-Nachweis · Witty-Handbuch</w:t>
      </w:r>
    </w:p>
    <w:bookmarkEnd w:id="29"/>
    <w:bookmarkEnd w:id="30"/>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2026-09-28T08:36:53Z</dcterms:created>
  <dcterms:modified xsi:type="dcterms:W3CDTF">2026-09-28T08:36:53Z</dcterms:modified>
</cp:coreProperties>
</file>

<file path=docProps/custom.xml><?xml version="1.0" encoding="utf-8"?>
<Properties xmlns="http://schemas.openxmlformats.org/officeDocument/2006/custom-properties" xmlns:vt="http://schemas.openxmlformats.org/officeDocument/2006/docPropsVTypes"/>
</file>