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556a6f39958211d5915a484bd3975c58f789e69"/>
    <w:p>
      <w:pPr>
        <w:pStyle w:val="Heading1"/>
      </w:pPr>
      <w:r>
        <w:rPr>
          <w:rFonts w:ascii="Arial" w:hAnsi="Arial"/>
        </w:rPr>
        <w:t xml:space="preserve">Recherche videobasiertes Training: Sportler, Plyometrie, Fußball</w:t>
      </w:r>
    </w:p>
    <w:p>
      <w:pPr>
        <w:pStyle w:val="FirstParagraph"/>
      </w:pPr>
      <w:r>
        <w:rPr>
          <w:rFonts w:ascii="Arial" w:hAnsi="Arial"/>
        </w:rPr>
        <w:t xml:space="preserve">Befund vom 30.09.2026 · Rev. 135 · Arbeitsdokument, kein Manuskripttext</w:t>
      </w:r>
    </w:p>
    <w:p>
      <w:pPr>
        <w:pStyle w:val="BodyText"/>
      </w:pPr>
      <w:r>
        <w:rPr>
          <w:bCs/>
          <w:rFonts w:ascii="Arial" w:hAnsi="Arial"/>
          <w:b/>
        </w:rPr>
        <w:t xml:space="preserve">Auftrag</w:t>
      </w:r>
      <w:r>
        <w:rPr>
          <w:rFonts w:ascii="Arial" w:hAnsi="Arial"/>
        </w:rPr>
        <w:t xml:space="preserve"> </w:t>
      </w:r>
      <w:r>
        <w:rPr>
          <w:rFonts w:ascii="Arial" w:hAnsi="Arial"/>
        </w:rPr>
        <w:t xml:space="preserve">(Verfasser, 30.09., 20:27 Sitzungsuhr): gezielt nach Studien suchen, die videobasiertes Training für Sportler untersuchen, im zweiten Schritt ausdrücklich auf plyometrisches Training ausweiten, Studien mit Fußballbezug besonders beachten. Zu klären ist, wie gut videobasiertes Training untersucht ist und ob die Wirksamkeit untersucht wurde. Orientierung an den Forschungsfragen des Verfassers.</w:t>
      </w:r>
    </w:p>
    <w:p>
      <w:pPr>
        <w:pStyle w:val="BodyText"/>
      </w:pPr>
      <w:r>
        <w:rPr>
          <w:bCs/>
          <w:rFonts w:ascii="Arial" w:hAnsi="Arial"/>
          <w:b/>
        </w:rPr>
        <w:t xml:space="preserve">Ablage:</w:t>
      </w:r>
      <w:r>
        <w:rPr>
          <w:rFonts w:ascii="Arial" w:hAnsi="Arial"/>
        </w:rPr>
        <w:t xml:space="preserve"> </w:t>
      </w:r>
      <w:r>
        <w:rPr>
          <w:rStyle w:val="VerbatimChar"/>
          <w:rFonts w:ascii="Arial" w:hAnsi="Arial"/>
          <w:sz w:val="16"/>
        </w:rPr>
        <w:t xml:space="preserve">Claude\02_Befunde\Recherche_Videobasiertes_Training_2026-09-30</w:t>
      </w:r>
      <w:r>
        <w:rPr>
          <w:rFonts w:ascii="Arial" w:hAnsi="Arial"/>
        </w:rPr>
        <w:t xml:space="preserve"> </w:t>
      </w:r>
      <w:r>
        <w:rPr>
          <w:rFonts w:ascii="Arial" w:hAnsi="Arial"/>
        </w:rPr>
        <w:t xml:space="preserve">(.md, .docx, .pdf), Projektkopie</w:t>
      </w:r>
      <w:r>
        <w:rPr>
          <w:rFonts w:ascii="Arial" w:hAnsi="Arial"/>
        </w:rPr>
        <w:t xml:space="preserve"> </w:t>
      </w:r>
      <w:r>
        <w:rPr>
          <w:rStyle w:val="VerbatimChar"/>
          <w:rFonts w:ascii="Arial" w:hAnsi="Arial"/>
          <w:sz w:val="16"/>
        </w:rPr>
        <w:t xml:space="preserve">claude/</w:t>
      </w:r>
      <w:r>
        <w:rPr>
          <w:rFonts w:ascii="Arial" w:hAnsi="Arial"/>
        </w:rPr>
        <w:t xml:space="preserve">. Suchprotokoll (JSON), Titelliste der 517 gesichteten PubMed-Treffer (CSV) und Hausstil-Skript in</w:t>
      </w:r>
      <w:r>
        <w:rPr>
          <w:rFonts w:ascii="Arial" w:hAnsi="Arial"/>
        </w:rPr>
        <w:t xml:space="preserve"> </w:t>
      </w:r>
      <w:r>
        <w:rPr>
          <w:rStyle w:val="VerbatimChar"/>
          <w:rFonts w:ascii="Arial" w:hAnsi="Arial"/>
          <w:sz w:val="16"/>
        </w:rPr>
        <w:t xml:space="preserve">Claude\03_Skripte\Recherche_Videobasiertes_Training_2026-09-30\</w:t>
      </w:r>
      <w:r>
        <w:rPr>
          <w:rFonts w:ascii="Arial" w:hAnsi="Arial"/>
        </w:rPr>
        <w:t xml:space="preserve">.</w:t>
      </w:r>
    </w:p>
    <w:p>
      <w:pPr>
        <w:pStyle w:val="BodyText"/>
      </w:pPr>
      <w:r>
        <w:rPr>
          <w:bCs/>
          <w:rFonts w:ascii="Arial" w:hAnsi="Arial"/>
          <w:b/>
        </w:rPr>
        <w:t xml:space="preserve">Zugangskürzel:</w:t>
      </w:r>
      <w:r>
        <w:rPr>
          <w:rFonts w:ascii="Arial" w:hAnsi="Arial"/>
        </w:rPr>
        <w:t xml:space="preserve"> </w:t>
      </w:r>
      <w:r>
        <w:rPr>
          <w:rFonts w:ascii="Arial" w:hAnsi="Arial"/>
        </w:rPr>
        <w:t xml:space="preserve">V = Volltext gelesen · E = frei zugängliche Fassung per Webabruf ausgewertet (KI-gestützte Extraktion, am Original zu prüfen) · A = nur Abstract · T = nur Titel. [MDPI] nach F17 § 6.1 gekennzeichnet. Distanz P·D·Z nach F17 § 6.4 (Population, Dosis, Zielgröße, je 0 bis 2), eigene Einordnung auf dem angegebenen Zugang. Jahreszahlen nach dem PubMed-Datum, das beim Online-Erscheinen vor dem Heftjahr liegen kann (Dauty et al. nach dem Heft, PubMed 2020). Das Zitierjahr (Heftjahr) vor einer Übernahme prüfen.</w:t>
      </w:r>
    </w:p>
    <w:bookmarkStart w:id="20" w:name="ergebnis-in-kürze"/>
    <w:p>
      <w:pPr>
        <w:pStyle w:val="Heading2"/>
      </w:pPr>
      <w:r>
        <w:rPr>
          <w:rFonts w:ascii="Arial" w:hAnsi="Arial"/>
        </w:rPr>
        <w:t xml:space="preserve">0 Ergebnis in Kürze</w:t>
      </w:r>
    </w:p>
    <w:p>
      <w:pPr>
        <w:numPr>
          <w:ilvl w:val="0"/>
          <w:numId w:val="1001"/>
        </w:numPr>
        <w:pStyle w:val="Compact"/>
      </w:pPr>
      <w:r>
        <w:rPr>
          <w:bCs/>
          <w:rFonts w:ascii="Arial" w:hAnsi="Arial"/>
          <w:b/>
        </w:rPr>
        <w:t xml:space="preserve">Begriff.</w:t>
      </w:r>
      <w:r>
        <w:rPr>
          <w:rFonts w:ascii="Arial" w:hAnsi="Arial"/>
        </w:rPr>
        <w:t xml:space="preserve"> </w:t>
      </w:r>
      <w:r>
        <w:rPr>
          <w:rFonts w:ascii="Arial" w:hAnsi="Arial"/>
        </w:rPr>
        <w:t xml:space="preserve">„Video-based training“ meint in der Sportwissenschaft überwiegend Wahrnehmungs- und Entscheidungstraining mit Spielszenen am Bildschirm. Dieser Strang ist gut untersucht, mit einem systematischen Review zum Fußball (Zhao et al., 2022). Zum visuellen Training allgemein liegt eine Metaanalyse über 27 RCT vor (Guo et al., 2025). Ein zweiter Strang nutzt Video als Vorbild oder Rückmeldung für die Technik, meist beim Landen aus dem Sprung. Beide haben mit dem Programm der Arbeit nichts zu tun.</w:t>
      </w:r>
    </w:p>
    <w:p>
      <w:pPr>
        <w:numPr>
          <w:ilvl w:val="0"/>
          <w:numId w:val="1001"/>
        </w:numPr>
        <w:pStyle w:val="Compact"/>
      </w:pPr>
      <w:r>
        <w:rPr>
          <w:bCs/>
          <w:rFonts w:ascii="Arial" w:hAnsi="Arial"/>
          <w:b/>
        </w:rPr>
        <w:t xml:space="preserve">Video als Vermittlungsweg eines Trainingsprogramms</w:t>
      </w:r>
      <w:r>
        <w:rPr>
          <w:rFonts w:ascii="Arial" w:hAnsi="Arial"/>
        </w:rPr>
        <w:t xml:space="preserve">, der Sinn der Arbeit, ist bei Sportlern dünn untersucht. Gefunden wurden eine kleine randomisierte Studie mit Kontrollgruppe ohne Programm und Sprint- und Sprungzielgrößen bei Nachwuchssportlern (Klusemann et al., 2012, Basketball, sechs Wochen), wenige Vergleiche digitaler mit betreuter Vermittlung ohne untrainierte Kontrollgruppe und viele unkontrollierte Prä-Post-Studien aus dem Lockdown. Eine Übersichtsarbeit zur Wirksamkeit videovermittelten Konditionstrainings bei Sportlern gibt es nicht. Für ältere Erwachsene gibt es sie (Adliah et al., 2025).</w:t>
      </w:r>
    </w:p>
    <w:p>
      <w:pPr>
        <w:numPr>
          <w:ilvl w:val="0"/>
          <w:numId w:val="1001"/>
        </w:numPr>
        <w:pStyle w:val="Compact"/>
      </w:pPr>
      <w:r>
        <w:rPr>
          <w:bCs/>
          <w:rFonts w:ascii="Arial" w:hAnsi="Arial"/>
          <w:b/>
        </w:rPr>
        <w:t xml:space="preserve">Wirksamkeit.</w:t>
      </w:r>
      <w:r>
        <w:rPr>
          <w:rFonts w:ascii="Arial" w:hAnsi="Arial"/>
        </w:rPr>
        <w:t xml:space="preserve"> </w:t>
      </w:r>
      <w:r>
        <w:rPr>
          <w:rFonts w:ascii="Arial" w:hAnsi="Arial"/>
        </w:rPr>
        <w:t xml:space="preserve">Sie wurde untersucht, aber nur in kleinen Einzelstudien. Wo verglichen wurde, fanden sich bei Sprung, Sprint oder Agilität keine Unterschiede zwischen videovermittelter oder unbeaufsichtigter und betreuter Durchführung (Klusemann et al., 2012 · Lippi et al., 2025 · Veith et al., 2021 · Haugen et al., 2015). Aufsicht zahlte sich bei Bewegungsqualität, Kraft und Umsetzung aus (Klusemann et al., 2012 · Coutts et al., 2004 · Smart &amp; Gill, 2013 · Rogers et al., 2020).</w:t>
      </w:r>
    </w:p>
    <w:p>
      <w:pPr>
        <w:numPr>
          <w:ilvl w:val="0"/>
          <w:numId w:val="1001"/>
        </w:numPr>
        <w:pStyle w:val="Compact"/>
      </w:pPr>
      <w:r>
        <w:rPr>
          <w:bCs/>
          <w:rFonts w:ascii="Arial" w:hAnsi="Arial"/>
          <w:b/>
        </w:rPr>
        <w:t xml:space="preserve">Plyometrie.</w:t>
      </w:r>
      <w:r>
        <w:rPr>
          <w:rFonts w:ascii="Arial" w:hAnsi="Arial"/>
        </w:rPr>
        <w:t xml:space="preserve"> </w:t>
      </w:r>
      <w:r>
        <w:rPr>
          <w:rFonts w:ascii="Arial" w:hAnsi="Arial"/>
        </w:rPr>
        <w:t xml:space="preserve">Ein per App oder Video vermitteltes, unbeaufsichtigtes plyometrisches Heimprogramm ist bei Sportlern mit einer Leistungszielgröße nur in einer gefundenen Studie kontrolliert geprüft: bei erwachsenen Handballern gegen ein Kräftigungsprogramm, ohne Unterschied im CMJ und bei rund 50 % Umsetzung (Dos Santos et al., 2025). Keine Metaanalyse zur Plyometrie wertet Aufsicht oder Vermittlungsweg als Moderator aus.</w:t>
      </w:r>
    </w:p>
    <w:p>
      <w:pPr>
        <w:numPr>
          <w:ilvl w:val="0"/>
          <w:numId w:val="1001"/>
        </w:numPr>
        <w:pStyle w:val="Compact"/>
      </w:pPr>
      <w:r>
        <w:rPr>
          <w:bCs/>
          <w:rFonts w:ascii="Arial" w:hAnsi="Arial"/>
          <w:b/>
        </w:rPr>
        <w:t xml:space="preserve">Fußball.</w:t>
      </w:r>
      <w:r>
        <w:rPr>
          <w:rFonts w:ascii="Arial" w:hAnsi="Arial"/>
        </w:rPr>
        <w:t xml:space="preserve"> </w:t>
      </w:r>
      <w:r>
        <w:rPr>
          <w:rFonts w:ascii="Arial" w:hAnsi="Arial"/>
        </w:rPr>
        <w:t xml:space="preserve">Eine kontrollierte Studie zu einem videobasierten Heimprogramm mit Sprint-, Richtungswechsel- oder Sprungzielgrößen im Nachwuchsfußball wurde nicht gefunden. Am nächsten liegen Veith et al. (2021: 11+ Teil 2 zu Hause, U13 bis U16, Akademie, in der Saison, Video nicht erwähnt, ohne untrainierte Kontrolle), Stanković et al. (2022: Heimprogramm in der Übergangsperiode, 16 bis 18 Jahre, nur Abstract) und Dauty et al. (2021: Übungsvideos im Lockdown, 14-Jährige, ohne Kontrollgruppe, nur Ausdauer).</w:t>
      </w:r>
    </w:p>
    <w:p>
      <w:pPr>
        <w:numPr>
          <w:ilvl w:val="0"/>
          <w:numId w:val="1001"/>
        </w:numPr>
        <w:pStyle w:val="Compact"/>
      </w:pPr>
      <w:r>
        <w:rPr>
          <w:bCs/>
          <w:rFonts w:ascii="Arial" w:hAnsi="Arial"/>
          <w:b/>
        </w:rPr>
        <w:t xml:space="preserve">Distanz.</w:t>
      </w:r>
      <w:r>
        <w:rPr>
          <w:rFonts w:ascii="Arial" w:hAnsi="Arial"/>
        </w:rPr>
        <w:t xml:space="preserve"> </w:t>
      </w:r>
      <w:r>
        <w:rPr>
          <w:rFonts w:ascii="Arial" w:hAnsi="Arial"/>
        </w:rPr>
        <w:t xml:space="preserve">Keine gefundene Studie kommt nach F17 § 6.4 unter eine Distanzsumme von 3. Keine trägt eine Wirksamkeitsaussage für die eigene Population, die nächsten nur mit Nennung der Abweichung im Satz.</w:t>
      </w:r>
    </w:p>
    <w:p>
      <w:pPr>
        <w:numPr>
          <w:ilvl w:val="0"/>
          <w:numId w:val="1001"/>
        </w:numPr>
        <w:pStyle w:val="Compact"/>
      </w:pPr>
      <w:r>
        <w:rPr>
          <w:bCs/>
          <w:rFonts w:ascii="Arial" w:hAnsi="Arial"/>
          <w:b/>
        </w:rPr>
        <w:t xml:space="preserve">Folge.</w:t>
      </w:r>
      <w:r>
        <w:rPr>
          <w:rFonts w:ascii="Arial" w:hAnsi="Arial"/>
        </w:rPr>
        <w:t xml:space="preserve"> </w:t>
      </w:r>
      <w:r>
        <w:rPr>
          <w:rFonts w:ascii="Arial" w:hAnsi="Arial"/>
        </w:rPr>
        <w:t xml:space="preserve">Die vorsichtige Lückenformel der Einleitung („in kontrollierten Studien unzureichend untersucht“) ist gestützt, die Formel „fehlen“ (F17 § 5a Zug 7, Berichtsraster Rev. 3 Zeile 1.3) nicht. „Liu et al. (2024) bleibt die einzige kontrollierte Studie mit plyometrischem Arm in der Übergangsperiode“ (F17 § 6.5) trägt ohne Einschränkung nicht (Nakamura et al., 2012). Für 6.1 und die Limitationen liefert die Recherche Vergleichswerte zur Umsetzung unbeaufsichtigter digitaler Programme (§ 5 Nr. 3).</w:t>
      </w:r>
    </w:p>
    <w:bookmarkEnd w:id="20"/>
    <w:bookmarkStart w:id="21" w:name="fragestellung-und-suchrahmen"/>
    <w:p>
      <w:pPr>
        <w:pStyle w:val="Heading2"/>
      </w:pPr>
      <w:r>
        <w:rPr>
          <w:rFonts w:ascii="Arial" w:hAnsi="Arial"/>
        </w:rPr>
        <w:t xml:space="preserve">1 Fragestellung und Suchrahmen</w:t>
      </w:r>
    </w:p>
    <w:p>
      <w:pPr>
        <w:pStyle w:val="FirstParagraph"/>
      </w:pPr>
      <w:r>
        <w:rPr>
          <w:bCs/>
          <w:rFonts w:ascii="Arial" w:hAnsi="Arial"/>
          <w:b/>
        </w:rPr>
        <w:t xml:space="preserve">Forschungsfrage des Antrags</w:t>
      </w:r>
      <w:r>
        <w:rPr>
          <w:rFonts w:ascii="Arial" w:hAnsi="Arial"/>
        </w:rPr>
        <w:t xml:space="preserve"> </w:t>
      </w:r>
      <w:r>
        <w:rPr>
          <w:rFonts w:ascii="Arial" w:hAnsi="Arial"/>
        </w:rPr>
        <w:t xml:space="preserve">(Ethikantrag vom 16.06.2026, PDF-S. 3 f.): „Führt ein videogestütztes plyometrisches Heimtrainingsprogramm während der sechswöchigen Sommerpause bei männlichen U15-Fußballspielern zu signifikant besseren Leistungsveränderungen in Sprint-, Richtungswechsel- und Sprungleistung im Vergleich zu einer Kontrollgruppe ohne strukturierte Trainingsanleitung?“ Der Antrag begründet die Lücke damit, dass „nur wenige Studien vor[liegen], die strukturierte, videogestützte Trainingsinterventionen während trainingsfreier Phasen im U15-Bereich untersuchen“ (PDF-S. 3).</w:t>
      </w:r>
    </w:p>
    <w:p>
      <w:pPr>
        <w:pStyle w:val="BodyText"/>
      </w:pPr>
      <w:r>
        <w:rPr>
          <w:bCs/>
          <w:rFonts w:ascii="Arial" w:hAnsi="Arial"/>
          <w:b/>
        </w:rPr>
        <w:t xml:space="preserve">Zerlegung nach F17 § 6.4, Schritt 1</w:t>
      </w:r>
      <w:r>
        <w:rPr>
          <w:rFonts w:ascii="Arial" w:hAnsi="Arial"/>
        </w:rPr>
        <w:t xml:space="preserve">, in drei Stufen wie beauftragt: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320"/>
        <w:gridCol w:w="1320"/>
        <w:gridCol w:w="1320"/>
        <w:gridCol w:w="1320"/>
        <w:gridCol w:w="1320"/>
        <w:gridCol w:w="1320"/>
      </w:tblGrid>
      <w:tr>
        <w:trPr>
          <w:tblHeader w:val="true"/>
          <w:tblHeader w:val="true"/>
          <w:cantSplit w:val="true"/>
        </w:trPr>
        <w:tc>
          <w:tcPr>
            <w:shd w:val="clear" w:color="auto" w:fill="D6E4F0"/>
          </w:tcPr>
          <w:p>
            <w:pPr>
              <w:pStyle w:val="Compact"/>
              <w:jc w:val="left"/>
            </w:pPr>
            <w:r>
              <w:rPr>
                <w:rFonts w:ascii="Arial" w:hAnsi="Arial"/>
                <w:b/>
                <w:sz w:val="18"/>
              </w:rPr>
              <w:t xml:space="preserve">Stufe</w:t>
            </w:r>
          </w:p>
        </w:tc>
        <w:tc>
          <w:tcPr>
            <w:shd w:val="clear" w:color="auto" w:fill="D6E4F0"/>
          </w:tcPr>
          <w:p>
            <w:pPr>
              <w:pStyle w:val="Compact"/>
              <w:jc w:val="left"/>
            </w:pPr>
            <w:r>
              <w:rPr>
                <w:rFonts w:ascii="Arial" w:hAnsi="Arial"/>
                <w:b/>
                <w:sz w:val="18"/>
              </w:rPr>
              <w:t xml:space="preserve">Population</w:t>
            </w:r>
          </w:p>
        </w:tc>
        <w:tc>
          <w:tcPr>
            <w:shd w:val="clear" w:color="auto" w:fill="D6E4F0"/>
          </w:tcPr>
          <w:p>
            <w:pPr>
              <w:pStyle w:val="Compact"/>
              <w:jc w:val="left"/>
            </w:pPr>
            <w:r>
              <w:rPr>
                <w:rFonts w:ascii="Arial" w:hAnsi="Arial"/>
                <w:b/>
                <w:sz w:val="18"/>
              </w:rPr>
              <w:t xml:space="preserve">Intervention</w:t>
            </w:r>
          </w:p>
        </w:tc>
        <w:tc>
          <w:tcPr>
            <w:shd w:val="clear" w:color="auto" w:fill="D6E4F0"/>
          </w:tcPr>
          <w:p>
            <w:pPr>
              <w:pStyle w:val="Compact"/>
              <w:jc w:val="left"/>
            </w:pPr>
            <w:r>
              <w:rPr>
                <w:rFonts w:ascii="Arial" w:hAnsi="Arial"/>
                <w:b/>
                <w:sz w:val="18"/>
              </w:rPr>
              <w:t xml:space="preserve">Vergleich</w:t>
            </w:r>
          </w:p>
        </w:tc>
        <w:tc>
          <w:tcPr>
            <w:shd w:val="clear" w:color="auto" w:fill="D6E4F0"/>
          </w:tcPr>
          <w:p>
            <w:pPr>
              <w:pStyle w:val="Compact"/>
              <w:jc w:val="left"/>
            </w:pPr>
            <w:r>
              <w:rPr>
                <w:rFonts w:ascii="Arial" w:hAnsi="Arial"/>
                <w:b/>
                <w:sz w:val="18"/>
              </w:rPr>
              <w:t xml:space="preserve">Zielgröße</w:t>
            </w:r>
          </w:p>
        </w:tc>
        <w:tc>
          <w:tcPr>
            <w:shd w:val="clear" w:color="auto" w:fill="D6E4F0"/>
          </w:tcPr>
          <w:p>
            <w:pPr>
              <w:pStyle w:val="Compact"/>
              <w:jc w:val="left"/>
            </w:pPr>
            <w:r>
              <w:rPr>
                <w:rFonts w:ascii="Arial" w:hAnsi="Arial"/>
                <w:b/>
                <w:sz w:val="18"/>
              </w:rPr>
              <w:t xml:space="preserve">Kontext</w:t>
            </w:r>
          </w:p>
        </w:tc>
      </w:tr>
      <w:tr>
        <w:trPr>
          <w:cantSplit w:val="true"/>
        </w:trPr>
        <w:tc>
          <w:tcPr/>
          <w:p>
            <w:pPr>
              <w:pStyle w:val="Compact"/>
              <w:jc w:val="left"/>
            </w:pPr>
            <w:r>
              <w:rPr>
                <w:rFonts w:ascii="Arial" w:hAnsi="Arial"/>
                <w:sz w:val="18"/>
              </w:rPr>
              <w:t xml:space="preserve">1 Sportler</w:t>
            </w:r>
          </w:p>
        </w:tc>
        <w:tc>
          <w:tcPr/>
          <w:p>
            <w:pPr>
              <w:pStyle w:val="Compact"/>
              <w:jc w:val="left"/>
            </w:pPr>
            <w:r>
              <w:rPr>
                <w:rFonts w:ascii="Arial" w:hAnsi="Arial"/>
                <w:sz w:val="18"/>
              </w:rPr>
              <w:t xml:space="preserve">Sportler jeden Alters und Niveaus</w:t>
            </w:r>
          </w:p>
        </w:tc>
        <w:tc>
          <w:tcPr/>
          <w:p>
            <w:pPr>
              <w:pStyle w:val="Compact"/>
              <w:jc w:val="left"/>
            </w:pPr>
            <w:r>
              <w:rPr>
                <w:rFonts w:ascii="Arial" w:hAnsi="Arial"/>
                <w:sz w:val="18"/>
              </w:rPr>
              <w:t xml:space="preserve">Training per Video (aufgezeichnet oder live), online oder per App vermittelt, auch unbeaufsichtigt zu Hause</w:t>
            </w:r>
          </w:p>
        </w:tc>
        <w:tc>
          <w:tcPr/>
          <w:p>
            <w:pPr>
              <w:pStyle w:val="Compact"/>
              <w:jc w:val="left"/>
            </w:pPr>
            <w:r>
              <w:rPr>
                <w:rFonts w:ascii="Arial" w:hAnsi="Arial"/>
                <w:sz w:val="18"/>
              </w:rPr>
              <w:t xml:space="preserve">Kontrollgruppe oder betreute Vermittlung</w:t>
            </w:r>
          </w:p>
        </w:tc>
        <w:tc>
          <w:tcPr/>
          <w:p>
            <w:pPr>
              <w:pStyle w:val="Compact"/>
              <w:jc w:val="left"/>
            </w:pPr>
            <w:r>
              <w:rPr>
                <w:rFonts w:ascii="Arial" w:hAnsi="Arial"/>
                <w:sz w:val="18"/>
              </w:rPr>
              <w:t xml:space="preserve">körperliche Leistung</w:t>
            </w:r>
          </w:p>
        </w:tc>
        <w:tc>
          <w:tcPr/>
          <w:p>
            <w:pPr>
              <w:pStyle w:val="Compact"/>
              <w:jc w:val="left"/>
            </w:pPr>
            <w:r>
              <w:rPr>
                <w:rFonts w:ascii="Arial" w:hAnsi="Arial"/>
                <w:sz w:val="18"/>
              </w:rPr>
              <w:t xml:space="preserve">beliebig</w:t>
            </w:r>
          </w:p>
        </w:tc>
      </w:tr>
      <w:tr>
        <w:trPr>
          <w:cantSplit w:val="true"/>
        </w:trPr>
        <w:tc>
          <w:tcPr>
            <w:shd w:val="clear" w:color="auto" w:fill="EEF3F9"/>
          </w:tcPr>
          <w:p>
            <w:pPr>
              <w:pStyle w:val="Compact"/>
              <w:jc w:val="left"/>
            </w:pPr>
            <w:r>
              <w:rPr>
                <w:rFonts w:ascii="Arial" w:hAnsi="Arial"/>
                <w:sz w:val="18"/>
              </w:rPr>
              <w:t xml:space="preserve">2 Plyometrie</w:t>
            </w:r>
          </w:p>
        </w:tc>
        <w:tc>
          <w:tcPr>
            <w:shd w:val="clear" w:color="auto" w:fill="EEF3F9"/>
          </w:tcPr>
          <w:p>
            <w:pPr>
              <w:pStyle w:val="Compact"/>
              <w:jc w:val="left"/>
            </w:pPr>
            <w:r>
              <w:rPr>
                <w:rFonts w:ascii="Arial" w:hAnsi="Arial"/>
                <w:sz w:val="18"/>
              </w:rPr>
              <w:t xml:space="preserve">wie Stufe 1, bei Sprungprogrammen auch Nichtsportler</w:t>
            </w:r>
          </w:p>
        </w:tc>
        <w:tc>
          <w:tcPr>
            <w:shd w:val="clear" w:color="auto" w:fill="EEF3F9"/>
          </w:tcPr>
          <w:p>
            <w:pPr>
              <w:pStyle w:val="Compact"/>
              <w:jc w:val="left"/>
            </w:pPr>
            <w:r>
              <w:rPr>
                <w:rFonts w:ascii="Arial" w:hAnsi="Arial"/>
                <w:sz w:val="18"/>
              </w:rPr>
              <w:t xml:space="preserve">Sprung- oder plyometrisches Training per Video, zu Hause oder ohne Aufsicht</w:t>
            </w:r>
          </w:p>
        </w:tc>
        <w:tc>
          <w:tcPr>
            <w:shd w:val="clear" w:color="auto" w:fill="EEF3F9"/>
          </w:tcPr>
          <w:p>
            <w:pPr>
              <w:pStyle w:val="Compact"/>
              <w:jc w:val="left"/>
            </w:pPr>
            <w:r>
              <w:rPr>
                <w:rFonts w:ascii="Arial" w:hAnsi="Arial"/>
                <w:sz w:val="18"/>
              </w:rPr>
              <w:t xml:space="preserve">wie Stufe 1</w:t>
            </w:r>
          </w:p>
        </w:tc>
        <w:tc>
          <w:tcPr>
            <w:shd w:val="clear" w:color="auto" w:fill="EEF3F9"/>
          </w:tcPr>
          <w:p>
            <w:pPr>
              <w:pStyle w:val="Compact"/>
              <w:jc w:val="left"/>
            </w:pPr>
            <w:r>
              <w:rPr>
                <w:rFonts w:ascii="Arial" w:hAnsi="Arial"/>
                <w:sz w:val="18"/>
              </w:rPr>
              <w:t xml:space="preserve">Sprint, Richtungswechsel, Sprung</w:t>
            </w:r>
          </w:p>
        </w:tc>
        <w:tc>
          <w:tcPr>
            <w:shd w:val="clear" w:color="auto" w:fill="EEF3F9"/>
          </w:tcPr>
          <w:p>
            <w:pPr>
              <w:pStyle w:val="Compact"/>
              <w:jc w:val="left"/>
            </w:pPr>
            <w:r>
              <w:rPr>
                <w:rFonts w:ascii="Arial" w:hAnsi="Arial"/>
                <w:sz w:val="18"/>
              </w:rPr>
              <w:t xml:space="preserve">beliebig</w:t>
            </w:r>
          </w:p>
        </w:tc>
      </w:tr>
      <w:tr>
        <w:trPr>
          <w:cantSplit w:val="true"/>
        </w:trPr>
        <w:tc>
          <w:tcPr/>
          <w:p>
            <w:pPr>
              <w:pStyle w:val="Compact"/>
              <w:jc w:val="left"/>
            </w:pPr>
            <w:r>
              <w:rPr>
                <w:rFonts w:ascii="Arial" w:hAnsi="Arial"/>
                <w:sz w:val="18"/>
              </w:rPr>
              <w:t xml:space="preserve">3 Fußball</w:t>
            </w:r>
          </w:p>
        </w:tc>
        <w:tc>
          <w:tcPr/>
          <w:p>
            <w:pPr>
              <w:pStyle w:val="Compact"/>
              <w:jc w:val="left"/>
            </w:pPr>
            <w:r>
              <w:rPr>
                <w:rFonts w:ascii="Arial" w:hAnsi="Arial"/>
                <w:sz w:val="18"/>
              </w:rPr>
              <w:t xml:space="preserve">Fußballer, vorrangig Nachwuchs 13 bis 16 Jahre</w:t>
            </w:r>
          </w:p>
        </w:tc>
        <w:tc>
          <w:tcPr/>
          <w:p>
            <w:pPr>
              <w:pStyle w:val="Compact"/>
              <w:jc w:val="left"/>
            </w:pPr>
            <w:r>
              <w:rPr>
                <w:rFonts w:ascii="Arial" w:hAnsi="Arial"/>
                <w:sz w:val="18"/>
              </w:rPr>
              <w:t xml:space="preserve">wie Stufe 1 oder 2</w:t>
            </w:r>
          </w:p>
        </w:tc>
        <w:tc>
          <w:tcPr/>
          <w:p>
            <w:pPr>
              <w:pStyle w:val="Compact"/>
              <w:jc w:val="left"/>
            </w:pPr>
            <w:r>
              <w:rPr>
                <w:rFonts w:ascii="Arial" w:hAnsi="Arial"/>
                <w:sz w:val="18"/>
              </w:rPr>
              <w:t xml:space="preserve">wie Stufe 1</w:t>
            </w:r>
          </w:p>
        </w:tc>
        <w:tc>
          <w:tcPr/>
          <w:p>
            <w:pPr>
              <w:pStyle w:val="Compact"/>
              <w:jc w:val="left"/>
            </w:pPr>
            <w:r>
              <w:rPr>
                <w:rFonts w:ascii="Arial" w:hAnsi="Arial"/>
                <w:sz w:val="18"/>
              </w:rPr>
              <w:t xml:space="preserve">wie Stufe 2</w:t>
            </w:r>
          </w:p>
        </w:tc>
        <w:tc>
          <w:tcPr/>
          <w:p>
            <w:pPr>
              <w:pStyle w:val="Compact"/>
              <w:jc w:val="left"/>
            </w:pPr>
            <w:r>
              <w:rPr>
                <w:rFonts w:ascii="Arial" w:hAnsi="Arial"/>
                <w:sz w:val="18"/>
              </w:rPr>
              <w:t xml:space="preserve">Sommerpause, Übergangsperiode, Lockdown</w:t>
            </w:r>
          </w:p>
        </w:tc>
      </w:tr>
    </w:tbl>
    <w:p>
      <w:pPr>
        <w:pStyle w:val="BodyText"/>
      </w:pPr>
      <w:r>
        <w:rPr>
          <w:bCs/>
          <w:rFonts w:ascii="Arial" w:hAnsi="Arial"/>
          <w:b/>
        </w:rPr>
        <w:t xml:space="preserve">Suchfragen in Consensus</w:t>
      </w:r>
      <w:r>
        <w:rPr>
          <w:rFonts w:ascii="Arial" w:hAnsi="Arial"/>
        </w:rPr>
        <w:t xml:space="preserve"> </w:t>
      </w:r>
      <w:r>
        <w:rPr>
          <w:rFonts w:ascii="Arial" w:hAnsi="Arial"/>
        </w:rPr>
        <w:t xml:space="preserve">im Stil des Rechercheprotokolls vom 02.09. (§ 6 dort), Abruf 30.09.2026, je zehn Arbeiten: K11 „How effective are video-based home training programmes for improving physical performance in athletes?“ · K12 „How effective is unsupervised home-based plyometric or jump training delivered via video for improving jump, sprint and change of direction performance in young athletes?“ · K13 „Can video-guided home training programmes maintain or improve sprint, change of direction and jump performance in youth soccer players during the off-season?“ Zwei weitere Fragen scheiterten an der Ratenbegrenzung, danach war das Monatskontingent aufgebraucht (Neustart 01.10.). Unter den je zehn Arbeiten von K12 und K13 war kein per Video vermitteltes oder unbeaufsichtigtes Programm, nur betreute Studien und Metaanalysen.</w:t>
      </w:r>
    </w:p>
    <w:p>
      <w:pPr>
        <w:pStyle w:val="BodyText"/>
      </w:pPr>
      <w:r>
        <w:rPr>
          <w:bCs/>
          <w:rFonts w:ascii="Arial" w:hAnsi="Arial"/>
          <w:b/>
        </w:rPr>
        <w:t xml:space="preserve">PubMed:</w:t>
      </w:r>
      <w:r>
        <w:rPr>
          <w:rFonts w:ascii="Arial" w:hAnsi="Arial"/>
        </w:rPr>
        <w:t xml:space="preserve"> </w:t>
      </w:r>
      <w:r>
        <w:rPr>
          <w:rFonts w:ascii="Arial" w:hAnsi="Arial"/>
        </w:rPr>
        <w:t xml:space="preserve">elf Suchstrings (Anhang A), 517 eindeutige Treffer nach Titel gesichtet, rund 60 Abstracts gelesen, freie Volltexte über PMC ausgewertet.</w:t>
      </w:r>
      <w:r>
        <w:rPr>
          <w:rFonts w:ascii="Arial" w:hAnsi="Arial"/>
        </w:rPr>
        <w:t xml:space="preserve"> </w:t>
      </w:r>
      <w:r>
        <w:rPr>
          <w:bCs/>
          <w:rFonts w:ascii="Arial" w:hAnsi="Arial"/>
          <w:b/>
        </w:rPr>
        <w:t xml:space="preserve">Weitere Wege:</w:t>
      </w:r>
      <w:r>
        <w:rPr>
          <w:rFonts w:ascii="Arial" w:hAnsi="Arial"/>
        </w:rPr>
        <w:t xml:space="preserve"> </w:t>
      </w:r>
      <w:r>
        <w:rPr>
          <w:rFonts w:ascii="Arial" w:hAnsi="Arial"/>
        </w:rPr>
        <w:t xml:space="preserve">acht Websuchen, Unpaywall je DOI, Verlagsseiten.</w:t>
      </w:r>
      <w:r>
        <w:rPr>
          <w:rFonts w:ascii="Arial" w:hAnsi="Arial"/>
        </w:rPr>
        <w:t xml:space="preserve"> </w:t>
      </w:r>
      <w:r>
        <w:rPr>
          <w:bCs/>
          <w:rFonts w:ascii="Arial" w:hAnsi="Arial"/>
          <w:b/>
        </w:rPr>
        <w:t xml:space="preserve">Gegenrecherche:</w:t>
      </w:r>
      <w:r>
        <w:rPr>
          <w:rFonts w:ascii="Arial" w:hAnsi="Arial"/>
        </w:rPr>
        <w:t xml:space="preserve"> </w:t>
      </w:r>
      <w:r>
        <w:rPr>
          <w:rFonts w:ascii="Arial" w:hAnsi="Arial"/>
        </w:rPr>
        <w:t xml:space="preserve">Ein unabhängiger Subagent hat versucht, vier Kernaussagen zu widerlegen (§ 4.3).</w:t>
      </w:r>
    </w:p>
    <w:bookmarkEnd w:id="21"/>
    <w:bookmarkStart w:id="22" w:name="drei-bedeutungen-von-videobasiert"/>
    <w:p>
      <w:pPr>
        <w:pStyle w:val="Heading2"/>
      </w:pPr>
      <w:r>
        <w:rPr>
          <w:rFonts w:ascii="Arial" w:hAnsi="Arial"/>
        </w:rPr>
        <w:t xml:space="preserve">2 Drei Bedeutungen von „videobasiert“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cantSplit w:val="true"/>
        </w:trPr>
        <w:tc>
          <w:tcPr>
            <w:shd w:val="clear" w:color="auto" w:fill="D6E4F0"/>
          </w:tcPr>
          <w:p>
            <w:pPr>
              <w:pStyle w:val="Compact"/>
              <w:jc w:val="left"/>
            </w:pPr>
            <w:r>
              <w:rPr>
                <w:rFonts w:ascii="Arial" w:hAnsi="Arial"/>
                <w:b/>
                <w:sz w:val="18"/>
              </w:rPr>
              <w:t xml:space="preserve">Strang</w:t>
            </w:r>
          </w:p>
        </w:tc>
        <w:tc>
          <w:tcPr>
            <w:shd w:val="clear" w:color="auto" w:fill="D6E4F0"/>
          </w:tcPr>
          <w:p>
            <w:pPr>
              <w:pStyle w:val="Compact"/>
              <w:jc w:val="left"/>
            </w:pPr>
            <w:r>
              <w:rPr>
                <w:rFonts w:ascii="Arial" w:hAnsi="Arial"/>
                <w:b/>
                <w:sz w:val="18"/>
              </w:rPr>
              <w:t xml:space="preserve">Was das Video leistet</w:t>
            </w:r>
          </w:p>
        </w:tc>
        <w:tc>
          <w:tcPr>
            <w:shd w:val="clear" w:color="auto" w:fill="D6E4F0"/>
          </w:tcPr>
          <w:p>
            <w:pPr>
              <w:pStyle w:val="Compact"/>
              <w:jc w:val="left"/>
            </w:pPr>
            <w:r>
              <w:rPr>
                <w:rFonts w:ascii="Arial" w:hAnsi="Arial"/>
                <w:b/>
                <w:sz w:val="18"/>
              </w:rPr>
              <w:t xml:space="preserve">Evidenzlage</w:t>
            </w:r>
          </w:p>
        </w:tc>
        <w:tc>
          <w:tcPr>
            <w:shd w:val="clear" w:color="auto" w:fill="D6E4F0"/>
          </w:tcPr>
          <w:p>
            <w:pPr>
              <w:pStyle w:val="Compact"/>
              <w:jc w:val="left"/>
            </w:pPr>
            <w:r>
              <w:rPr>
                <w:rFonts w:ascii="Arial" w:hAnsi="Arial"/>
                <w:b/>
                <w:sz w:val="18"/>
              </w:rPr>
              <w:t xml:space="preserve">Beispiele</w:t>
            </w:r>
          </w:p>
        </w:tc>
      </w:tr>
      <w:tr>
        <w:trPr>
          <w:cantSplit w:val="true"/>
        </w:trPr>
        <w:tc>
          <w:tcPr/>
          <w:p>
            <w:pPr>
              <w:pStyle w:val="Compact"/>
              <w:jc w:val="left"/>
            </w:pPr>
            <w:r>
              <w:rPr>
                <w:rFonts w:ascii="Arial" w:hAnsi="Arial"/>
                <w:sz w:val="18"/>
              </w:rPr>
              <w:t xml:space="preserve">Wahrnehmungs- und Entscheidungstraining</w:t>
            </w:r>
          </w:p>
        </w:tc>
        <w:tc>
          <w:tcPr/>
          <w:p>
            <w:pPr>
              <w:pStyle w:val="Compact"/>
              <w:jc w:val="left"/>
            </w:pPr>
            <w:r>
              <w:rPr>
                <w:rFonts w:ascii="Arial" w:hAnsi="Arial"/>
                <w:sz w:val="18"/>
              </w:rPr>
              <w:t xml:space="preserve">zeigt Spielszenen, der Spieler entscheidet am Bildschirm</w:t>
            </w:r>
          </w:p>
        </w:tc>
        <w:tc>
          <w:tcPr/>
          <w:p>
            <w:pPr>
              <w:pStyle w:val="Compact"/>
              <w:jc w:val="left"/>
            </w:pPr>
            <w:r>
              <w:rPr>
                <w:rFonts w:ascii="Arial" w:hAnsi="Arial"/>
                <w:sz w:val="18"/>
              </w:rPr>
              <w:t xml:space="preserve">gut untersucht: systematisches Review zum Fußball mit 10 Studien, zum visuellen Training allgemein eine Metaanalyse mit 27 RCT und 669 Sportlern (Entscheidungszeit SMD 0,85, sportartspezifische Leistung SMD 0,49)</w:t>
            </w:r>
          </w:p>
        </w:tc>
        <w:tc>
          <w:tcPr/>
          <w:p>
            <w:pPr>
              <w:pStyle w:val="Compact"/>
              <w:jc w:val="left"/>
            </w:pPr>
            <w:r>
              <w:rPr>
                <w:rFonts w:ascii="Arial" w:hAnsi="Arial"/>
                <w:sz w:val="18"/>
              </w:rPr>
              <w:t xml:space="preserve">Zhao et al. (2022), Front Hum Neurosci 16, 945067 (A) · Guo et al. (2025), Scand J Med Sci Sports 35(10), e70140 (A) · Nimmerichter et al. (2015), Sports 4(1), 1 [MDPI]: 34 Akademiespieler (14,4 J.), sechs Wochen, reaktive Agilität und Entscheidungen in der Trainingsgruppe verbessert, in der Kontrolle nicht (A)</w:t>
            </w:r>
          </w:p>
        </w:tc>
      </w:tr>
      <w:tr>
        <w:trPr>
          <w:cantSplit w:val="true"/>
        </w:trPr>
        <w:tc>
          <w:tcPr>
            <w:shd w:val="clear" w:color="auto" w:fill="EEF3F9"/>
          </w:tcPr>
          <w:p>
            <w:pPr>
              <w:pStyle w:val="Compact"/>
              <w:jc w:val="left"/>
            </w:pPr>
            <w:r>
              <w:rPr>
                <w:rFonts w:ascii="Arial" w:hAnsi="Arial"/>
                <w:sz w:val="18"/>
              </w:rPr>
              <w:t xml:space="preserve">Vorbild und Rückmeldung für die Technik</w:t>
            </w:r>
          </w:p>
        </w:tc>
        <w:tc>
          <w:tcPr>
            <w:shd w:val="clear" w:color="auto" w:fill="EEF3F9"/>
          </w:tcPr>
          <w:p>
            <w:pPr>
              <w:pStyle w:val="Compact"/>
              <w:jc w:val="left"/>
            </w:pPr>
            <w:r>
              <w:rPr>
                <w:rFonts w:ascii="Arial" w:hAnsi="Arial"/>
                <w:sz w:val="18"/>
              </w:rPr>
              <w:t xml:space="preserve">zeigt die Ausführung eines Experten oder die eigene</w:t>
            </w:r>
          </w:p>
        </w:tc>
        <w:tc>
          <w:tcPr>
            <w:shd w:val="clear" w:color="auto" w:fill="EEF3F9"/>
          </w:tcPr>
          <w:p>
            <w:pPr>
              <w:pStyle w:val="Compact"/>
              <w:jc w:val="left"/>
            </w:pPr>
            <w:r>
              <w:rPr>
                <w:rFonts w:ascii="Arial" w:hAnsi="Arial"/>
                <w:sz w:val="18"/>
              </w:rPr>
              <w:t xml:space="preserve">viele kleine Laborstudien, kurzfristige biomechanische Zielgrößen</w:t>
            </w:r>
          </w:p>
        </w:tc>
        <w:tc>
          <w:tcPr>
            <w:shd w:val="clear" w:color="auto" w:fill="EEF3F9"/>
          </w:tcPr>
          <w:p>
            <w:pPr>
              <w:pStyle w:val="Compact"/>
              <w:jc w:val="left"/>
            </w:pPr>
            <w:r>
              <w:rPr>
                <w:rFonts w:ascii="Arial" w:hAnsi="Arial"/>
                <w:sz w:val="18"/>
              </w:rPr>
              <w:t xml:space="preserve">Oñate et al. (2005), Am J Sports Med 33(6), 831–842: Freizeitsportler im Labor, eigenes oder kombiniertes Video vergrößerte die Kniebeugung bei der Landung stärker als keine Rückmeldung, das Expertenvideo allein nicht (A) · Parsons &amp; Alexander (2012), JSCR 26(4), 1076–1084: Volleyballerinnen 12–14 J. (A) · Dallinga et al. (2016), Int J Sports Med 38(2), 150–158 (A) · Nijmeijer et al. (2024), JSCR 38(8), e430–e439: Fußballerinnen, vier Wochen Videoinstruktion, kein Gruppeneffekt (A)</w:t>
            </w:r>
          </w:p>
        </w:tc>
      </w:tr>
      <w:tr>
        <w:trPr>
          <w:cantSplit w:val="true"/>
        </w:trPr>
        <w:tc>
          <w:tcPr/>
          <w:p>
            <w:pPr>
              <w:pStyle w:val="Compact"/>
              <w:jc w:val="left"/>
            </w:pPr>
            <w:r>
              <w:rPr>
                <w:rFonts w:ascii="Arial" w:hAnsi="Arial"/>
                <w:sz w:val="18"/>
              </w:rPr>
              <w:t xml:space="preserve">Vermittlungsweg eines Trainingsprogramms</w:t>
            </w:r>
          </w:p>
        </w:tc>
        <w:tc>
          <w:tcPr/>
          <w:p>
            <w:pPr>
              <w:pStyle w:val="Compact"/>
              <w:jc w:val="left"/>
            </w:pPr>
            <w:r>
              <w:rPr>
                <w:rFonts w:ascii="Arial" w:hAnsi="Arial"/>
                <w:sz w:val="18"/>
              </w:rPr>
              <w:t xml:space="preserve">leitet die Übungen an und ersetzt den Trainer vor Ort</w:t>
            </w:r>
          </w:p>
        </w:tc>
        <w:tc>
          <w:tcPr/>
          <w:p>
            <w:pPr>
              <w:pStyle w:val="Compact"/>
              <w:jc w:val="left"/>
            </w:pPr>
            <w:r>
              <w:rPr>
                <w:rFonts w:ascii="Arial" w:hAnsi="Arial"/>
                <w:sz w:val="18"/>
              </w:rPr>
              <w:t xml:space="preserve">dünn (§ 3)</w:t>
            </w:r>
          </w:p>
        </w:tc>
        <w:tc>
          <w:tcPr/>
          <w:p>
            <w:pPr>
              <w:pStyle w:val="Compact"/>
              <w:jc w:val="left"/>
            </w:pPr>
            <w:r>
              <w:rPr>
                <w:rFonts w:ascii="Arial" w:hAnsi="Arial"/>
                <w:sz w:val="18"/>
              </w:rPr>
              <w:t xml:space="preserve">Klusemann et al. (2012) · Rogers et al. (2020) · Dos Santos et al. (2025) · Lippi et al. (2025)</w:t>
            </w:r>
          </w:p>
        </w:tc>
      </w:tr>
    </w:tbl>
    <w:p>
      <w:pPr>
        <w:pStyle w:val="BodyText"/>
      </w:pPr>
      <w:r>
        <w:rPr>
          <w:rFonts w:ascii="Arial" w:hAnsi="Arial"/>
        </w:rPr>
        <w:t xml:space="preserve">Die Arbeit meint nur den dritten Strang. Eine Suche nach „video-based training“ liefert überwiegend den ersten. Der Befund von Nimmerichter et al. (2015) zur reaktiven Agilität betrifft Wahrnehmungstraining, nicht den Richtungswechsel im Sinn der Arbeit.</w:t>
      </w:r>
    </w:p>
    <w:bookmarkEnd w:id="22"/>
    <w:bookmarkStart w:id="26" w:name="evidenzkarte"/>
    <w:p>
      <w:pPr>
        <w:pStyle w:val="Heading2"/>
      </w:pPr>
      <w:r>
        <w:rPr>
          <w:rFonts w:ascii="Arial" w:hAnsi="Arial"/>
        </w:rPr>
        <w:t xml:space="preserve">3 Evidenzkarte</w:t>
      </w:r>
    </w:p>
    <w:bookmarkStart w:id="23" w:name="Xb59985cfdddc2da4520bb121e6a42295d2c86a6"/>
    <w:p>
      <w:pPr>
        <w:pStyle w:val="Heading3"/>
      </w:pPr>
      <w:r>
        <w:rPr>
          <w:rFonts w:ascii="Arial" w:hAnsi="Arial"/>
        </w:rPr>
        <w:t xml:space="preserve">3.1 Stufe 1: Training per Video, online oder App bei Sportlern, dazu Aufsicht als eigene Größe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131"/>
        <w:gridCol w:w="1131"/>
        <w:gridCol w:w="1131"/>
        <w:gridCol w:w="1131"/>
        <w:gridCol w:w="1131"/>
        <w:gridCol w:w="1131"/>
        <w:gridCol w:w="1131"/>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Design, Population</w:t>
            </w:r>
          </w:p>
        </w:tc>
        <w:tc>
          <w:tcPr>
            <w:shd w:val="clear" w:color="auto" w:fill="D6E4F0"/>
          </w:tcPr>
          <w:p>
            <w:pPr>
              <w:pStyle w:val="Compact"/>
              <w:jc w:val="left"/>
            </w:pPr>
            <w:r>
              <w:rPr>
                <w:rFonts w:ascii="Arial" w:hAnsi="Arial"/>
                <w:b/>
                <w:sz w:val="18"/>
              </w:rPr>
              <w:t xml:space="preserve">Vermittlung, Aufsicht</w:t>
            </w:r>
          </w:p>
        </w:tc>
        <w:tc>
          <w:tcPr>
            <w:shd w:val="clear" w:color="auto" w:fill="D6E4F0"/>
          </w:tcPr>
          <w:p>
            <w:pPr>
              <w:pStyle w:val="Compact"/>
              <w:jc w:val="left"/>
            </w:pPr>
            <w:r>
              <w:rPr>
                <w:rFonts w:ascii="Arial" w:hAnsi="Arial"/>
                <w:b/>
                <w:sz w:val="18"/>
              </w:rPr>
              <w:t xml:space="preserve">Vergleich, Dauer</w:t>
            </w:r>
          </w:p>
        </w:tc>
        <w:tc>
          <w:tcPr>
            <w:shd w:val="clear" w:color="auto" w:fill="D6E4F0"/>
          </w:tcPr>
          <w:p>
            <w:pPr>
              <w:pStyle w:val="Compact"/>
              <w:jc w:val="left"/>
            </w:pPr>
            <w:r>
              <w:rPr>
                <w:rFonts w:ascii="Arial" w:hAnsi="Arial"/>
                <w:b/>
                <w:sz w:val="18"/>
              </w:rPr>
              <w:t xml:space="preserve">Zielgrößen und Befund</w:t>
            </w:r>
          </w:p>
        </w:tc>
        <w:tc>
          <w:tcPr>
            <w:shd w:val="clear" w:color="auto" w:fill="D6E4F0"/>
          </w:tcPr>
          <w:p>
            <w:pPr>
              <w:pStyle w:val="Compact"/>
              <w:jc w:val="left"/>
            </w:pPr>
            <w:r>
              <w:rPr>
                <w:rFonts w:ascii="Arial" w:hAnsi="Arial"/>
                <w:b/>
                <w:sz w:val="18"/>
              </w:rPr>
              <w:t xml:space="preserve">P·D·Z (Σ)</w:t>
            </w:r>
          </w:p>
        </w:tc>
        <w:tc>
          <w:tcPr>
            <w:shd w:val="clear" w:color="auto" w:fill="D6E4F0"/>
          </w:tcPr>
          <w:p>
            <w:pPr>
              <w:pStyle w:val="Compact"/>
              <w:jc w:val="left"/>
            </w:pPr>
            <w:r>
              <w:rPr>
                <w:rFonts w:ascii="Arial" w:hAnsi="Arial"/>
                <w:b/>
                <w:sz w:val="18"/>
              </w:rPr>
              <w:t xml:space="preserve">Zugang</w:t>
            </w:r>
          </w:p>
        </w:tc>
      </w:tr>
      <w:tr>
        <w:trPr>
          <w:cantSplit w:val="true"/>
        </w:trPr>
        <w:tc>
          <w:tcPr/>
          <w:p>
            <w:pPr>
              <w:pStyle w:val="Compact"/>
              <w:jc w:val="left"/>
            </w:pPr>
            <w:r>
              <w:rPr>
                <w:rFonts w:ascii="Arial" w:hAnsi="Arial"/>
                <w:sz w:val="18"/>
              </w:rPr>
              <w:t xml:space="preserve">Klusemann et al. (2012), JSCR 26(10), 2677–2684</w:t>
            </w:r>
          </w:p>
        </w:tc>
        <w:tc>
          <w:tcPr/>
          <w:p>
            <w:pPr>
              <w:pStyle w:val="Compact"/>
              <w:jc w:val="left"/>
            </w:pPr>
            <w:r>
              <w:rPr>
                <w:rFonts w:ascii="Arial" w:hAnsi="Arial"/>
                <w:sz w:val="18"/>
              </w:rPr>
              <w:t xml:space="preserve">RCT, 38 Nachwuchsbasketballer (17 m, 14 ± 1 J. · 21 w, 15 ± 1 J.), nach Rogers et al. (2020) eine Landesauswahl</w:t>
            </w:r>
          </w:p>
        </w:tc>
        <w:tc>
          <w:tcPr/>
          <w:p>
            <w:pPr>
              <w:pStyle w:val="Compact"/>
              <w:jc w:val="left"/>
            </w:pPr>
            <w:r>
              <w:rPr>
                <w:rFonts w:ascii="Arial" w:hAnsi="Arial"/>
                <w:sz w:val="18"/>
              </w:rPr>
              <w:t xml:space="preserve">Krafttraining über Online-Videos statt Trainer vor Ort</w:t>
            </w:r>
          </w:p>
        </w:tc>
        <w:tc>
          <w:tcPr/>
          <w:p>
            <w:pPr>
              <w:pStyle w:val="Compact"/>
              <w:jc w:val="left"/>
            </w:pPr>
            <w:r>
              <w:rPr>
                <w:rFonts w:ascii="Arial" w:hAnsi="Arial"/>
                <w:sz w:val="18"/>
              </w:rPr>
              <w:t xml:space="preserve">betreut (13) · Video (13) · Kontrolle ohne Programm (12), 6 Wochen</w:t>
            </w:r>
          </w:p>
        </w:tc>
        <w:tc>
          <w:tcPr/>
          <w:p>
            <w:pPr>
              <w:pStyle w:val="Compact"/>
              <w:jc w:val="left"/>
            </w:pPr>
            <w:r>
              <w:rPr>
                <w:rFonts w:ascii="Arial" w:hAnsi="Arial"/>
                <w:sz w:val="18"/>
              </w:rPr>
              <w:t xml:space="preserve">vertikaler Sprung, 20-m-Sprint und Yo-Yo in beiden Trainingsgruppen um 3–5 % stärker verbessert als in der Kontrolle, Liegestütz um 28 %. Bewegungsqualität (FMS) nur betreut besser</w:t>
            </w:r>
          </w:p>
        </w:tc>
        <w:tc>
          <w:tcPr/>
          <w:p>
            <w:pPr>
              <w:pStyle w:val="Compact"/>
              <w:jc w:val="left"/>
            </w:pPr>
            <w:r>
              <w:rPr>
                <w:rFonts w:ascii="Arial" w:hAnsi="Arial"/>
                <w:sz w:val="18"/>
              </w:rPr>
              <w:t xml:space="preserve">2·1·0–1 (3–4)</w:t>
            </w:r>
          </w:p>
        </w:tc>
        <w:tc>
          <w:tcPr/>
          <w:p>
            <w:pPr>
              <w:pStyle w:val="Compact"/>
              <w:jc w:val="left"/>
            </w:pPr>
            <w:r>
              <w:rPr>
                <w:rFonts w:ascii="Arial" w:hAnsi="Arial"/>
                <w:sz w:val="18"/>
              </w:rPr>
              <w:t xml:space="preserve">A · Einreichungsfassung bei figshare gelistet, hier nicht abrufbar</w:t>
            </w:r>
          </w:p>
        </w:tc>
      </w:tr>
      <w:tr>
        <w:trPr>
          <w:cantSplit w:val="true"/>
        </w:trPr>
        <w:tc>
          <w:tcPr>
            <w:shd w:val="clear" w:color="auto" w:fill="EEF3F9"/>
          </w:tcPr>
          <w:p>
            <w:pPr>
              <w:pStyle w:val="Compact"/>
              <w:jc w:val="left"/>
            </w:pPr>
            <w:r>
              <w:rPr>
                <w:rFonts w:ascii="Arial" w:hAnsi="Arial"/>
                <w:sz w:val="18"/>
              </w:rPr>
              <w:t xml:space="preserve">Rogers et al. (2020), Sports 8(4), 39 [MDPI]</w:t>
            </w:r>
          </w:p>
        </w:tc>
        <w:tc>
          <w:tcPr>
            <w:shd w:val="clear" w:color="auto" w:fill="EEF3F9"/>
          </w:tcPr>
          <w:p>
            <w:pPr>
              <w:pStyle w:val="Compact"/>
              <w:jc w:val="left"/>
            </w:pPr>
            <w:r>
              <w:rPr>
                <w:rFonts w:ascii="Arial" w:hAnsi="Arial"/>
                <w:sz w:val="18"/>
              </w:rPr>
              <w:t xml:space="preserve">Pilotstudie, 39 Schulathleten verschiedener Sportarten (14,5 J., 19 m, 20 w), 22 mit Prä und Post</w:t>
            </w:r>
          </w:p>
        </w:tc>
        <w:tc>
          <w:tcPr>
            <w:shd w:val="clear" w:color="auto" w:fill="EEF3F9"/>
          </w:tcPr>
          <w:p>
            <w:pPr>
              <w:pStyle w:val="Compact"/>
              <w:jc w:val="left"/>
            </w:pPr>
            <w:r>
              <w:rPr>
                <w:rFonts w:ascii="Arial" w:hAnsi="Arial"/>
                <w:sz w:val="18"/>
              </w:rPr>
              <w:t xml:space="preserve">Onlineplattform, Zeit und Ort frei gewählt</w:t>
            </w:r>
          </w:p>
        </w:tc>
        <w:tc>
          <w:tcPr>
            <w:shd w:val="clear" w:color="auto" w:fill="EEF3F9"/>
          </w:tcPr>
          <w:p>
            <w:pPr>
              <w:pStyle w:val="Compact"/>
              <w:jc w:val="left"/>
            </w:pPr>
            <w:r>
              <w:rPr>
                <w:rFonts w:ascii="Arial" w:hAnsi="Arial"/>
                <w:sz w:val="18"/>
              </w:rPr>
              <w:t xml:space="preserve">eine Präsenz- und eine Onlineeinheit gegen zwei Onlineeinheiten je Woche, 16 Wochen, ohne untrainierte Kontrolle</w:t>
            </w:r>
          </w:p>
        </w:tc>
        <w:tc>
          <w:tcPr>
            <w:shd w:val="clear" w:color="auto" w:fill="EEF3F9"/>
          </w:tcPr>
          <w:p>
            <w:pPr>
              <w:pStyle w:val="Compact"/>
              <w:jc w:val="left"/>
            </w:pPr>
            <w:r>
              <w:rPr>
                <w:rFonts w:ascii="Arial" w:hAnsi="Arial"/>
                <w:sz w:val="18"/>
              </w:rPr>
              <w:t xml:space="preserve">online protokolliert 0 bis 11 von 32 Einheiten (Mittel 12 %), Präsenz besucht 60 %. Bewegungskompetenz vor allem mit Präsenz besser, Leistungstests (40 m, CMJ) ohne erkennbaren Gruppenunterschied</w:t>
            </w:r>
          </w:p>
        </w:tc>
        <w:tc>
          <w:tcPr>
            <w:shd w:val="clear" w:color="auto" w:fill="EEF3F9"/>
          </w:tcPr>
          <w:p>
            <w:pPr>
              <w:pStyle w:val="Compact"/>
              <w:jc w:val="left"/>
            </w:pPr>
            <w:r>
              <w:rPr>
                <w:rFonts w:ascii="Arial" w:hAnsi="Arial"/>
                <w:sz w:val="18"/>
              </w:rPr>
              <w:t xml:space="preserve">2·2·0–1 (4–5)</w:t>
            </w:r>
          </w:p>
        </w:tc>
        <w:tc>
          <w:tcPr>
            <w:shd w:val="clear" w:color="auto" w:fill="EEF3F9"/>
          </w:tcPr>
          <w:p>
            <w:pPr>
              <w:pStyle w:val="Compact"/>
              <w:jc w:val="left"/>
            </w:pPr>
            <w:r>
              <w:rPr>
                <w:rFonts w:ascii="Arial" w:hAnsi="Arial"/>
                <w:sz w:val="18"/>
              </w:rPr>
              <w:t xml:space="preserve">V (PMC7240720)</w:t>
            </w:r>
          </w:p>
        </w:tc>
      </w:tr>
      <w:tr>
        <w:trPr>
          <w:cantSplit w:val="true"/>
        </w:trPr>
        <w:tc>
          <w:tcPr/>
          <w:p>
            <w:pPr>
              <w:pStyle w:val="Compact"/>
              <w:jc w:val="left"/>
            </w:pPr>
            <w:r>
              <w:rPr>
                <w:rFonts w:ascii="Arial" w:hAnsi="Arial"/>
                <w:sz w:val="18"/>
              </w:rPr>
              <w:t xml:space="preserve">Van Reijen et al. (2016), BJSM 50(19), 1200–1205</w:t>
            </w:r>
          </w:p>
        </w:tc>
        <w:tc>
          <w:tcPr/>
          <w:p>
            <w:pPr>
              <w:pStyle w:val="Compact"/>
              <w:jc w:val="left"/>
            </w:pPr>
            <w:r>
              <w:rPr>
                <w:rFonts w:ascii="Arial" w:hAnsi="Arial"/>
                <w:sz w:val="18"/>
              </w:rPr>
              <w:t xml:space="preserve">RCT, 220 Sportler nach Sprunggelenksverletzung</w:t>
            </w:r>
          </w:p>
        </w:tc>
        <w:tc>
          <w:tcPr/>
          <w:p>
            <w:pPr>
              <w:pStyle w:val="Compact"/>
              <w:jc w:val="left"/>
            </w:pPr>
            <w:r>
              <w:rPr>
                <w:rFonts w:ascii="Arial" w:hAnsi="Arial"/>
                <w:sz w:val="18"/>
              </w:rPr>
              <w:t xml:space="preserve">App gegen Broschüre mit demselben Übungsprogramm</w:t>
            </w:r>
          </w:p>
        </w:tc>
        <w:tc>
          <w:tcPr/>
          <w:p>
            <w:pPr>
              <w:pStyle w:val="Compact"/>
              <w:jc w:val="left"/>
            </w:pPr>
            <w:r>
              <w:rPr>
                <w:rFonts w:ascii="Arial" w:hAnsi="Arial"/>
                <w:sz w:val="18"/>
              </w:rPr>
              <w:t xml:space="preserve">8 Wochen</w:t>
            </w:r>
          </w:p>
        </w:tc>
        <w:tc>
          <w:tcPr/>
          <w:p>
            <w:pPr>
              <w:pStyle w:val="Compact"/>
              <w:jc w:val="left"/>
            </w:pPr>
            <w:r>
              <w:rPr>
                <w:rFonts w:ascii="Arial" w:hAnsi="Arial"/>
                <w:sz w:val="18"/>
              </w:rPr>
              <w:t xml:space="preserve">Umsetzung 73 % (App) gegen 77 % (Broschüre), kein Unterschied</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A</w:t>
            </w:r>
          </w:p>
        </w:tc>
      </w:tr>
      <w:tr>
        <w:trPr>
          <w:cantSplit w:val="true"/>
        </w:trPr>
        <w:tc>
          <w:tcPr>
            <w:shd w:val="clear" w:color="auto" w:fill="EEF3F9"/>
          </w:tcPr>
          <w:p>
            <w:pPr>
              <w:pStyle w:val="Compact"/>
              <w:jc w:val="left"/>
            </w:pPr>
            <w:r>
              <w:rPr>
                <w:rFonts w:ascii="Arial" w:hAnsi="Arial"/>
                <w:sz w:val="18"/>
              </w:rPr>
              <w:t xml:space="preserve">Magliato et al. (2024), J Sport Rehabil 34(3), 271–277</w:t>
            </w:r>
          </w:p>
        </w:tc>
        <w:tc>
          <w:tcPr>
            <w:shd w:val="clear" w:color="auto" w:fill="EEF3F9"/>
          </w:tcPr>
          <w:p>
            <w:pPr>
              <w:pStyle w:val="Compact"/>
              <w:jc w:val="left"/>
            </w:pPr>
            <w:r>
              <w:rPr>
                <w:rFonts w:ascii="Arial" w:hAnsi="Arial"/>
                <w:sz w:val="18"/>
              </w:rPr>
              <w:t xml:space="preserve">Machbarkeitsstudie, 20 aktive Erwachsene, 15 ausgewertet (26 J.)</w:t>
            </w:r>
          </w:p>
        </w:tc>
        <w:tc>
          <w:tcPr>
            <w:shd w:val="clear" w:color="auto" w:fill="EEF3F9"/>
          </w:tcPr>
          <w:p>
            <w:pPr>
              <w:pStyle w:val="Compact"/>
              <w:jc w:val="left"/>
            </w:pPr>
            <w:r>
              <w:rPr>
                <w:rFonts w:ascii="Arial" w:hAnsi="Arial"/>
                <w:sz w:val="18"/>
              </w:rPr>
              <w:t xml:space="preserve">App mit Video-, Text- und Audioanleitung, selbst geführt, mit Sprungübungen, 3×/Woche</w:t>
            </w:r>
          </w:p>
        </w:tc>
        <w:tc>
          <w:tcPr>
            <w:shd w:val="clear" w:color="auto" w:fill="EEF3F9"/>
          </w:tcPr>
          <w:p>
            <w:pPr>
              <w:pStyle w:val="Compact"/>
              <w:jc w:val="left"/>
            </w:pPr>
            <w:r>
              <w:rPr>
                <w:rFonts w:ascii="Arial" w:hAnsi="Arial"/>
                <w:sz w:val="18"/>
              </w:rPr>
              <w:t xml:space="preserve">8 Wochen, keiner</w:t>
            </w:r>
          </w:p>
        </w:tc>
        <w:tc>
          <w:tcPr>
            <w:shd w:val="clear" w:color="auto" w:fill="EEF3F9"/>
          </w:tcPr>
          <w:p>
            <w:pPr>
              <w:pStyle w:val="Compact"/>
              <w:jc w:val="left"/>
            </w:pPr>
            <w:r>
              <w:rPr>
                <w:rFonts w:ascii="Arial" w:hAnsi="Arial"/>
                <w:sz w:val="18"/>
              </w:rPr>
              <w:t xml:space="preserve">Umsetzung 57 % der 24 Einheiten, keine Verletzungen</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A</w:t>
            </w:r>
          </w:p>
        </w:tc>
      </w:tr>
      <w:tr>
        <w:trPr>
          <w:cantSplit w:val="true"/>
        </w:trPr>
        <w:tc>
          <w:tcPr/>
          <w:p>
            <w:pPr>
              <w:pStyle w:val="Compact"/>
              <w:jc w:val="left"/>
            </w:pPr>
            <w:r>
              <w:rPr>
                <w:rFonts w:ascii="Arial" w:hAnsi="Arial"/>
                <w:sz w:val="18"/>
              </w:rPr>
              <w:t xml:space="preserve">Smulligan et al. (2025), J Sport Rehabil 35(4), 351–358</w:t>
            </w:r>
          </w:p>
        </w:tc>
        <w:tc>
          <w:tcPr/>
          <w:p>
            <w:pPr>
              <w:pStyle w:val="Compact"/>
              <w:jc w:val="left"/>
            </w:pPr>
            <w:r>
              <w:rPr>
                <w:rFonts w:ascii="Arial" w:hAnsi="Arial"/>
                <w:sz w:val="18"/>
              </w:rPr>
              <w:t xml:space="preserve">RCT, Sekundäranalyse, 40 aktive Erwachsene</w:t>
            </w:r>
          </w:p>
        </w:tc>
        <w:tc>
          <w:tcPr/>
          <w:p>
            <w:pPr>
              <w:pStyle w:val="Compact"/>
              <w:jc w:val="left"/>
            </w:pPr>
            <w:r>
              <w:rPr>
                <w:rFonts w:ascii="Arial" w:hAnsi="Arial"/>
                <w:sz w:val="18"/>
              </w:rPr>
              <w:t xml:space="preserve">App wie Magliato et al. (2024)</w:t>
            </w:r>
          </w:p>
        </w:tc>
        <w:tc>
          <w:tcPr/>
          <w:p>
            <w:pPr>
              <w:pStyle w:val="Compact"/>
              <w:jc w:val="left"/>
            </w:pPr>
            <w:r>
              <w:rPr>
                <w:rFonts w:ascii="Arial" w:hAnsi="Arial"/>
                <w:sz w:val="18"/>
              </w:rPr>
              <w:t xml:space="preserve">Kontrolle</w:t>
            </w:r>
          </w:p>
        </w:tc>
        <w:tc>
          <w:tcPr/>
          <w:p>
            <w:pPr>
              <w:pStyle w:val="Compact"/>
              <w:jc w:val="left"/>
            </w:pPr>
            <w:r>
              <w:rPr>
                <w:rFonts w:ascii="Arial" w:hAnsi="Arial"/>
                <w:sz w:val="18"/>
              </w:rPr>
              <w:t xml:space="preserve">Folgeverletzungen im Jahr danach ohne Unterschied</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A</w:t>
            </w:r>
          </w:p>
        </w:tc>
      </w:tr>
      <w:tr>
        <w:trPr>
          <w:cantSplit w:val="true"/>
        </w:trPr>
        <w:tc>
          <w:tcPr>
            <w:shd w:val="clear" w:color="auto" w:fill="EEF3F9"/>
          </w:tcPr>
          <w:p>
            <w:pPr>
              <w:pStyle w:val="Compact"/>
              <w:jc w:val="left"/>
            </w:pPr>
            <w:r>
              <w:rPr>
                <w:rFonts w:ascii="Arial" w:hAnsi="Arial"/>
                <w:sz w:val="18"/>
              </w:rPr>
              <w:t xml:space="preserve">Coutts et al. (2004), JSCR 18(2), 316–323</w:t>
            </w:r>
          </w:p>
        </w:tc>
        <w:tc>
          <w:tcPr>
            <w:shd w:val="clear" w:color="auto" w:fill="EEF3F9"/>
          </w:tcPr>
          <w:p>
            <w:pPr>
              <w:pStyle w:val="Compact"/>
              <w:jc w:val="left"/>
            </w:pPr>
            <w:r>
              <w:rPr>
                <w:rFonts w:ascii="Arial" w:hAnsi="Arial"/>
                <w:sz w:val="18"/>
              </w:rPr>
              <w:t xml:space="preserve">kontrolliert, gematchte Gruppen, 42 Rugby-League-Nachwuchsspieler (16,7 J.)</w:t>
            </w:r>
          </w:p>
        </w:tc>
        <w:tc>
          <w:tcPr>
            <w:shd w:val="clear" w:color="auto" w:fill="EEF3F9"/>
          </w:tcPr>
          <w:p>
            <w:pPr>
              <w:pStyle w:val="Compact"/>
              <w:jc w:val="left"/>
            </w:pPr>
            <w:r>
              <w:rPr>
                <w:rFonts w:ascii="Arial" w:hAnsi="Arial"/>
                <w:sz w:val="18"/>
              </w:rPr>
              <w:t xml:space="preserve">Krafttraining mit oder ohne Aufsicht</w:t>
            </w:r>
          </w:p>
        </w:tc>
        <w:tc>
          <w:tcPr>
            <w:shd w:val="clear" w:color="auto" w:fill="EEF3F9"/>
          </w:tcPr>
          <w:p>
            <w:pPr>
              <w:pStyle w:val="Compact"/>
              <w:jc w:val="left"/>
            </w:pPr>
            <w:r>
              <w:rPr>
                <w:rFonts w:ascii="Arial" w:hAnsi="Arial"/>
                <w:sz w:val="18"/>
              </w:rPr>
              <w:t xml:space="preserve">12 Wochen</w:t>
            </w:r>
          </w:p>
        </w:tc>
        <w:tc>
          <w:tcPr>
            <w:shd w:val="clear" w:color="auto" w:fill="EEF3F9"/>
          </w:tcPr>
          <w:p>
            <w:pPr>
              <w:pStyle w:val="Compact"/>
              <w:jc w:val="left"/>
            </w:pPr>
            <w:r>
              <w:rPr>
                <w:rFonts w:ascii="Arial" w:hAnsi="Arial"/>
                <w:sz w:val="18"/>
              </w:rPr>
              <w:t xml:space="preserve">beide verbessert (Kraft, Sprung, 10 und 20 m), betreut mehr Einheiten absolviert und größere Kraftzuwächse</w:t>
            </w:r>
          </w:p>
        </w:tc>
        <w:tc>
          <w:tcPr>
            <w:shd w:val="clear" w:color="auto" w:fill="EEF3F9"/>
          </w:tcPr>
          <w:p>
            <w:pPr>
              <w:pStyle w:val="Compact"/>
              <w:jc w:val="left"/>
            </w:pPr>
            <w:r>
              <w:rPr>
                <w:rFonts w:ascii="Arial" w:hAnsi="Arial"/>
                <w:sz w:val="18"/>
              </w:rPr>
              <w:t xml:space="preserve">2·2·0–1 (4–5)</w:t>
            </w:r>
          </w:p>
        </w:tc>
        <w:tc>
          <w:tcPr>
            <w:shd w:val="clear" w:color="auto" w:fill="EEF3F9"/>
          </w:tcPr>
          <w:p>
            <w:pPr>
              <w:pStyle w:val="Compact"/>
              <w:jc w:val="left"/>
            </w:pPr>
            <w:r>
              <w:rPr>
                <w:rFonts w:ascii="Arial" w:hAnsi="Arial"/>
                <w:sz w:val="18"/>
              </w:rPr>
              <w:t xml:space="preserve">A</w:t>
            </w:r>
          </w:p>
        </w:tc>
      </w:tr>
      <w:tr>
        <w:trPr>
          <w:cantSplit w:val="true"/>
        </w:trPr>
        <w:tc>
          <w:tcPr/>
          <w:p>
            <w:pPr>
              <w:pStyle w:val="Compact"/>
              <w:jc w:val="left"/>
            </w:pPr>
            <w:r>
              <w:rPr>
                <w:rFonts w:ascii="Arial" w:hAnsi="Arial"/>
                <w:sz w:val="18"/>
              </w:rPr>
              <w:t xml:space="preserve">Smart &amp; Gill (2013), JSCR 27(3), 708–717</w:t>
            </w:r>
          </w:p>
        </w:tc>
        <w:tc>
          <w:tcPr/>
          <w:p>
            <w:pPr>
              <w:pStyle w:val="Compact"/>
              <w:jc w:val="left"/>
            </w:pPr>
            <w:r>
              <w:rPr>
                <w:rFonts w:ascii="Arial" w:hAnsi="Arial"/>
                <w:sz w:val="18"/>
              </w:rPr>
              <w:t xml:space="preserve">RCT, 44 Rugby-Union-Auswahlspieler (15,3 J.)</w:t>
            </w:r>
          </w:p>
        </w:tc>
        <w:tc>
          <w:tcPr/>
          <w:p>
            <w:pPr>
              <w:pStyle w:val="Compact"/>
              <w:jc w:val="left"/>
            </w:pPr>
            <w:r>
              <w:rPr>
                <w:rFonts w:ascii="Arial" w:hAnsi="Arial"/>
                <w:sz w:val="18"/>
              </w:rPr>
              <w:t xml:space="preserve">Konditionsprogramm in der Off-Season, mit oder ohne Aufsicht</w:t>
            </w:r>
          </w:p>
        </w:tc>
        <w:tc>
          <w:tcPr/>
          <w:p>
            <w:pPr>
              <w:pStyle w:val="Compact"/>
              <w:jc w:val="left"/>
            </w:pPr>
            <w:r>
              <w:rPr>
                <w:rFonts w:ascii="Arial" w:hAnsi="Arial"/>
                <w:sz w:val="18"/>
              </w:rPr>
              <w:t xml:space="preserve">15 Wochen</w:t>
            </w:r>
          </w:p>
        </w:tc>
        <w:tc>
          <w:tcPr/>
          <w:p>
            <w:pPr>
              <w:pStyle w:val="Compact"/>
              <w:jc w:val="left"/>
            </w:pPr>
            <w:r>
              <w:rPr>
                <w:rFonts w:ascii="Arial" w:hAnsi="Arial"/>
                <w:sz w:val="18"/>
              </w:rPr>
              <w:t xml:space="preserve">betreut größere Kraftzuwächse, von den Autoren auf höhere Umsetzung und Lasten zurückgeführt</w:t>
            </w:r>
          </w:p>
        </w:tc>
        <w:tc>
          <w:tcPr/>
          <w:p>
            <w:pPr>
              <w:pStyle w:val="Compact"/>
              <w:jc w:val="left"/>
            </w:pPr>
            <w:r>
              <w:rPr>
                <w:rFonts w:ascii="Arial" w:hAnsi="Arial"/>
                <w:sz w:val="18"/>
              </w:rPr>
              <w:t xml:space="preserve">2·2·0–1 (4–5)</w:t>
            </w:r>
          </w:p>
        </w:tc>
        <w:tc>
          <w:tcPr/>
          <w:p>
            <w:pPr>
              <w:pStyle w:val="Compact"/>
              <w:jc w:val="left"/>
            </w:pPr>
            <w:r>
              <w:rPr>
                <w:rFonts w:ascii="Arial" w:hAnsi="Arial"/>
                <w:sz w:val="18"/>
              </w:rPr>
              <w:t xml:space="preserve">A</w:t>
            </w:r>
          </w:p>
        </w:tc>
      </w:tr>
      <w:tr>
        <w:trPr>
          <w:cantSplit w:val="true"/>
        </w:trPr>
        <w:tc>
          <w:tcPr>
            <w:shd w:val="clear" w:color="auto" w:fill="EEF3F9"/>
          </w:tcPr>
          <w:p>
            <w:pPr>
              <w:pStyle w:val="Compact"/>
              <w:jc w:val="left"/>
            </w:pPr>
            <w:r>
              <w:rPr>
                <w:rFonts w:ascii="Arial" w:hAnsi="Arial"/>
                <w:sz w:val="18"/>
              </w:rPr>
              <w:t xml:space="preserve">Kovacs et al. (2007), BJSM 41(11), 705–710</w:t>
            </w:r>
          </w:p>
        </w:tc>
        <w:tc>
          <w:tcPr>
            <w:shd w:val="clear" w:color="auto" w:fill="EEF3F9"/>
          </w:tcPr>
          <w:p>
            <w:pPr>
              <w:pStyle w:val="Compact"/>
              <w:jc w:val="left"/>
            </w:pPr>
            <w:r>
              <w:rPr>
                <w:rFonts w:ascii="Arial" w:hAnsi="Arial"/>
                <w:sz w:val="18"/>
              </w:rPr>
              <w:t xml:space="preserve">Prä-Post, 8 College-Tennisspieler</w:t>
            </w:r>
          </w:p>
        </w:tc>
        <w:tc>
          <w:tcPr>
            <w:shd w:val="clear" w:color="auto" w:fill="EEF3F9"/>
          </w:tcPr>
          <w:p>
            <w:pPr>
              <w:pStyle w:val="Compact"/>
              <w:jc w:val="left"/>
            </w:pPr>
            <w:r>
              <w:rPr>
                <w:rFonts w:ascii="Arial" w:hAnsi="Arial"/>
                <w:sz w:val="18"/>
              </w:rPr>
              <w:t xml:space="preserve">empfohlenes, unbeaufsichtigtes Training in der Semesterpause</w:t>
            </w:r>
          </w:p>
        </w:tc>
        <w:tc>
          <w:tcPr>
            <w:shd w:val="clear" w:color="auto" w:fill="EEF3F9"/>
          </w:tcPr>
          <w:p>
            <w:pPr>
              <w:pStyle w:val="Compact"/>
              <w:jc w:val="left"/>
            </w:pPr>
            <w:r>
              <w:rPr>
                <w:rFonts w:ascii="Arial" w:hAnsi="Arial"/>
                <w:sz w:val="18"/>
              </w:rPr>
              <w:t xml:space="preserve">5 Wochen, keiner</w:t>
            </w:r>
          </w:p>
        </w:tc>
        <w:tc>
          <w:tcPr>
            <w:shd w:val="clear" w:color="auto" w:fill="EEF3F9"/>
          </w:tcPr>
          <w:p>
            <w:pPr>
              <w:pStyle w:val="Compact"/>
              <w:jc w:val="left"/>
            </w:pPr>
            <w:r>
              <w:rPr>
                <w:rFonts w:ascii="Arial" w:hAnsi="Arial"/>
                <w:sz w:val="18"/>
              </w:rPr>
              <w:t xml:space="preserve">5-, 10- und 20-m-Sprint langsamer, Wingate und VO2max schlechter, von den Autoren auf geringe Umsetzung zurückgeführt</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A</w:t>
            </w:r>
          </w:p>
        </w:tc>
      </w:tr>
      <w:tr>
        <w:trPr>
          <w:cantSplit w:val="true"/>
        </w:trPr>
        <w:tc>
          <w:tcPr/>
          <w:p>
            <w:pPr>
              <w:pStyle w:val="Compact"/>
              <w:jc w:val="left"/>
            </w:pPr>
            <w:r>
              <w:rPr>
                <w:rFonts w:ascii="Arial" w:hAnsi="Arial"/>
                <w:sz w:val="18"/>
              </w:rPr>
              <w:t xml:space="preserve">Twist et al. (2021), Sci Med Footb 6(3), 347–354</w:t>
            </w:r>
          </w:p>
        </w:tc>
        <w:tc>
          <w:tcPr/>
          <w:p>
            <w:pPr>
              <w:pStyle w:val="Compact"/>
              <w:jc w:val="left"/>
            </w:pPr>
            <w:r>
              <w:rPr>
                <w:rFonts w:ascii="Arial" w:hAnsi="Arial"/>
                <w:sz w:val="18"/>
              </w:rPr>
              <w:t xml:space="preserve">Prä-Post, 64 Rugby-Akademiespieler (17,2 J.)</w:t>
            </w:r>
          </w:p>
        </w:tc>
        <w:tc>
          <w:tcPr/>
          <w:p>
            <w:pPr>
              <w:pStyle w:val="Compact"/>
              <w:jc w:val="left"/>
            </w:pPr>
            <w:r>
              <w:rPr>
                <w:rFonts w:ascii="Arial" w:hAnsi="Arial"/>
                <w:sz w:val="18"/>
              </w:rPr>
              <w:t xml:space="preserve">unbeaufsichtigte Off-Season</w:t>
            </w:r>
          </w:p>
        </w:tc>
        <w:tc>
          <w:tcPr/>
          <w:p>
            <w:pPr>
              <w:pStyle w:val="Compact"/>
              <w:jc w:val="left"/>
            </w:pPr>
            <w:r>
              <w:rPr>
                <w:rFonts w:ascii="Arial" w:hAnsi="Arial"/>
                <w:sz w:val="18"/>
              </w:rPr>
              <w:t xml:space="preserve">10 Wochen, keiner</w:t>
            </w:r>
          </w:p>
        </w:tc>
        <w:tc>
          <w:tcPr/>
          <w:p>
            <w:pPr>
              <w:pStyle w:val="Compact"/>
              <w:jc w:val="left"/>
            </w:pPr>
            <w:r>
              <w:rPr>
                <w:rFonts w:ascii="Arial" w:hAnsi="Arial"/>
                <w:sz w:val="18"/>
              </w:rPr>
              <w:t xml:space="preserve">CMJ −2,2 cm, 10 m +0,06 s, 40 m +0,13 s</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A</w:t>
            </w:r>
          </w:p>
        </w:tc>
      </w:tr>
    </w:tbl>
    <w:p>
      <w:pPr>
        <w:pStyle w:val="BodyText"/>
      </w:pPr>
      <w:r>
        <w:rPr>
          <w:bCs/>
          <w:rFonts w:ascii="Arial" w:hAnsi="Arial"/>
          <w:b/>
        </w:rPr>
        <w:t xml:space="preserve">Übersichten:</w:t>
      </w:r>
      <w:r>
        <w:rPr>
          <w:rFonts w:ascii="Arial" w:hAnsi="Arial"/>
        </w:rPr>
        <w:t xml:space="preserve"> </w:t>
      </w:r>
      <w:r>
        <w:rPr>
          <w:rFonts w:ascii="Arial" w:hAnsi="Arial"/>
        </w:rPr>
        <w:t xml:space="preserve">Liu et al. (2026), Sensors 26(17), 5394 [MDPI], Scoping-Review über 111 Studien zu Apps im Sporttraining: Validierungsstudien 52 %, randomisierte oder kontrollierte Wirksamkeitsstudien 10 %, bei längerem Einsatz entschied die Umsetzung über den Nutzen (A). · Paludo et al. (2022), Biol Sport 39(4), 1095–1102, Mini-Review über neun Prä-Post-Studien zum Heimtraining im Lockdown, fünf davon Fußball: keine Kontrollgruppen, Leistung uneinheitlich (Sprintzeit bis 36 % länger, CMJ −4,7 bis +15,4 %), Übungsvideos in einer Studie (Dauty et al.), Onlineeinheiten mit Betreuer in einer (V, PMC9536370). · Rosa et al. (2023), Healthcare 11(16), 2319 [MDPI], SR/MA mit 24 Studien in der Metaanalyse: Muskelleistung, Ausdauer und Sprint im Lockdown im Mittel erhalten (A). · Washif et al. (2025), Biol Sport 43, 463–488, SR/MA über 14 Studien an 261 erwachsenen Sportlern: CMJ-Höhe nicht signifikant gesunken, Ausdauer schlechter, Sprint uneinheitlich, Vertrauenswürdigkeit sehr niedrig (A). · Außerhalb des Sports: Adliah et al. (2025), BMJ Open 15(4), e092775, SR/MA über 16 Studien mit Übungsprogrammen per Instruktionsvideo bei älteren Erwachsenen: Beinkraft SMD 0,35 und körperliche Leistung SMD 0,36 bei moderater, Gleichgewicht SMD 0,45 bei niedriger Vertrauenswürdigkeit (A).</w:t>
      </w:r>
    </w:p>
    <w:bookmarkEnd w:id="23"/>
    <w:bookmarkStart w:id="24" w:name="stufe-2-plyometrie-und-sprungtraining"/>
    <w:p>
      <w:pPr>
        <w:pStyle w:val="Heading3"/>
      </w:pPr>
      <w:r>
        <w:rPr>
          <w:rFonts w:ascii="Arial" w:hAnsi="Arial"/>
        </w:rPr>
        <w:t xml:space="preserve">3.2 Stufe 2: Plyometrie und Sprungtraining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131"/>
        <w:gridCol w:w="1131"/>
        <w:gridCol w:w="1131"/>
        <w:gridCol w:w="1131"/>
        <w:gridCol w:w="1131"/>
        <w:gridCol w:w="1131"/>
        <w:gridCol w:w="1131"/>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Design, Population</w:t>
            </w:r>
          </w:p>
        </w:tc>
        <w:tc>
          <w:tcPr>
            <w:shd w:val="clear" w:color="auto" w:fill="D6E4F0"/>
          </w:tcPr>
          <w:p>
            <w:pPr>
              <w:pStyle w:val="Compact"/>
              <w:jc w:val="left"/>
            </w:pPr>
            <w:r>
              <w:rPr>
                <w:rFonts w:ascii="Arial" w:hAnsi="Arial"/>
                <w:b/>
                <w:sz w:val="18"/>
              </w:rPr>
              <w:t xml:space="preserve">Vermittlung, Aufsicht</w:t>
            </w:r>
          </w:p>
        </w:tc>
        <w:tc>
          <w:tcPr>
            <w:shd w:val="clear" w:color="auto" w:fill="D6E4F0"/>
          </w:tcPr>
          <w:p>
            <w:pPr>
              <w:pStyle w:val="Compact"/>
              <w:jc w:val="left"/>
            </w:pPr>
            <w:r>
              <w:rPr>
                <w:rFonts w:ascii="Arial" w:hAnsi="Arial"/>
                <w:b/>
                <w:sz w:val="18"/>
              </w:rPr>
              <w:t xml:space="preserve">Vergleich, Dauer</w:t>
            </w:r>
          </w:p>
        </w:tc>
        <w:tc>
          <w:tcPr>
            <w:shd w:val="clear" w:color="auto" w:fill="D6E4F0"/>
          </w:tcPr>
          <w:p>
            <w:pPr>
              <w:pStyle w:val="Compact"/>
              <w:jc w:val="left"/>
            </w:pPr>
            <w:r>
              <w:rPr>
                <w:rFonts w:ascii="Arial" w:hAnsi="Arial"/>
                <w:b/>
                <w:sz w:val="18"/>
              </w:rPr>
              <w:t xml:space="preserve">Zielgrößen und Befund</w:t>
            </w:r>
          </w:p>
        </w:tc>
        <w:tc>
          <w:tcPr>
            <w:shd w:val="clear" w:color="auto" w:fill="D6E4F0"/>
          </w:tcPr>
          <w:p>
            <w:pPr>
              <w:pStyle w:val="Compact"/>
              <w:jc w:val="left"/>
            </w:pPr>
            <w:r>
              <w:rPr>
                <w:rFonts w:ascii="Arial" w:hAnsi="Arial"/>
                <w:b/>
                <w:sz w:val="18"/>
              </w:rPr>
              <w:t xml:space="preserve">P·D·Z (Σ)</w:t>
            </w:r>
          </w:p>
        </w:tc>
        <w:tc>
          <w:tcPr>
            <w:shd w:val="clear" w:color="auto" w:fill="D6E4F0"/>
          </w:tcPr>
          <w:p>
            <w:pPr>
              <w:pStyle w:val="Compact"/>
              <w:jc w:val="left"/>
            </w:pPr>
            <w:r>
              <w:rPr>
                <w:rFonts w:ascii="Arial" w:hAnsi="Arial"/>
                <w:b/>
                <w:sz w:val="18"/>
              </w:rPr>
              <w:t xml:space="preserve">Zugang</w:t>
            </w:r>
          </w:p>
        </w:tc>
      </w:tr>
      <w:tr>
        <w:trPr>
          <w:cantSplit w:val="true"/>
        </w:trPr>
        <w:tc>
          <w:tcPr/>
          <w:p>
            <w:pPr>
              <w:pStyle w:val="Compact"/>
              <w:jc w:val="left"/>
            </w:pPr>
            <w:r>
              <w:rPr>
                <w:rFonts w:ascii="Arial" w:hAnsi="Arial"/>
                <w:sz w:val="18"/>
              </w:rPr>
              <w:t xml:space="preserve">Dos Santos et al. (2025), Appl Sci 15(24), 13108 [MDPI]</w:t>
            </w:r>
          </w:p>
        </w:tc>
        <w:tc>
          <w:tcPr/>
          <w:p>
            <w:pPr>
              <w:pStyle w:val="Compact"/>
              <w:jc w:val="left"/>
            </w:pPr>
            <w:r>
              <w:rPr>
                <w:rFonts w:ascii="Arial" w:hAnsi="Arial"/>
                <w:sz w:val="18"/>
              </w:rPr>
              <w:t xml:space="preserve">Pilot-RCT, 28 Handballer randomisiert, 24 ausgewertet (≈ 23 J., zweite nationale und regionale Liga)</w:t>
            </w:r>
          </w:p>
        </w:tc>
        <w:tc>
          <w:tcPr/>
          <w:p>
            <w:pPr>
              <w:pStyle w:val="Compact"/>
              <w:jc w:val="left"/>
            </w:pPr>
            <w:r>
              <w:rPr>
                <w:rFonts w:ascii="Arial" w:hAnsi="Arial"/>
                <w:sz w:val="18"/>
              </w:rPr>
              <w:t xml:space="preserve">App (Physitrack), zu Hause, ohne Aufsicht, Vereinstraining lief weiter</w:t>
            </w:r>
          </w:p>
        </w:tc>
        <w:tc>
          <w:tcPr/>
          <w:p>
            <w:pPr>
              <w:pStyle w:val="Compact"/>
              <w:jc w:val="left"/>
            </w:pPr>
            <w:r>
              <w:rPr>
                <w:rFonts w:ascii="Arial" w:hAnsi="Arial"/>
                <w:sz w:val="18"/>
              </w:rPr>
              <w:t xml:space="preserve">Plyometrie (Hürden-, Hock-, Schritt- und Niedersprünge) gegen Kräftigung mit Körpergewicht, 8 Wochen</w:t>
            </w:r>
          </w:p>
        </w:tc>
        <w:tc>
          <w:tcPr/>
          <w:p>
            <w:pPr>
              <w:pStyle w:val="Compact"/>
              <w:jc w:val="left"/>
            </w:pPr>
            <w:r>
              <w:rPr>
                <w:rFonts w:ascii="Arial" w:hAnsi="Arial"/>
                <w:sz w:val="18"/>
              </w:rPr>
              <w:t xml:space="preserve">CMJ in beiden Gruppen verbessert, kein Gruppenunterschied. Umsetzung 52 % gegen 49 %</w:t>
            </w:r>
          </w:p>
        </w:tc>
        <w:tc>
          <w:tcPr/>
          <w:p>
            <w:pPr>
              <w:pStyle w:val="Compact"/>
              <w:jc w:val="left"/>
            </w:pPr>
            <w:r>
              <w:rPr>
                <w:rFonts w:ascii="Arial" w:hAnsi="Arial"/>
                <w:sz w:val="18"/>
              </w:rPr>
              <w:t xml:space="preserve">2·1·1 (4)</w:t>
            </w:r>
          </w:p>
        </w:tc>
        <w:tc>
          <w:tcPr/>
          <w:p>
            <w:pPr>
              <w:pStyle w:val="Compact"/>
              <w:jc w:val="left"/>
            </w:pPr>
            <w:r>
              <w:rPr>
                <w:rFonts w:ascii="Arial" w:hAnsi="Arial"/>
                <w:sz w:val="18"/>
              </w:rPr>
              <w:t xml:space="preserve">E (Verlagsseite, frei)</w:t>
            </w:r>
          </w:p>
        </w:tc>
      </w:tr>
      <w:tr>
        <w:trPr>
          <w:cantSplit w:val="true"/>
        </w:trPr>
        <w:tc>
          <w:tcPr>
            <w:shd w:val="clear" w:color="auto" w:fill="EEF3F9"/>
          </w:tcPr>
          <w:p>
            <w:pPr>
              <w:pStyle w:val="Compact"/>
              <w:jc w:val="left"/>
            </w:pPr>
            <w:r>
              <w:rPr>
                <w:rFonts w:ascii="Arial" w:hAnsi="Arial"/>
                <w:sz w:val="18"/>
              </w:rPr>
              <w:t xml:space="preserve">Nakamura et al. (2012), JSCR 26(12), 3392–3397</w:t>
            </w:r>
          </w:p>
        </w:tc>
        <w:tc>
          <w:tcPr>
            <w:shd w:val="clear" w:color="auto" w:fill="EEF3F9"/>
          </w:tcPr>
          <w:p>
            <w:pPr>
              <w:pStyle w:val="Compact"/>
              <w:jc w:val="left"/>
            </w:pPr>
            <w:r>
              <w:rPr>
                <w:rFonts w:ascii="Arial" w:hAnsi="Arial"/>
                <w:sz w:val="18"/>
              </w:rPr>
              <w:t xml:space="preserve">kontrolliert, 29 Fußballer nach der Saison (Laufen 13, Plyometrie 11, Kontrolle 5), Alter im Abstract nicht genannt (MeSH „Young Adult“)</w:t>
            </w:r>
          </w:p>
        </w:tc>
        <w:tc>
          <w:tcPr>
            <w:shd w:val="clear" w:color="auto" w:fill="EEF3F9"/>
          </w:tcPr>
          <w:p>
            <w:pPr>
              <w:pStyle w:val="Compact"/>
              <w:jc w:val="left"/>
            </w:pPr>
            <w:r>
              <w:rPr>
                <w:rFonts w:ascii="Arial" w:hAnsi="Arial"/>
                <w:sz w:val="18"/>
              </w:rPr>
              <w:t xml:space="preserve">Aufsicht und Vermittlung im Abstract nicht beschrieben</w:t>
            </w:r>
          </w:p>
        </w:tc>
        <w:tc>
          <w:tcPr>
            <w:shd w:val="clear" w:color="auto" w:fill="EEF3F9"/>
          </w:tcPr>
          <w:p>
            <w:pPr>
              <w:pStyle w:val="Compact"/>
              <w:jc w:val="left"/>
            </w:pPr>
            <w:r>
              <w:rPr>
                <w:rFonts w:ascii="Arial" w:hAnsi="Arial"/>
                <w:sz w:val="18"/>
              </w:rPr>
              <w:t xml:space="preserve">Kontrolle ohne Training, 2×/Woche, 3 Wochen</w:t>
            </w:r>
          </w:p>
        </w:tc>
        <w:tc>
          <w:tcPr>
            <w:shd w:val="clear" w:color="auto" w:fill="EEF3F9"/>
          </w:tcPr>
          <w:p>
            <w:pPr>
              <w:pStyle w:val="Compact"/>
              <w:jc w:val="left"/>
            </w:pPr>
            <w:r>
              <w:rPr>
                <w:rFonts w:ascii="Arial" w:hAnsi="Arial"/>
                <w:sz w:val="18"/>
              </w:rPr>
              <w:t xml:space="preserve">20 m und YoYoIR2 ohne Effekt gegenüber der Kontrolle</w:t>
            </w:r>
          </w:p>
        </w:tc>
        <w:tc>
          <w:tcPr>
            <w:shd w:val="clear" w:color="auto" w:fill="EEF3F9"/>
          </w:tcPr>
          <w:p>
            <w:pPr>
              <w:pStyle w:val="Compact"/>
              <w:jc w:val="left"/>
            </w:pPr>
            <w:r>
              <w:rPr>
                <w:rFonts w:ascii="Arial" w:hAnsi="Arial"/>
                <w:sz w:val="18"/>
              </w:rPr>
              <w:t xml:space="preserve">2·1·0–1 (3–4)</w:t>
            </w:r>
          </w:p>
        </w:tc>
        <w:tc>
          <w:tcPr>
            <w:shd w:val="clear" w:color="auto" w:fill="EEF3F9"/>
          </w:tcPr>
          <w:p>
            <w:pPr>
              <w:pStyle w:val="Compact"/>
              <w:jc w:val="left"/>
            </w:pPr>
            <w:r>
              <w:rPr>
                <w:rFonts w:ascii="Arial" w:hAnsi="Arial"/>
                <w:sz w:val="18"/>
              </w:rPr>
              <w:t xml:space="preserve">A</w:t>
            </w:r>
          </w:p>
        </w:tc>
      </w:tr>
      <w:tr>
        <w:trPr>
          <w:cantSplit w:val="true"/>
        </w:trPr>
        <w:tc>
          <w:tcPr/>
          <w:p>
            <w:pPr>
              <w:pStyle w:val="Compact"/>
              <w:jc w:val="left"/>
            </w:pPr>
            <w:r>
              <w:rPr>
                <w:rFonts w:ascii="Arial" w:hAnsi="Arial"/>
                <w:sz w:val="18"/>
              </w:rPr>
              <w:t xml:space="preserve">„Effect of video based versus conventional plyometric training among basket ball players“, AIP Conf. Proc. 3371, 030012</w:t>
            </w:r>
          </w:p>
        </w:tc>
        <w:tc>
          <w:tcPr/>
          <w:p>
            <w:pPr>
              <w:pStyle w:val="Compact"/>
              <w:jc w:val="left"/>
            </w:pPr>
            <w:r>
              <w:rPr>
                <w:rFonts w:ascii="Arial" w:hAnsi="Arial"/>
                <w:sz w:val="18"/>
              </w:rPr>
              <w:t xml:space="preserve">Konferenzband</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Inhalt nicht zugänglich</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T · nach F17 § 6.1 nicht verwenden</w:t>
            </w:r>
          </w:p>
        </w:tc>
      </w:tr>
    </w:tbl>
    <w:p>
      <w:pPr>
        <w:pStyle w:val="BodyText"/>
      </w:pPr>
      <w:r>
        <w:rPr>
          <w:bCs/>
          <w:rFonts w:ascii="Arial" w:hAnsi="Arial"/>
          <w:b/>
        </w:rPr>
        <w:t xml:space="preserve">Metaanalysen zur Plyometrie:</w:t>
      </w:r>
      <w:r>
        <w:rPr>
          <w:rFonts w:ascii="Arial" w:hAnsi="Arial"/>
        </w:rPr>
        <w:t xml:space="preserve"> </w:t>
      </w:r>
      <w:r>
        <w:rPr>
          <w:rFonts w:ascii="Arial" w:hAnsi="Arial"/>
        </w:rPr>
        <w:t xml:space="preserve">Die im Ordner liegenden (Ramirez-Campillo et al., 2020, 2023 · Oliver et al., 2024 · Zheng et al., 2025) werten Aufsicht und Vermittlungsweg nicht aus (Quellenraster vom 28.09.: eigene Lücken nur Reifestatus und Dosis). Die Gegenrecherche hat 21 weitere von 2020 bis 2026 auf Abstract-Ebene geprüft, mit demselben Ergebnis. Heimprogramme mit Sprüngen stehen außerdem in 3.3 (Veith, Pucsok) und 3.1 (Magliato).</w:t>
      </w:r>
    </w:p>
    <w:bookmarkEnd w:id="24"/>
    <w:bookmarkStart w:id="25" w:name="stufe-3-fußball"/>
    <w:p>
      <w:pPr>
        <w:pStyle w:val="Heading3"/>
      </w:pPr>
      <w:r>
        <w:rPr>
          <w:rFonts w:ascii="Arial" w:hAnsi="Arial"/>
        </w:rPr>
        <w:t xml:space="preserve">3.3 Stufe 3: Fußball</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131"/>
        <w:gridCol w:w="1131"/>
        <w:gridCol w:w="1131"/>
        <w:gridCol w:w="1131"/>
        <w:gridCol w:w="1131"/>
        <w:gridCol w:w="1131"/>
        <w:gridCol w:w="1131"/>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Design, Population</w:t>
            </w:r>
          </w:p>
        </w:tc>
        <w:tc>
          <w:tcPr>
            <w:shd w:val="clear" w:color="auto" w:fill="D6E4F0"/>
          </w:tcPr>
          <w:p>
            <w:pPr>
              <w:pStyle w:val="Compact"/>
              <w:jc w:val="left"/>
            </w:pPr>
            <w:r>
              <w:rPr>
                <w:rFonts w:ascii="Arial" w:hAnsi="Arial"/>
                <w:b/>
                <w:sz w:val="18"/>
              </w:rPr>
              <w:t xml:space="preserve">Vermittlung, Aufsicht</w:t>
            </w:r>
          </w:p>
        </w:tc>
        <w:tc>
          <w:tcPr>
            <w:shd w:val="clear" w:color="auto" w:fill="D6E4F0"/>
          </w:tcPr>
          <w:p>
            <w:pPr>
              <w:pStyle w:val="Compact"/>
              <w:jc w:val="left"/>
            </w:pPr>
            <w:r>
              <w:rPr>
                <w:rFonts w:ascii="Arial" w:hAnsi="Arial"/>
                <w:b/>
                <w:sz w:val="18"/>
              </w:rPr>
              <w:t xml:space="preserve">Vergleich, Dauer</w:t>
            </w:r>
          </w:p>
        </w:tc>
        <w:tc>
          <w:tcPr>
            <w:shd w:val="clear" w:color="auto" w:fill="D6E4F0"/>
          </w:tcPr>
          <w:p>
            <w:pPr>
              <w:pStyle w:val="Compact"/>
              <w:jc w:val="left"/>
            </w:pPr>
            <w:r>
              <w:rPr>
                <w:rFonts w:ascii="Arial" w:hAnsi="Arial"/>
                <w:b/>
                <w:sz w:val="18"/>
              </w:rPr>
              <w:t xml:space="preserve">Zielgrößen und Befund</w:t>
            </w:r>
          </w:p>
        </w:tc>
        <w:tc>
          <w:tcPr>
            <w:shd w:val="clear" w:color="auto" w:fill="D6E4F0"/>
          </w:tcPr>
          <w:p>
            <w:pPr>
              <w:pStyle w:val="Compact"/>
              <w:jc w:val="left"/>
            </w:pPr>
            <w:r>
              <w:rPr>
                <w:rFonts w:ascii="Arial" w:hAnsi="Arial"/>
                <w:b/>
                <w:sz w:val="18"/>
              </w:rPr>
              <w:t xml:space="preserve">P·D·Z (Σ)</w:t>
            </w:r>
          </w:p>
        </w:tc>
        <w:tc>
          <w:tcPr>
            <w:shd w:val="clear" w:color="auto" w:fill="D6E4F0"/>
          </w:tcPr>
          <w:p>
            <w:pPr>
              <w:pStyle w:val="Compact"/>
              <w:jc w:val="left"/>
            </w:pPr>
            <w:r>
              <w:rPr>
                <w:rFonts w:ascii="Arial" w:hAnsi="Arial"/>
                <w:b/>
                <w:sz w:val="18"/>
              </w:rPr>
              <w:t xml:space="preserve">Zugang</w:t>
            </w:r>
          </w:p>
        </w:tc>
      </w:tr>
      <w:tr>
        <w:trPr>
          <w:cantSplit w:val="true"/>
        </w:trPr>
        <w:tc>
          <w:tcPr/>
          <w:p>
            <w:pPr>
              <w:pStyle w:val="Compact"/>
              <w:jc w:val="left"/>
            </w:pPr>
            <w:r>
              <w:rPr>
                <w:rFonts w:ascii="Arial" w:hAnsi="Arial"/>
                <w:sz w:val="18"/>
              </w:rPr>
              <w:t xml:space="preserve">Veith et al. (2021), Sci Med Footb 5(4), 339–346</w:t>
            </w:r>
          </w:p>
        </w:tc>
        <w:tc>
          <w:tcPr/>
          <w:p>
            <w:pPr>
              <w:pStyle w:val="Compact"/>
              <w:jc w:val="left"/>
            </w:pPr>
            <w:r>
              <w:rPr>
                <w:rFonts w:ascii="Arial" w:hAnsi="Arial"/>
                <w:sz w:val="18"/>
              </w:rPr>
              <w:t xml:space="preserve">RCT mit gematchten Paaren, 65 Akademiespieler U13 bis U16 (13,9 ± 1,2 J.), Sydney</w:t>
            </w:r>
          </w:p>
        </w:tc>
        <w:tc>
          <w:tcPr/>
          <w:p>
            <w:pPr>
              <w:pStyle w:val="Compact"/>
              <w:jc w:val="left"/>
            </w:pPr>
            <w:r>
              <w:rPr>
                <w:rFonts w:ascii="Arial" w:hAnsi="Arial"/>
                <w:sz w:val="18"/>
              </w:rPr>
              <w:t xml:space="preserve">11+ Teil 2 (Kraft, Sprünge, Gleichgewicht) 3×/Woche zu Hause, ohne Aufsicht, wöchentlicher Onlinefragebogen, laufende Saison</w:t>
            </w:r>
          </w:p>
        </w:tc>
        <w:tc>
          <w:tcPr/>
          <w:p>
            <w:pPr>
              <w:pStyle w:val="Compact"/>
              <w:jc w:val="left"/>
            </w:pPr>
            <w:r>
              <w:rPr>
                <w:rFonts w:ascii="Arial" w:hAnsi="Arial"/>
                <w:sz w:val="18"/>
              </w:rPr>
              <w:t xml:space="preserve">zu Hause gegen im Training, keine untrainierte Kontrolle, Saison 2019</w:t>
            </w:r>
          </w:p>
        </w:tc>
        <w:tc>
          <w:tcPr/>
          <w:p>
            <w:pPr>
              <w:pStyle w:val="Compact"/>
              <w:jc w:val="left"/>
            </w:pPr>
            <w:r>
              <w:rPr>
                <w:rFonts w:ascii="Arial" w:hAnsi="Arial"/>
                <w:sz w:val="18"/>
              </w:rPr>
              <w:t xml:space="preserve">CMJ +3,5 cm zu Hause und +3,2 cm im Training, kein Gruppenunterschied, Verletzungen gleich. Selbstauskunft 2,8 Einheiten je Woche und 87 % der Übungen</w:t>
            </w:r>
          </w:p>
        </w:tc>
        <w:tc>
          <w:tcPr/>
          <w:p>
            <w:pPr>
              <w:pStyle w:val="Compact"/>
              <w:jc w:val="left"/>
            </w:pPr>
            <w:r>
              <w:rPr>
                <w:rFonts w:ascii="Arial" w:hAnsi="Arial"/>
                <w:sz w:val="18"/>
              </w:rPr>
              <w:t xml:space="preserve">1·2·1 (4)</w:t>
            </w:r>
          </w:p>
        </w:tc>
        <w:tc>
          <w:tcPr/>
          <w:p>
            <w:pPr>
              <w:pStyle w:val="Compact"/>
              <w:jc w:val="left"/>
            </w:pPr>
            <w:r>
              <w:rPr>
                <w:rFonts w:ascii="Arial" w:hAnsi="Arial"/>
                <w:sz w:val="18"/>
              </w:rPr>
              <w:t xml:space="preserve">A (Verlag) · E (Einreichungsfassung, frei bei der Universität Bath)</w:t>
            </w:r>
          </w:p>
        </w:tc>
      </w:tr>
      <w:tr>
        <w:trPr>
          <w:cantSplit w:val="true"/>
        </w:trPr>
        <w:tc>
          <w:tcPr>
            <w:shd w:val="clear" w:color="auto" w:fill="EEF3F9"/>
          </w:tcPr>
          <w:p>
            <w:pPr>
              <w:pStyle w:val="Compact"/>
              <w:jc w:val="left"/>
            </w:pPr>
            <w:r>
              <w:rPr>
                <w:rFonts w:ascii="Arial" w:hAnsi="Arial"/>
                <w:sz w:val="18"/>
              </w:rPr>
              <w:t xml:space="preserve">Lippi et al. (2025), J Back Musculoskelet Rehabil 39(4), 1216–1233</w:t>
            </w:r>
          </w:p>
        </w:tc>
        <w:tc>
          <w:tcPr>
            <w:shd w:val="clear" w:color="auto" w:fill="EEF3F9"/>
          </w:tcPr>
          <w:p>
            <w:pPr>
              <w:pStyle w:val="Compact"/>
              <w:jc w:val="left"/>
            </w:pPr>
            <w:r>
              <w:rPr>
                <w:rFonts w:ascii="Arial" w:hAnsi="Arial"/>
                <w:sz w:val="18"/>
              </w:rPr>
              <w:t xml:space="preserve">multizentrisches RCT, 55 Fußballer von 15 bis 40 J. (im Mittel rund 20 J.), Italien und Schweiz</w:t>
            </w:r>
          </w:p>
        </w:tc>
        <w:tc>
          <w:tcPr>
            <w:shd w:val="clear" w:color="auto" w:fill="EEF3F9"/>
          </w:tcPr>
          <w:p>
            <w:pPr>
              <w:pStyle w:val="Compact"/>
              <w:jc w:val="left"/>
            </w:pPr>
            <w:r>
              <w:rPr>
                <w:rFonts w:ascii="Arial" w:hAnsi="Arial"/>
                <w:sz w:val="18"/>
              </w:rPr>
              <w:t xml:space="preserve">11+ digital mit Telemonitoring</w:t>
            </w:r>
          </w:p>
        </w:tc>
        <w:tc>
          <w:tcPr>
            <w:shd w:val="clear" w:color="auto" w:fill="EEF3F9"/>
          </w:tcPr>
          <w:p>
            <w:pPr>
              <w:pStyle w:val="Compact"/>
              <w:jc w:val="left"/>
            </w:pPr>
            <w:r>
              <w:rPr>
                <w:rFonts w:ascii="Arial" w:hAnsi="Arial"/>
                <w:sz w:val="18"/>
              </w:rPr>
              <w:t xml:space="preserve">digital gegen Präsenz, 2×/Woche, 6 Monate</w:t>
            </w:r>
          </w:p>
        </w:tc>
        <w:tc>
          <w:tcPr>
            <w:shd w:val="clear" w:color="auto" w:fill="EEF3F9"/>
          </w:tcPr>
          <w:p>
            <w:pPr>
              <w:pStyle w:val="Compact"/>
              <w:jc w:val="left"/>
            </w:pPr>
            <w:r>
              <w:rPr>
                <w:rFonts w:ascii="Arial" w:hAnsi="Arial"/>
                <w:sz w:val="18"/>
              </w:rPr>
              <w:t xml:space="preserve">beide verbessert (ischiocrurale Kraft, Sprint, Shuttle-Run), kein Gruppenunterschied, auch nicht in der Agilität</w:t>
            </w:r>
          </w:p>
        </w:tc>
        <w:tc>
          <w:tcPr>
            <w:shd w:val="clear" w:color="auto" w:fill="EEF3F9"/>
          </w:tcPr>
          <w:p>
            <w:pPr>
              <w:pStyle w:val="Compact"/>
              <w:jc w:val="left"/>
            </w:pPr>
            <w:r>
              <w:rPr>
                <w:rFonts w:ascii="Arial" w:hAnsi="Arial"/>
                <w:sz w:val="18"/>
              </w:rPr>
              <w:t xml:space="preserve">2·2·0–1 (4–5)</w:t>
            </w:r>
          </w:p>
        </w:tc>
        <w:tc>
          <w:tcPr>
            <w:shd w:val="clear" w:color="auto" w:fill="EEF3F9"/>
          </w:tcPr>
          <w:p>
            <w:pPr>
              <w:pStyle w:val="Compact"/>
              <w:jc w:val="left"/>
            </w:pPr>
            <w:r>
              <w:rPr>
                <w:rFonts w:ascii="Arial" w:hAnsi="Arial"/>
                <w:sz w:val="18"/>
              </w:rPr>
              <w:t xml:space="preserve">A</w:t>
            </w:r>
          </w:p>
        </w:tc>
      </w:tr>
      <w:tr>
        <w:trPr>
          <w:cantSplit w:val="true"/>
        </w:trPr>
        <w:tc>
          <w:tcPr/>
          <w:p>
            <w:pPr>
              <w:pStyle w:val="Compact"/>
              <w:jc w:val="left"/>
            </w:pPr>
            <w:r>
              <w:rPr>
                <w:rFonts w:ascii="Arial" w:hAnsi="Arial"/>
                <w:sz w:val="18"/>
              </w:rPr>
              <w:t xml:space="preserve">Stanković et al. (2022), J Men’s Health 18(6), 134</w:t>
            </w:r>
          </w:p>
        </w:tc>
        <w:tc>
          <w:tcPr/>
          <w:p>
            <w:pPr>
              <w:pStyle w:val="Compact"/>
              <w:jc w:val="left"/>
            </w:pPr>
            <w:r>
              <w:rPr>
                <w:rFonts w:ascii="Arial" w:hAnsi="Arial"/>
                <w:sz w:val="18"/>
              </w:rPr>
              <w:t xml:space="preserve">randomisiert, 34 Nachwuchsspieler (16–18 J.)</w:t>
            </w:r>
          </w:p>
        </w:tc>
        <w:tc>
          <w:tcPr/>
          <w:p>
            <w:pPr>
              <w:pStyle w:val="Compact"/>
              <w:jc w:val="left"/>
            </w:pPr>
            <w:r>
              <w:rPr>
                <w:rFonts w:ascii="Arial" w:hAnsi="Arial"/>
                <w:sz w:val="18"/>
              </w:rPr>
              <w:t xml:space="preserve">Heimprogramm in der Übergangsperiode, Inhalt, Aufsicht und Vermittlung im Abstract nicht beschrieben</w:t>
            </w:r>
          </w:p>
        </w:tc>
        <w:tc>
          <w:tcPr/>
          <w:p>
            <w:pPr>
              <w:pStyle w:val="Compact"/>
              <w:jc w:val="left"/>
            </w:pPr>
            <w:r>
              <w:rPr>
                <w:rFonts w:ascii="Arial" w:hAnsi="Arial"/>
                <w:sz w:val="18"/>
              </w:rPr>
              <w:t xml:space="preserve">Kraftraum (16) gegen Heimprogramm (18, von den Autoren „control group“ genannt), 3 Wochen</w:t>
            </w:r>
          </w:p>
        </w:tc>
        <w:tc>
          <w:tcPr/>
          <w:p>
            <w:pPr>
              <w:pStyle w:val="Compact"/>
              <w:jc w:val="left"/>
            </w:pPr>
            <w:r>
              <w:rPr>
                <w:rFonts w:ascii="Arial" w:hAnsi="Arial"/>
                <w:sz w:val="18"/>
              </w:rPr>
              <w:t xml:space="preserve">5, 10 und 20 m, CMJ, SJ, Illinois: in beiden Gruppen teils erhalten, Schnelligkeit und Agilität leicht schlechter</w:t>
            </w:r>
          </w:p>
        </w:tc>
        <w:tc>
          <w:tcPr/>
          <w:p>
            <w:pPr>
              <w:pStyle w:val="Compact"/>
              <w:jc w:val="left"/>
            </w:pPr>
            <w:r>
              <w:rPr>
                <w:rFonts w:ascii="Arial" w:hAnsi="Arial"/>
                <w:sz w:val="18"/>
              </w:rPr>
              <w:t xml:space="preserve">1·2·0–1 (3–4)</w:t>
            </w:r>
          </w:p>
        </w:tc>
        <w:tc>
          <w:tcPr/>
          <w:p>
            <w:pPr>
              <w:pStyle w:val="Compact"/>
              <w:jc w:val="left"/>
            </w:pPr>
            <w:r>
              <w:rPr>
                <w:rFonts w:ascii="Arial" w:hAnsi="Arial"/>
                <w:sz w:val="18"/>
              </w:rPr>
              <w:t xml:space="preserve">A (Verlags-PDF frei, hier durch robots.txt gesperrt)</w:t>
            </w:r>
          </w:p>
        </w:tc>
      </w:tr>
      <w:tr>
        <w:trPr>
          <w:cantSplit w:val="true"/>
        </w:trPr>
        <w:tc>
          <w:tcPr>
            <w:shd w:val="clear" w:color="auto" w:fill="EEF3F9"/>
          </w:tcPr>
          <w:p>
            <w:pPr>
              <w:pStyle w:val="Compact"/>
              <w:jc w:val="left"/>
            </w:pPr>
            <w:r>
              <w:rPr>
                <w:rFonts w:ascii="Arial" w:hAnsi="Arial"/>
                <w:sz w:val="18"/>
              </w:rPr>
              <w:t xml:space="preserve">Ludwig et al. (2022), J Funct Morphol Kinesiol 7(4), 88 [MDPI]</w:t>
            </w:r>
          </w:p>
        </w:tc>
        <w:tc>
          <w:tcPr>
            <w:shd w:val="clear" w:color="auto" w:fill="EEF3F9"/>
          </w:tcPr>
          <w:p>
            <w:pPr>
              <w:pStyle w:val="Compact"/>
              <w:jc w:val="left"/>
            </w:pPr>
            <w:r>
              <w:rPr>
                <w:rFonts w:ascii="Arial" w:hAnsi="Arial"/>
                <w:sz w:val="18"/>
              </w:rPr>
              <w:t xml:space="preserve">kontrolliert, 170 Nachwuchsspieler (15,6 J.), 86 davon aus einer Akademie im Onlinetraining</w:t>
            </w:r>
          </w:p>
        </w:tc>
        <w:tc>
          <w:tcPr>
            <w:shd w:val="clear" w:color="auto" w:fill="EEF3F9"/>
          </w:tcPr>
          <w:p>
            <w:pPr>
              <w:pStyle w:val="Compact"/>
              <w:jc w:val="left"/>
            </w:pPr>
            <w:r>
              <w:rPr>
                <w:rFonts w:ascii="Arial" w:hAnsi="Arial"/>
                <w:sz w:val="18"/>
              </w:rPr>
              <w:t xml:space="preserve">Live-Onlinetraining (Zoom), Korrektur über die Kamera, 2×/Woche 45 min</w:t>
            </w:r>
          </w:p>
        </w:tc>
        <w:tc>
          <w:tcPr>
            <w:shd w:val="clear" w:color="auto" w:fill="EEF3F9"/>
          </w:tcPr>
          <w:p>
            <w:pPr>
              <w:pStyle w:val="Compact"/>
              <w:jc w:val="left"/>
            </w:pPr>
            <w:r>
              <w:rPr>
                <w:rFonts w:ascii="Arial" w:hAnsi="Arial"/>
                <w:sz w:val="18"/>
              </w:rPr>
              <w:t xml:space="preserve">Kontrolle (84, nachträglich erhoben), 6 Wochen</w:t>
            </w:r>
          </w:p>
        </w:tc>
        <w:tc>
          <w:tcPr>
            <w:shd w:val="clear" w:color="auto" w:fill="EEF3F9"/>
          </w:tcPr>
          <w:p>
            <w:pPr>
              <w:pStyle w:val="Compact"/>
              <w:jc w:val="left"/>
            </w:pPr>
            <w:r>
              <w:rPr>
                <w:rFonts w:ascii="Arial" w:hAnsi="Arial"/>
                <w:sz w:val="18"/>
              </w:rPr>
              <w:t xml:space="preserve">Haltungsparameter verbessert</w:t>
            </w:r>
          </w:p>
        </w:tc>
        <w:tc>
          <w:tcPr>
            <w:shd w:val="clear" w:color="auto" w:fill="EEF3F9"/>
          </w:tcPr>
          <w:p>
            <w:pPr>
              <w:pStyle w:val="Compact"/>
              <w:jc w:val="left"/>
            </w:pPr>
            <w:r>
              <w:rPr>
                <w:rFonts w:ascii="Arial" w:hAnsi="Arial"/>
                <w:sz w:val="18"/>
              </w:rPr>
              <w:t xml:space="preserve">1·0–1·2 (3–4)</w:t>
            </w:r>
          </w:p>
        </w:tc>
        <w:tc>
          <w:tcPr>
            <w:shd w:val="clear" w:color="auto" w:fill="EEF3F9"/>
          </w:tcPr>
          <w:p>
            <w:pPr>
              <w:pStyle w:val="Compact"/>
              <w:jc w:val="left"/>
            </w:pPr>
            <w:r>
              <w:rPr>
                <w:rFonts w:ascii="Arial" w:hAnsi="Arial"/>
                <w:sz w:val="18"/>
              </w:rPr>
              <w:t xml:space="preserve">A</w:t>
            </w:r>
          </w:p>
        </w:tc>
      </w:tr>
      <w:tr>
        <w:trPr>
          <w:cantSplit w:val="true"/>
        </w:trPr>
        <w:tc>
          <w:tcPr/>
          <w:p>
            <w:pPr>
              <w:pStyle w:val="Compact"/>
              <w:jc w:val="left"/>
            </w:pPr>
            <w:r>
              <w:rPr>
                <w:rFonts w:ascii="Arial" w:hAnsi="Arial"/>
                <w:sz w:val="18"/>
              </w:rPr>
              <w:t xml:space="preserve">Scoz et al. (2022), J Sports Med 2022, 8242210</w:t>
            </w:r>
          </w:p>
        </w:tc>
        <w:tc>
          <w:tcPr/>
          <w:p>
            <w:pPr>
              <w:pStyle w:val="Compact"/>
              <w:jc w:val="left"/>
            </w:pPr>
            <w:r>
              <w:rPr>
                <w:rFonts w:ascii="Arial" w:hAnsi="Arial"/>
                <w:sz w:val="18"/>
              </w:rPr>
              <w:t xml:space="preserve">retrospektive Kohorte, zwei Profimannschaften</w:t>
            </w:r>
          </w:p>
        </w:tc>
        <w:tc>
          <w:tcPr/>
          <w:p>
            <w:pPr>
              <w:pStyle w:val="Compact"/>
              <w:jc w:val="left"/>
            </w:pPr>
            <w:r>
              <w:rPr>
                <w:rFonts w:ascii="Arial" w:hAnsi="Arial"/>
                <w:sz w:val="18"/>
              </w:rPr>
              <w:t xml:space="preserve">Heimtraining mit regelmäßigen Videoanrufen gegen schriftliche Anweisungen</w:t>
            </w:r>
          </w:p>
        </w:tc>
        <w:tc>
          <w:tcPr/>
          <w:p>
            <w:pPr>
              <w:pStyle w:val="Compact"/>
              <w:jc w:val="left"/>
            </w:pPr>
            <w:r>
              <w:rPr>
                <w:rFonts w:ascii="Arial" w:hAnsi="Arial"/>
                <w:sz w:val="18"/>
              </w:rPr>
              <w:t xml:space="preserve">zwei Mannschaften, Lockdown</w:t>
            </w:r>
          </w:p>
        </w:tc>
        <w:tc>
          <w:tcPr/>
          <w:p>
            <w:pPr>
              <w:pStyle w:val="Compact"/>
              <w:jc w:val="left"/>
            </w:pPr>
            <w:r>
              <w:rPr>
                <w:rFonts w:ascii="Arial" w:hAnsi="Arial"/>
                <w:sz w:val="18"/>
              </w:rPr>
              <w:t xml:space="preserve">exzentrische Kniebeugerkraft nur ohne Fernbetreuung gesunken</w:t>
            </w:r>
          </w:p>
        </w:tc>
        <w:tc>
          <w:tcPr/>
          <w:p>
            <w:pPr>
              <w:pStyle w:val="Compact"/>
              <w:jc w:val="left"/>
            </w:pPr>
            <w:r>
              <w:rPr>
                <w:rFonts w:ascii="Arial" w:hAnsi="Arial"/>
                <w:sz w:val="18"/>
              </w:rPr>
              <w:t xml:space="preserve">2·2·2 (6)</w:t>
            </w:r>
          </w:p>
        </w:tc>
        <w:tc>
          <w:tcPr/>
          <w:p>
            <w:pPr>
              <w:pStyle w:val="Compact"/>
              <w:jc w:val="left"/>
            </w:pPr>
            <w:r>
              <w:rPr>
                <w:rFonts w:ascii="Arial" w:hAnsi="Arial"/>
                <w:sz w:val="18"/>
              </w:rPr>
              <w:t xml:space="preserve">A</w:t>
            </w:r>
          </w:p>
        </w:tc>
      </w:tr>
      <w:tr>
        <w:trPr>
          <w:cantSplit w:val="true"/>
        </w:trPr>
        <w:tc>
          <w:tcPr>
            <w:shd w:val="clear" w:color="auto" w:fill="EEF3F9"/>
          </w:tcPr>
          <w:p>
            <w:pPr>
              <w:pStyle w:val="Compact"/>
              <w:jc w:val="left"/>
            </w:pPr>
            <w:r>
              <w:rPr>
                <w:rFonts w:ascii="Arial" w:hAnsi="Arial"/>
                <w:sz w:val="18"/>
              </w:rPr>
              <w:t xml:space="preserve">Dauty et al. (2021), J Sports Med Phys Fitness 61(9), 1252–1257</w:t>
            </w:r>
          </w:p>
        </w:tc>
        <w:tc>
          <w:tcPr>
            <w:shd w:val="clear" w:color="auto" w:fill="EEF3F9"/>
          </w:tcPr>
          <w:p>
            <w:pPr>
              <w:pStyle w:val="Compact"/>
              <w:jc w:val="left"/>
            </w:pPr>
            <w:r>
              <w:rPr>
                <w:rFonts w:ascii="Arial" w:hAnsi="Arial"/>
                <w:sz w:val="18"/>
              </w:rPr>
              <w:t xml:space="preserve">Prä-Post, 25 Elitespieler (14 J.)</w:t>
            </w:r>
          </w:p>
        </w:tc>
        <w:tc>
          <w:tcPr>
            <w:shd w:val="clear" w:color="auto" w:fill="EEF3F9"/>
          </w:tcPr>
          <w:p>
            <w:pPr>
              <w:pStyle w:val="Compact"/>
              <w:jc w:val="left"/>
            </w:pPr>
            <w:r>
              <w:rPr>
                <w:rFonts w:ascii="Arial" w:hAnsi="Arial"/>
                <w:sz w:val="18"/>
              </w:rPr>
              <w:t xml:space="preserve">Heimprogramm im Lockdown, 2× Ausdauer und 2× Kraft je Woche, über das Web betreut, Übungen per Video demonstriert (nach Paludo et al., 2022)</w:t>
            </w:r>
          </w:p>
        </w:tc>
        <w:tc>
          <w:tcPr>
            <w:shd w:val="clear" w:color="auto" w:fill="EEF3F9"/>
          </w:tcPr>
          <w:p>
            <w:pPr>
              <w:pStyle w:val="Compact"/>
              <w:jc w:val="left"/>
            </w:pPr>
            <w:r>
              <w:rPr>
                <w:rFonts w:ascii="Arial" w:hAnsi="Arial"/>
                <w:sz w:val="18"/>
              </w:rPr>
              <w:t xml:space="preserve">keiner, rund 8 Wochen</w:t>
            </w:r>
          </w:p>
        </w:tc>
        <w:tc>
          <w:tcPr>
            <w:shd w:val="clear" w:color="auto" w:fill="EEF3F9"/>
          </w:tcPr>
          <w:p>
            <w:pPr>
              <w:pStyle w:val="Compact"/>
              <w:jc w:val="left"/>
            </w:pPr>
            <w:r>
              <w:rPr>
                <w:rFonts w:ascii="Arial" w:hAnsi="Arial"/>
                <w:sz w:val="18"/>
              </w:rPr>
              <w:t xml:space="preserve">Yo-Yo-Strecke −25 % (19 Spieler), Wohlbefinden stabil</w:t>
            </w:r>
          </w:p>
        </w:tc>
        <w:tc>
          <w:tcPr>
            <w:shd w:val="clear" w:color="auto" w:fill="EEF3F9"/>
          </w:tcPr>
          <w:p>
            <w:pPr>
              <w:pStyle w:val="Compact"/>
              <w:jc w:val="left"/>
            </w:pPr>
            <w:r>
              <w:rPr>
                <w:rFonts w:ascii="Arial" w:hAnsi="Arial"/>
                <w:sz w:val="18"/>
              </w:rPr>
              <w:t xml:space="preserve">1·1–2·2 (4–5)</w:t>
            </w:r>
          </w:p>
        </w:tc>
        <w:tc>
          <w:tcPr>
            <w:shd w:val="clear" w:color="auto" w:fill="EEF3F9"/>
          </w:tcPr>
          <w:p>
            <w:pPr>
              <w:pStyle w:val="Compact"/>
              <w:jc w:val="left"/>
            </w:pPr>
            <w:r>
              <w:rPr>
                <w:rFonts w:ascii="Arial" w:hAnsi="Arial"/>
                <w:sz w:val="18"/>
              </w:rPr>
              <w:t xml:space="preserve">A</w:t>
            </w:r>
          </w:p>
        </w:tc>
      </w:tr>
      <w:tr>
        <w:trPr>
          <w:cantSplit w:val="true"/>
        </w:trPr>
        <w:tc>
          <w:tcPr/>
          <w:p>
            <w:pPr>
              <w:pStyle w:val="Compact"/>
              <w:jc w:val="left"/>
            </w:pPr>
            <w:r>
              <w:rPr>
                <w:rFonts w:ascii="Arial" w:hAnsi="Arial"/>
                <w:sz w:val="18"/>
              </w:rPr>
              <w:t xml:space="preserve">Pucsok et al. (2021), IJERPH 18(18), 9604 [MDPI]</w:t>
            </w:r>
          </w:p>
        </w:tc>
        <w:tc>
          <w:tcPr/>
          <w:p>
            <w:pPr>
              <w:pStyle w:val="Compact"/>
              <w:jc w:val="left"/>
            </w:pPr>
            <w:r>
              <w:rPr>
                <w:rFonts w:ascii="Arial" w:hAnsi="Arial"/>
                <w:sz w:val="18"/>
              </w:rPr>
              <w:t xml:space="preserve">Prä-Post, 11 Elitespieler (16,7 J.)</w:t>
            </w:r>
          </w:p>
        </w:tc>
        <w:tc>
          <w:tcPr/>
          <w:p>
            <w:pPr>
              <w:pStyle w:val="Compact"/>
              <w:jc w:val="left"/>
            </w:pPr>
            <w:r>
              <w:rPr>
                <w:rFonts w:ascii="Arial" w:hAnsi="Arial"/>
                <w:sz w:val="18"/>
              </w:rPr>
              <w:t xml:space="preserve">Heimprogramm 3×/Woche mit einer Sprung- und Richtungswechseleinheit, Vermittlung nicht beschrieben</w:t>
            </w:r>
          </w:p>
        </w:tc>
        <w:tc>
          <w:tcPr/>
          <w:p>
            <w:pPr>
              <w:pStyle w:val="Compact"/>
              <w:jc w:val="left"/>
            </w:pPr>
            <w:r>
              <w:rPr>
                <w:rFonts w:ascii="Arial" w:hAnsi="Arial"/>
                <w:sz w:val="18"/>
              </w:rPr>
              <w:t xml:space="preserve">keiner, zu Hause 9 Wochen (Abstract) oder 13 Wochen (Methodenteil)</w:t>
            </w:r>
          </w:p>
        </w:tc>
        <w:tc>
          <w:tcPr/>
          <w:p>
            <w:pPr>
              <w:pStyle w:val="Compact"/>
              <w:jc w:val="left"/>
            </w:pPr>
            <w:r>
              <w:rPr>
                <w:rFonts w:ascii="Arial" w:hAnsi="Arial"/>
                <w:sz w:val="18"/>
              </w:rPr>
              <w:t xml:space="preserve">CMJ 43,2 → 45,0 cm (p = 0,03), Agilität unverändert</w:t>
            </w:r>
          </w:p>
        </w:tc>
        <w:tc>
          <w:tcPr/>
          <w:p>
            <w:pPr>
              <w:pStyle w:val="Compact"/>
              <w:jc w:val="left"/>
            </w:pPr>
            <w:r>
              <w:rPr>
                <w:rFonts w:ascii="Arial" w:hAnsi="Arial"/>
                <w:sz w:val="18"/>
              </w:rPr>
              <w:t xml:space="preserve">1·2·1 (4)</w:t>
            </w:r>
          </w:p>
        </w:tc>
        <w:tc>
          <w:tcPr/>
          <w:p>
            <w:pPr>
              <w:pStyle w:val="Compact"/>
              <w:jc w:val="left"/>
            </w:pPr>
            <w:r>
              <w:rPr>
                <w:rFonts w:ascii="Arial" w:hAnsi="Arial"/>
                <w:sz w:val="18"/>
              </w:rPr>
              <w:t xml:space="preserve">V (PMC8468591) · nach F17 § 6.5 nicht aufnehmen</w:t>
            </w:r>
          </w:p>
        </w:tc>
      </w:tr>
      <w:tr>
        <w:trPr>
          <w:cantSplit w:val="true"/>
        </w:trPr>
        <w:tc>
          <w:tcPr>
            <w:shd w:val="clear" w:color="auto" w:fill="EEF3F9"/>
          </w:tcPr>
          <w:p>
            <w:pPr>
              <w:pStyle w:val="Compact"/>
              <w:jc w:val="left"/>
            </w:pPr>
            <w:r>
              <w:rPr>
                <w:rFonts w:ascii="Arial" w:hAnsi="Arial"/>
                <w:sz w:val="18"/>
              </w:rPr>
              <w:t xml:space="preserve">Keemss et al. (2022), Front Sports Act Living 4, 875767</w:t>
            </w:r>
          </w:p>
        </w:tc>
        <w:tc>
          <w:tcPr>
            <w:shd w:val="clear" w:color="auto" w:fill="EEF3F9"/>
          </w:tcPr>
          <w:p>
            <w:pPr>
              <w:pStyle w:val="Compact"/>
              <w:jc w:val="left"/>
            </w:pPr>
            <w:r>
              <w:rPr>
                <w:rFonts w:ascii="Arial" w:hAnsi="Arial"/>
                <w:sz w:val="18"/>
              </w:rPr>
              <w:t xml:space="preserve">Prä-Post, 8 U19-Bundesligaspieler</w:t>
            </w:r>
          </w:p>
        </w:tc>
        <w:tc>
          <w:tcPr>
            <w:shd w:val="clear" w:color="auto" w:fill="EEF3F9"/>
          </w:tcPr>
          <w:p>
            <w:pPr>
              <w:pStyle w:val="Compact"/>
              <w:jc w:val="left"/>
            </w:pPr>
            <w:r>
              <w:rPr>
                <w:rFonts w:ascii="Arial" w:hAnsi="Arial"/>
                <w:sz w:val="18"/>
              </w:rPr>
              <w:t xml:space="preserve">Heimpläne 5–6×/Woche, Tracking-Apps, Ausführung über Videotraining überwacht</w:t>
            </w:r>
          </w:p>
        </w:tc>
        <w:tc>
          <w:tcPr>
            <w:shd w:val="clear" w:color="auto" w:fill="EEF3F9"/>
          </w:tcPr>
          <w:p>
            <w:pPr>
              <w:pStyle w:val="Compact"/>
              <w:jc w:val="left"/>
            </w:pPr>
            <w:r>
              <w:rPr>
                <w:rFonts w:ascii="Arial" w:hAnsi="Arial"/>
                <w:sz w:val="18"/>
              </w:rPr>
              <w:t xml:space="preserve">keiner („did not allow us to form a control group“), 13 Wochen</w:t>
            </w:r>
          </w:p>
        </w:tc>
        <w:tc>
          <w:tcPr>
            <w:shd w:val="clear" w:color="auto" w:fill="EEF3F9"/>
          </w:tcPr>
          <w:p>
            <w:pPr>
              <w:pStyle w:val="Compact"/>
              <w:jc w:val="left"/>
            </w:pPr>
            <w:r>
              <w:rPr>
                <w:rFonts w:ascii="Arial" w:hAnsi="Arial"/>
                <w:sz w:val="18"/>
              </w:rPr>
              <w:t xml:space="preserve">isokinetische Kraft und Ausdauer erhalten, Körperfett gestiegen</w:t>
            </w:r>
          </w:p>
        </w:tc>
        <w:tc>
          <w:tcPr>
            <w:shd w:val="clear" w:color="auto" w:fill="EEF3F9"/>
          </w:tcPr>
          <w:p>
            <w:pPr>
              <w:pStyle w:val="Compact"/>
              <w:jc w:val="left"/>
            </w:pPr>
            <w:r>
              <w:rPr>
                <w:rFonts w:ascii="Arial" w:hAnsi="Arial"/>
                <w:sz w:val="18"/>
              </w:rPr>
              <w:t xml:space="preserve">1·2·2 (5)</w:t>
            </w:r>
          </w:p>
        </w:tc>
        <w:tc>
          <w:tcPr>
            <w:shd w:val="clear" w:color="auto" w:fill="EEF3F9"/>
          </w:tcPr>
          <w:p>
            <w:pPr>
              <w:pStyle w:val="Compact"/>
              <w:jc w:val="left"/>
            </w:pPr>
            <w:r>
              <w:rPr>
                <w:rFonts w:ascii="Arial" w:hAnsi="Arial"/>
                <w:sz w:val="18"/>
              </w:rPr>
              <w:t xml:space="preserve">V (PMC9234262)</w:t>
            </w:r>
          </w:p>
        </w:tc>
      </w:tr>
      <w:tr>
        <w:trPr>
          <w:cantSplit w:val="true"/>
        </w:trPr>
        <w:tc>
          <w:tcPr/>
          <w:p>
            <w:pPr>
              <w:pStyle w:val="Compact"/>
              <w:jc w:val="left"/>
            </w:pPr>
            <w:r>
              <w:rPr>
                <w:rFonts w:ascii="Arial" w:hAnsi="Arial"/>
                <w:sz w:val="18"/>
              </w:rPr>
              <w:t xml:space="preserve">Kalinowski et al. (2021), IJERPH 18(12), 6195 [MDPI]</w:t>
            </w:r>
          </w:p>
        </w:tc>
        <w:tc>
          <w:tcPr/>
          <w:p>
            <w:pPr>
              <w:pStyle w:val="Compact"/>
              <w:jc w:val="left"/>
            </w:pPr>
            <w:r>
              <w:rPr>
                <w:rFonts w:ascii="Arial" w:hAnsi="Arial"/>
                <w:sz w:val="18"/>
              </w:rPr>
              <w:t xml:space="preserve">Kohorte, 24 Nachwuchsspieler</w:t>
            </w:r>
          </w:p>
        </w:tc>
        <w:tc>
          <w:tcPr/>
          <w:p>
            <w:pPr>
              <w:pStyle w:val="Compact"/>
              <w:jc w:val="left"/>
            </w:pPr>
            <w:r>
              <w:rPr>
                <w:rFonts w:ascii="Arial" w:hAnsi="Arial"/>
                <w:sz w:val="18"/>
              </w:rPr>
              <w:t xml:space="preserve">Onlinetraining im Lockdown</w:t>
            </w:r>
          </w:p>
        </w:tc>
        <w:tc>
          <w:tcPr/>
          <w:p>
            <w:pPr>
              <w:pStyle w:val="Compact"/>
              <w:jc w:val="left"/>
            </w:pPr>
            <w:r>
              <w:rPr>
                <w:rFonts w:ascii="Arial" w:hAnsi="Arial"/>
                <w:sz w:val="18"/>
              </w:rPr>
              <w:t xml:space="preserve">keiner</w:t>
            </w:r>
          </w:p>
        </w:tc>
        <w:tc>
          <w:tcPr/>
          <w:p>
            <w:pPr>
              <w:pStyle w:val="Compact"/>
              <w:jc w:val="left"/>
            </w:pPr>
            <w:r>
              <w:rPr>
                <w:rFonts w:ascii="Arial" w:hAnsi="Arial"/>
                <w:sz w:val="18"/>
              </w:rPr>
              <w:t xml:space="preserve">Ausdauer nach dem Lockdown gesunken</w:t>
            </w:r>
          </w:p>
        </w:tc>
        <w:tc>
          <w:tcPr/>
          <w:p>
            <w:pPr>
              <w:pStyle w:val="Compact"/>
              <w:jc w:val="left"/>
            </w:pPr>
            <w:r>
              <w:rPr>
                <w:rFonts w:ascii="Arial" w:hAnsi="Arial"/>
                <w:sz w:val="18"/>
              </w:rPr>
              <w:t xml:space="preserve">1·2·2 (5)</w:t>
            </w:r>
          </w:p>
        </w:tc>
        <w:tc>
          <w:tcPr/>
          <w:p>
            <w:pPr>
              <w:pStyle w:val="Compact"/>
              <w:jc w:val="left"/>
            </w:pPr>
            <w:r>
              <w:rPr>
                <w:rFonts w:ascii="Arial" w:hAnsi="Arial"/>
                <w:sz w:val="18"/>
              </w:rPr>
              <w:t xml:space="preserve">A</w:t>
            </w:r>
          </w:p>
        </w:tc>
      </w:tr>
      <w:tr>
        <w:trPr>
          <w:cantSplit w:val="true"/>
        </w:trPr>
        <w:tc>
          <w:tcPr>
            <w:shd w:val="clear" w:color="auto" w:fill="EEF3F9"/>
          </w:tcPr>
          <w:p>
            <w:pPr>
              <w:pStyle w:val="Compact"/>
              <w:jc w:val="left"/>
            </w:pPr>
            <w:r>
              <w:rPr>
                <w:rFonts w:ascii="Arial" w:hAnsi="Arial"/>
                <w:sz w:val="18"/>
              </w:rPr>
              <w:t xml:space="preserve">Pedersen et al. (2021), Front Physiol 12, 623885</w:t>
            </w:r>
          </w:p>
        </w:tc>
        <w:tc>
          <w:tcPr>
            <w:shd w:val="clear" w:color="auto" w:fill="EEF3F9"/>
          </w:tcPr>
          <w:p>
            <w:pPr>
              <w:pStyle w:val="Compact"/>
              <w:jc w:val="left"/>
            </w:pPr>
            <w:r>
              <w:rPr>
                <w:rFonts w:ascii="Arial" w:hAnsi="Arial"/>
                <w:sz w:val="18"/>
              </w:rPr>
              <w:t xml:space="preserve">Prä-Post, Spielerinnen (18,8 J.)</w:t>
            </w:r>
          </w:p>
        </w:tc>
        <w:tc>
          <w:tcPr>
            <w:shd w:val="clear" w:color="auto" w:fill="EEF3F9"/>
          </w:tcPr>
          <w:p>
            <w:pPr>
              <w:pStyle w:val="Compact"/>
              <w:jc w:val="left"/>
            </w:pPr>
            <w:r>
              <w:rPr>
                <w:rFonts w:ascii="Arial" w:hAnsi="Arial"/>
                <w:sz w:val="18"/>
              </w:rPr>
              <w:t xml:space="preserve">Heim- und Gruppenprogramm im Lockdown</w:t>
            </w:r>
          </w:p>
        </w:tc>
        <w:tc>
          <w:tcPr>
            <w:shd w:val="clear" w:color="auto" w:fill="EEF3F9"/>
          </w:tcPr>
          <w:p>
            <w:pPr>
              <w:pStyle w:val="Compact"/>
              <w:jc w:val="left"/>
            </w:pPr>
            <w:r>
              <w:rPr>
                <w:rFonts w:ascii="Arial" w:hAnsi="Arial"/>
                <w:sz w:val="18"/>
              </w:rPr>
              <w:t xml:space="preserve">keiner, 12 Wochen</w:t>
            </w:r>
          </w:p>
        </w:tc>
        <w:tc>
          <w:tcPr>
            <w:shd w:val="clear" w:color="auto" w:fill="EEF3F9"/>
          </w:tcPr>
          <w:p>
            <w:pPr>
              <w:pStyle w:val="Compact"/>
              <w:jc w:val="left"/>
            </w:pPr>
            <w:r>
              <w:rPr>
                <w:rFonts w:ascii="Arial" w:hAnsi="Arial"/>
                <w:sz w:val="18"/>
              </w:rPr>
              <w:t xml:space="preserve">1RM, CMJ und 15 m unverändert</w:t>
            </w:r>
          </w:p>
        </w:tc>
        <w:tc>
          <w:tcPr>
            <w:shd w:val="clear" w:color="auto" w:fill="EEF3F9"/>
          </w:tcPr>
          <w:p>
            <w:pPr>
              <w:pStyle w:val="Compact"/>
              <w:jc w:val="left"/>
            </w:pPr>
            <w:r>
              <w:rPr>
                <w:rFonts w:ascii="Arial" w:hAnsi="Arial"/>
                <w:sz w:val="18"/>
              </w:rPr>
              <w:t xml:space="preserve">2·2·0–1 (4–5)</w:t>
            </w:r>
          </w:p>
        </w:tc>
        <w:tc>
          <w:tcPr>
            <w:shd w:val="clear" w:color="auto" w:fill="EEF3F9"/>
          </w:tcPr>
          <w:p>
            <w:pPr>
              <w:pStyle w:val="Compact"/>
              <w:jc w:val="left"/>
            </w:pPr>
            <w:r>
              <w:rPr>
                <w:rFonts w:ascii="Arial" w:hAnsi="Arial"/>
                <w:sz w:val="18"/>
              </w:rPr>
              <w:t xml:space="preserve">A</w:t>
            </w:r>
          </w:p>
        </w:tc>
      </w:tr>
      <w:tr>
        <w:trPr>
          <w:cantSplit w:val="true"/>
        </w:trPr>
        <w:tc>
          <w:tcPr/>
          <w:p>
            <w:pPr>
              <w:pStyle w:val="Compact"/>
              <w:jc w:val="left"/>
            </w:pPr>
            <w:r>
              <w:rPr>
                <w:rFonts w:ascii="Arial" w:hAnsi="Arial"/>
                <w:sz w:val="18"/>
              </w:rPr>
              <w:t xml:space="preserve">Haugen et al. (2015), PLoS One 10(3), e0121827</w:t>
            </w:r>
          </w:p>
        </w:tc>
        <w:tc>
          <w:tcPr/>
          <w:p>
            <w:pPr>
              <w:pStyle w:val="Compact"/>
              <w:jc w:val="left"/>
            </w:pPr>
            <w:r>
              <w:rPr>
                <w:rFonts w:ascii="Arial" w:hAnsi="Arial"/>
                <w:sz w:val="18"/>
              </w:rPr>
              <w:t xml:space="preserve">RCT, Juniorenspieler (17 J.)</w:t>
            </w:r>
          </w:p>
        </w:tc>
        <w:tc>
          <w:tcPr/>
          <w:p>
            <w:pPr>
              <w:pStyle w:val="Compact"/>
              <w:jc w:val="left"/>
            </w:pPr>
            <w:r>
              <w:rPr>
                <w:rFonts w:ascii="Arial" w:hAnsi="Arial"/>
                <w:sz w:val="18"/>
              </w:rPr>
              <w:t xml:space="preserve">wöchentliches Sprinttraining mit oder ohne Aufsicht</w:t>
            </w:r>
          </w:p>
        </w:tc>
        <w:tc>
          <w:tcPr/>
          <w:p>
            <w:pPr>
              <w:pStyle w:val="Compact"/>
              <w:jc w:val="left"/>
            </w:pPr>
            <w:r>
              <w:rPr>
                <w:rFonts w:ascii="Arial" w:hAnsi="Arial"/>
                <w:sz w:val="18"/>
              </w:rPr>
              <w:t xml:space="preserve">vier Gruppen mit Kontrolle, 7 Wochen</w:t>
            </w:r>
          </w:p>
        </w:tc>
        <w:tc>
          <w:tcPr/>
          <w:p>
            <w:pPr>
              <w:pStyle w:val="Compact"/>
              <w:jc w:val="left"/>
            </w:pPr>
            <w:r>
              <w:rPr>
                <w:rFonts w:ascii="Arial" w:hAnsi="Arial"/>
                <w:sz w:val="18"/>
              </w:rPr>
              <w:t xml:space="preserve">keine Gruppenunterschiede bei Sprint und CMJ</w:t>
            </w:r>
          </w:p>
        </w:tc>
        <w:tc>
          <w:tcPr/>
          <w:p>
            <w:pPr>
              <w:pStyle w:val="Compact"/>
              <w:jc w:val="left"/>
            </w:pPr>
            <w:r>
              <w:rPr>
                <w:rFonts w:ascii="Arial" w:hAnsi="Arial"/>
                <w:sz w:val="18"/>
              </w:rPr>
              <w:t xml:space="preserve">1·2·0–1 (3–4)</w:t>
            </w:r>
          </w:p>
        </w:tc>
        <w:tc>
          <w:tcPr/>
          <w:p>
            <w:pPr>
              <w:pStyle w:val="Compact"/>
              <w:jc w:val="left"/>
            </w:pPr>
            <w:r>
              <w:rPr>
                <w:rFonts w:ascii="Arial" w:hAnsi="Arial"/>
                <w:sz w:val="18"/>
              </w:rPr>
              <w:t xml:space="preserve">A</w:t>
            </w:r>
          </w:p>
        </w:tc>
      </w:tr>
      <w:tr>
        <w:trPr>
          <w:cantSplit w:val="true"/>
        </w:trPr>
        <w:tc>
          <w:tcPr>
            <w:shd w:val="clear" w:color="auto" w:fill="EEF3F9"/>
          </w:tcPr>
          <w:p>
            <w:pPr>
              <w:pStyle w:val="Compact"/>
              <w:jc w:val="left"/>
            </w:pPr>
            <w:r>
              <w:rPr>
                <w:rFonts w:ascii="Arial" w:hAnsi="Arial"/>
                <w:sz w:val="18"/>
              </w:rPr>
              <w:t xml:space="preserve">Liu et al. (2024), JSSM 23(1), 219–227</w:t>
            </w:r>
          </w:p>
        </w:tc>
        <w:tc>
          <w:tcPr>
            <w:shd w:val="clear" w:color="auto" w:fill="EEF3F9"/>
          </w:tcPr>
          <w:p>
            <w:pPr>
              <w:pStyle w:val="Compact"/>
              <w:jc w:val="left"/>
            </w:pPr>
            <w:r>
              <w:rPr>
                <w:rFonts w:ascii="Arial" w:hAnsi="Arial"/>
                <w:sz w:val="18"/>
              </w:rPr>
              <w:t xml:space="preserve">RCT, regionale U19</w:t>
            </w:r>
          </w:p>
        </w:tc>
        <w:tc>
          <w:tcPr>
            <w:shd w:val="clear" w:color="auto" w:fill="EEF3F9"/>
          </w:tcPr>
          <w:p>
            <w:pPr>
              <w:pStyle w:val="Compact"/>
              <w:jc w:val="left"/>
            </w:pPr>
            <w:r>
              <w:rPr>
                <w:rFonts w:ascii="Arial" w:hAnsi="Arial"/>
                <w:sz w:val="18"/>
              </w:rPr>
              <w:t xml:space="preserve">betreut, sechs Einheiten</w:t>
            </w:r>
          </w:p>
        </w:tc>
        <w:tc>
          <w:tcPr>
            <w:shd w:val="clear" w:color="auto" w:fill="EEF3F9"/>
          </w:tcPr>
          <w:p>
            <w:pPr>
              <w:pStyle w:val="Compact"/>
              <w:jc w:val="left"/>
            </w:pPr>
            <w:r>
              <w:rPr>
                <w:rFonts w:ascii="Arial" w:hAnsi="Arial"/>
                <w:sz w:val="18"/>
              </w:rPr>
              <w:t xml:space="preserve">Kontrolle ohne Training, 3 Wochen Off-Season</w:t>
            </w:r>
          </w:p>
        </w:tc>
        <w:tc>
          <w:tcPr>
            <w:shd w:val="clear" w:color="auto" w:fill="EEF3F9"/>
          </w:tcPr>
          <w:p>
            <w:pPr>
              <w:pStyle w:val="Compact"/>
              <w:jc w:val="left"/>
            </w:pPr>
            <w:r>
              <w:rPr>
                <w:rFonts w:ascii="Arial" w:hAnsi="Arial"/>
                <w:sz w:val="18"/>
              </w:rPr>
              <w:t xml:space="preserve">bekannt, T1</w:t>
            </w:r>
            <w:r>
              <w:rPr>
                <w:rFonts w:ascii="Arial" w:hAnsi="Arial"/>
                <w:sz w:val="18"/>
              </w:rPr>
              <w:t xml:space="preserve"> </w:t>
            </w:r>
            <w:r>
              <w:rPr>
                <w:rStyle w:val="VerbatimChar"/>
                <w:rFonts w:ascii="Arial" w:hAnsi="Arial"/>
                <w:sz w:val="16"/>
              </w:rPr>
              <w:t xml:space="preserve">Liu2024</w:t>
            </w:r>
          </w:p>
        </w:tc>
        <w:tc>
          <w:tcPr>
            <w:shd w:val="clear" w:color="auto" w:fill="EEF3F9"/>
          </w:tcPr>
          <w:p>
            <w:pPr>
              <w:pStyle w:val="Compact"/>
              <w:jc w:val="left"/>
            </w:pPr>
            <w:r>
              <w:rPr>
                <w:rFonts w:ascii="Arial" w:hAnsi="Arial"/>
                <w:sz w:val="18"/>
              </w:rPr>
              <w:t xml:space="preserve">2·1·2 (5, nach T1)</w:t>
            </w:r>
          </w:p>
        </w:tc>
        <w:tc>
          <w:tcPr>
            <w:shd w:val="clear" w:color="auto" w:fill="EEF3F9"/>
          </w:tcPr>
          <w:p>
            <w:pPr>
              <w:pStyle w:val="Compact"/>
              <w:jc w:val="left"/>
            </w:pPr>
            <w:r>
              <w:rPr>
                <w:rFonts w:ascii="Arial" w:hAnsi="Arial"/>
                <w:sz w:val="18"/>
              </w:rPr>
              <w:t xml:space="preserve">V</w:t>
            </w:r>
          </w:p>
        </w:tc>
      </w:tr>
    </w:tbl>
    <w:bookmarkEnd w:id="25"/>
    <w:bookmarkEnd w:id="26"/>
    <w:bookmarkStart w:id="30" w:name="einordnung-nach-den-regeln-der-arbeit"/>
    <w:p>
      <w:pPr>
        <w:pStyle w:val="Heading2"/>
      </w:pPr>
      <w:r>
        <w:rPr>
          <w:rFonts w:ascii="Arial" w:hAnsi="Arial"/>
        </w:rPr>
        <w:t xml:space="preserve">4 Einordnung nach den Regeln der Arbeit</w:t>
      </w:r>
    </w:p>
    <w:bookmarkStart w:id="27" w:name="X19afa03756b1a1bb451c5f265bbab74905dff62"/>
    <w:p>
      <w:pPr>
        <w:pStyle w:val="Heading3"/>
      </w:pPr>
      <w:r>
        <w:rPr>
          <w:rFonts w:ascii="Arial" w:hAnsi="Arial"/>
        </w:rPr>
        <w:t xml:space="preserve">4.1 Wie gut ist videobasiertes Training untersucht, wurde die Wirksamkeit untersucht?</w:t>
      </w:r>
    </w:p>
    <w:p>
      <w:pPr>
        <w:pStyle w:val="FirstParagraph"/>
      </w:pPr>
      <w:r>
        <w:rPr>
          <w:rFonts w:ascii="Arial" w:hAnsi="Arial"/>
        </w:rPr>
        <w:t xml:space="preserve">Als Wahrnehmungstraining gut, als Technikrückmeldung ordentlich, als Vermittlungsweg eines Trainingsprogramms kaum. Die Wirksamkeit videovermittelten Trainings wurde bei Sportlern in genau einer randomisierten Studie gegen eine Kontrolle ohne Programm geprüft, mit Sprint und Sprung als Zielgrößen (Klusemann et al., 2012). Die übrigen Vergleiche prüfen die Vermittlungsform desselben Programms gegeneinander (Lippi et al., 2025 · Dos Santos et al., 2025 · Veith et al., 2021 · Rogers et al., 2020) oder haben keine Kontrollgruppe. Kontrollierte Wirksamkeitsstudien zu Apps sind auch sportartübergreifend selten (Liu et al., 2026). Für ältere Erwachsene ist die Wirksamkeit videovermittelter Programme metaanalytisch belegt (Adliah et al., 2025), für Sportler nicht.</w:t>
      </w:r>
    </w:p>
    <w:bookmarkEnd w:id="27"/>
    <w:bookmarkStart w:id="28" w:name="Xd6415d31795899a2abf9e89149d59950ce2f1e5"/>
    <w:p>
      <w:pPr>
        <w:pStyle w:val="Heading3"/>
      </w:pPr>
      <w:r>
        <w:rPr>
          <w:rFonts w:ascii="Arial" w:hAnsi="Arial"/>
        </w:rPr>
        <w:t xml:space="preserve">4.2 Konvergenz und zulässige Formulierungsstärke (F17 § 6.4)</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cantSplit w:val="true"/>
        </w:trPr>
        <w:tc>
          <w:tcPr>
            <w:shd w:val="clear" w:color="auto" w:fill="D6E4F0"/>
          </w:tcPr>
          <w:p>
            <w:pPr>
              <w:pStyle w:val="Compact"/>
              <w:jc w:val="left"/>
            </w:pPr>
            <w:r>
              <w:rPr>
                <w:rFonts w:ascii="Arial" w:hAnsi="Arial"/>
                <w:b/>
                <w:sz w:val="18"/>
              </w:rPr>
              <w:t xml:space="preserve">Aussage</w:t>
            </w:r>
          </w:p>
        </w:tc>
        <w:tc>
          <w:tcPr>
            <w:shd w:val="clear" w:color="auto" w:fill="D6E4F0"/>
          </w:tcPr>
          <w:p>
            <w:pPr>
              <w:pStyle w:val="Compact"/>
              <w:jc w:val="left"/>
            </w:pPr>
            <w:r>
              <w:rPr>
                <w:rFonts w:ascii="Arial" w:hAnsi="Arial"/>
                <w:b/>
                <w:sz w:val="18"/>
              </w:rPr>
              <w:t xml:space="preserve">Quellen</w:t>
            </w:r>
          </w:p>
        </w:tc>
        <w:tc>
          <w:tcPr>
            <w:shd w:val="clear" w:color="auto" w:fill="D6E4F0"/>
          </w:tcPr>
          <w:p>
            <w:pPr>
              <w:pStyle w:val="Compact"/>
              <w:jc w:val="left"/>
            </w:pPr>
            <w:r>
              <w:rPr>
                <w:rFonts w:ascii="Arial" w:hAnsi="Arial"/>
                <w:b/>
                <w:sz w:val="18"/>
              </w:rPr>
              <w:t xml:space="preserve">Stufe nach § 6.4</w:t>
            </w:r>
          </w:p>
        </w:tc>
        <w:tc>
          <w:tcPr>
            <w:shd w:val="clear" w:color="auto" w:fill="D6E4F0"/>
          </w:tcPr>
          <w:p>
            <w:pPr>
              <w:pStyle w:val="Compact"/>
              <w:jc w:val="left"/>
            </w:pPr>
            <w:r>
              <w:rPr>
                <w:rFonts w:ascii="Arial" w:hAnsi="Arial"/>
                <w:b/>
                <w:sz w:val="18"/>
              </w:rPr>
              <w:t xml:space="preserve">Folge für eine Formulierung</w:t>
            </w:r>
          </w:p>
        </w:tc>
      </w:tr>
      <w:tr>
        <w:trPr>
          <w:cantSplit w:val="true"/>
        </w:trPr>
        <w:tc>
          <w:tcPr/>
          <w:p>
            <w:pPr>
              <w:pStyle w:val="Compact"/>
              <w:jc w:val="left"/>
            </w:pPr>
            <w:r>
              <w:rPr>
                <w:rFonts w:ascii="Arial" w:hAnsi="Arial"/>
                <w:sz w:val="18"/>
              </w:rPr>
              <w:t xml:space="preserve">Ein per Video vermitteltes Programm kann bei Nachwuchssportlern Sprint und Sprung gegenüber einer Kontrolle verbessern</w:t>
            </w:r>
          </w:p>
        </w:tc>
        <w:tc>
          <w:tcPr/>
          <w:p>
            <w:pPr>
              <w:pStyle w:val="Compact"/>
              <w:jc w:val="left"/>
            </w:pPr>
            <w:r>
              <w:rPr>
                <w:rFonts w:ascii="Arial" w:hAnsi="Arial"/>
                <w:sz w:val="18"/>
              </w:rPr>
              <w:t xml:space="preserve">Klusemann et al. (2012)</w:t>
            </w:r>
          </w:p>
        </w:tc>
        <w:tc>
          <w:tcPr/>
          <w:p>
            <w:pPr>
              <w:pStyle w:val="Compact"/>
              <w:jc w:val="left"/>
            </w:pPr>
            <w:r>
              <w:rPr>
                <w:rFonts w:ascii="Arial" w:hAnsi="Arial"/>
                <w:sz w:val="18"/>
              </w:rPr>
              <w:t xml:space="preserve">Einzelbefund, Distanz 3–4</w:t>
            </w:r>
          </w:p>
        </w:tc>
        <w:tc>
          <w:tcPr/>
          <w:p>
            <w:pPr>
              <w:pStyle w:val="Compact"/>
              <w:jc w:val="left"/>
            </w:pPr>
            <w:r>
              <w:rPr>
                <w:rFonts w:ascii="Arial" w:hAnsi="Arial"/>
                <w:sz w:val="18"/>
              </w:rPr>
              <w:t xml:space="preserve">Population und Dosis in den Satz, nur als Kontext</w:t>
            </w:r>
          </w:p>
        </w:tc>
      </w:tr>
      <w:tr>
        <w:trPr>
          <w:cantSplit w:val="true"/>
        </w:trPr>
        <w:tc>
          <w:tcPr>
            <w:shd w:val="clear" w:color="auto" w:fill="EEF3F9"/>
          </w:tcPr>
          <w:p>
            <w:pPr>
              <w:pStyle w:val="Compact"/>
              <w:jc w:val="left"/>
            </w:pPr>
            <w:r>
              <w:rPr>
                <w:rFonts w:ascii="Arial" w:hAnsi="Arial"/>
                <w:sz w:val="18"/>
              </w:rPr>
              <w:t xml:space="preserve">Bei Sprung, Sprint oder Agilität unterscheiden sich unbeaufsichtigte oder digitale und betreute Durchführung nicht</w:t>
            </w:r>
          </w:p>
        </w:tc>
        <w:tc>
          <w:tcPr>
            <w:shd w:val="clear" w:color="auto" w:fill="EEF3F9"/>
          </w:tcPr>
          <w:p>
            <w:pPr>
              <w:pStyle w:val="Compact"/>
              <w:jc w:val="left"/>
            </w:pPr>
            <w:r>
              <w:rPr>
                <w:rFonts w:ascii="Arial" w:hAnsi="Arial"/>
                <w:sz w:val="18"/>
              </w:rPr>
              <w:t xml:space="preserve">Klusemann et al. (2012) · Veith et al. (2021) · Lippi et al. (2025) · Haugen et al. (2015)</w:t>
            </w:r>
          </w:p>
        </w:tc>
        <w:tc>
          <w:tcPr>
            <w:shd w:val="clear" w:color="auto" w:fill="EEF3F9"/>
          </w:tcPr>
          <w:p>
            <w:pPr>
              <w:pStyle w:val="Compact"/>
              <w:jc w:val="left"/>
            </w:pPr>
            <w:r>
              <w:rPr>
                <w:rFonts w:ascii="Arial" w:hAnsi="Arial"/>
                <w:sz w:val="18"/>
              </w:rPr>
              <w:t xml:space="preserve">vier Primärstudien, kein Review, Distanz ≥ 3</w:t>
            </w:r>
          </w:p>
        </w:tc>
        <w:tc>
          <w:tcPr>
            <w:shd w:val="clear" w:color="auto" w:fill="EEF3F9"/>
          </w:tcPr>
          <w:p>
            <w:pPr>
              <w:pStyle w:val="Compact"/>
              <w:jc w:val="left"/>
            </w:pPr>
            <w:r>
              <w:rPr>
                <w:rFonts w:ascii="Arial" w:hAnsi="Arial"/>
                <w:sz w:val="18"/>
              </w:rPr>
              <w:t xml:space="preserve">nur Kontext, Quellenart und Population nennen</w:t>
            </w:r>
          </w:p>
        </w:tc>
      </w:tr>
      <w:tr>
        <w:trPr>
          <w:cantSplit w:val="true"/>
        </w:trPr>
        <w:tc>
          <w:tcPr/>
          <w:p>
            <w:pPr>
              <w:pStyle w:val="Compact"/>
              <w:jc w:val="left"/>
            </w:pPr>
            <w:r>
              <w:rPr>
                <w:rFonts w:ascii="Arial" w:hAnsi="Arial"/>
                <w:sz w:val="18"/>
              </w:rPr>
              <w:t xml:space="preserve">Aufsicht verbessert Umsetzung, Kraftzuwachs und Bewegungsqualität</w:t>
            </w:r>
          </w:p>
        </w:tc>
        <w:tc>
          <w:tcPr/>
          <w:p>
            <w:pPr>
              <w:pStyle w:val="Compact"/>
              <w:jc w:val="left"/>
            </w:pPr>
            <w:r>
              <w:rPr>
                <w:rFonts w:ascii="Arial" w:hAnsi="Arial"/>
                <w:sz w:val="18"/>
              </w:rPr>
              <w:t xml:space="preserve">Coutts et al. (2004) · Smart &amp; Gill (2013) · Klusemann et al. (2012) · Rogers et al. (2020)</w:t>
            </w:r>
          </w:p>
        </w:tc>
        <w:tc>
          <w:tcPr/>
          <w:p>
            <w:pPr>
              <w:pStyle w:val="Compact"/>
              <w:jc w:val="left"/>
            </w:pPr>
            <w:r>
              <w:rPr>
                <w:rFonts w:ascii="Arial" w:hAnsi="Arial"/>
                <w:sz w:val="18"/>
              </w:rPr>
              <w:t xml:space="preserve">vier Primärstudien, kein Review, Distanz ≥ 4</w:t>
            </w:r>
          </w:p>
        </w:tc>
        <w:tc>
          <w:tcPr/>
          <w:p>
            <w:pPr>
              <w:pStyle w:val="Compact"/>
              <w:jc w:val="left"/>
            </w:pPr>
            <w:r>
              <w:rPr>
                <w:rFonts w:ascii="Arial" w:hAnsi="Arial"/>
                <w:sz w:val="18"/>
              </w:rPr>
              <w:t xml:space="preserve">nur Kontext, Population nennen (Rugby, Basketball, Schulsport)</w:t>
            </w:r>
          </w:p>
        </w:tc>
      </w:tr>
      <w:tr>
        <w:trPr>
          <w:cantSplit w:val="true"/>
        </w:trPr>
        <w:tc>
          <w:tcPr>
            <w:shd w:val="clear" w:color="auto" w:fill="EEF3F9"/>
          </w:tcPr>
          <w:p>
            <w:pPr>
              <w:pStyle w:val="Compact"/>
              <w:jc w:val="left"/>
            </w:pPr>
            <w:r>
              <w:rPr>
                <w:rFonts w:ascii="Arial" w:hAnsi="Arial"/>
                <w:sz w:val="18"/>
              </w:rPr>
              <w:t xml:space="preserve">Heimtraining im Lockdown erhält die Leistung</w:t>
            </w:r>
          </w:p>
        </w:tc>
        <w:tc>
          <w:tcPr>
            <w:shd w:val="clear" w:color="auto" w:fill="EEF3F9"/>
          </w:tcPr>
          <w:p>
            <w:pPr>
              <w:pStyle w:val="Compact"/>
              <w:jc w:val="left"/>
            </w:pPr>
            <w:r>
              <w:rPr>
                <w:rFonts w:ascii="Arial" w:hAnsi="Arial"/>
                <w:sz w:val="18"/>
              </w:rPr>
              <w:t xml:space="preserve">Paludo et al. (2022) · Rosa et al. (2023) · Washif et al. (2025)</w:t>
            </w:r>
          </w:p>
        </w:tc>
        <w:tc>
          <w:tcPr>
            <w:shd w:val="clear" w:color="auto" w:fill="EEF3F9"/>
          </w:tcPr>
          <w:p>
            <w:pPr>
              <w:pStyle w:val="Compact"/>
              <w:jc w:val="left"/>
            </w:pPr>
            <w:r>
              <w:rPr>
                <w:rFonts w:ascii="Arial" w:hAnsi="Arial"/>
                <w:sz w:val="18"/>
              </w:rPr>
              <w:t xml:space="preserve">uneinheitlich</w:t>
            </w:r>
          </w:p>
        </w:tc>
        <w:tc>
          <w:tcPr>
            <w:shd w:val="clear" w:color="auto" w:fill="EEF3F9"/>
          </w:tcPr>
          <w:p>
            <w:pPr>
              <w:pStyle w:val="Compact"/>
              <w:jc w:val="left"/>
            </w:pPr>
            <w:r>
              <w:rPr>
                <w:rFonts w:ascii="Arial" w:hAnsi="Arial"/>
                <w:sz w:val="18"/>
              </w:rPr>
              <w:t xml:space="preserve">beide Seiten nennen</w:t>
            </w:r>
          </w:p>
        </w:tc>
      </w:tr>
      <w:tr>
        <w:trPr>
          <w:cantSplit w:val="true"/>
        </w:trPr>
        <w:tc>
          <w:tcPr/>
          <w:p>
            <w:pPr>
              <w:pStyle w:val="Compact"/>
              <w:jc w:val="left"/>
            </w:pPr>
            <w:r>
              <w:rPr>
                <w:rFonts w:ascii="Arial" w:hAnsi="Arial"/>
                <w:sz w:val="18"/>
              </w:rPr>
              <w:t xml:space="preserve">Ein unbeaufsichtigtes, videobasiertes plyometrisches Heimprogramm im Nachwuchsfußball ist kontrolliert geprüft</w:t>
            </w:r>
          </w:p>
        </w:tc>
        <w:tc>
          <w:tcPr/>
          <w:p>
            <w:pPr>
              <w:pStyle w:val="Compact"/>
              <w:jc w:val="left"/>
            </w:pPr>
            <w:r>
              <w:rPr>
                <w:rFonts w:ascii="Arial" w:hAnsi="Arial"/>
                <w:sz w:val="18"/>
              </w:rPr>
              <w:t xml:space="preserve">keine</w:t>
            </w:r>
          </w:p>
        </w:tc>
        <w:tc>
          <w:tcPr/>
          <w:p>
            <w:pPr>
              <w:pStyle w:val="Compact"/>
              <w:jc w:val="left"/>
            </w:pPr>
            <w:r>
              <w:rPr>
                <w:rFonts w:ascii="Arial" w:hAnsi="Arial"/>
                <w:sz w:val="18"/>
              </w:rPr>
              <w:t xml:space="preserve">nicht belegt</w:t>
            </w:r>
          </w:p>
        </w:tc>
        <w:tc>
          <w:tcPr/>
          <w:p>
            <w:pPr>
              <w:pStyle w:val="Compact"/>
              <w:jc w:val="left"/>
            </w:pPr>
            <w:r>
              <w:rPr>
                <w:rFonts w:ascii="Arial" w:hAnsi="Arial"/>
                <w:sz w:val="18"/>
              </w:rPr>
              <w:t xml:space="preserve">nicht schreiben</w:t>
            </w:r>
          </w:p>
        </w:tc>
      </w:tr>
    </w:tbl>
    <w:bookmarkEnd w:id="28"/>
    <w:bookmarkStart w:id="29" w:name="X1dc7c0afce73878023ab007ee35cd59e40e18ee"/>
    <w:p>
      <w:pPr>
        <w:pStyle w:val="Heading3"/>
      </w:pPr>
      <w:r>
        <w:rPr>
          <w:rFonts w:ascii="Arial" w:hAnsi="Arial"/>
        </w:rPr>
        <w:t xml:space="preserve">4.3 Gegenrecherche (unabhängiger Subagent, 16 PubMed-Strings, 14 Websuchen)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cantSplit w:val="true"/>
        </w:trPr>
        <w:tc>
          <w:tcPr>
            <w:shd w:val="clear" w:color="auto" w:fill="D6E4F0"/>
          </w:tcPr>
          <w:p>
            <w:pPr>
              <w:pStyle w:val="Compact"/>
              <w:jc w:val="left"/>
            </w:pPr>
            <w:r>
              <w:rPr>
                <w:rFonts w:ascii="Arial" w:hAnsi="Arial"/>
                <w:b/>
                <w:sz w:val="18"/>
              </w:rPr>
              <w:t xml:space="preserve">Aussage</w:t>
            </w:r>
          </w:p>
        </w:tc>
        <w:tc>
          <w:tcPr>
            <w:shd w:val="clear" w:color="auto" w:fill="D6E4F0"/>
          </w:tcPr>
          <w:p>
            <w:pPr>
              <w:pStyle w:val="Compact"/>
              <w:jc w:val="left"/>
            </w:pPr>
            <w:r>
              <w:rPr>
                <w:rFonts w:ascii="Arial" w:hAnsi="Arial"/>
                <w:b/>
                <w:sz w:val="18"/>
              </w:rPr>
              <w:t xml:space="preserve">Urteil</w:t>
            </w:r>
          </w:p>
        </w:tc>
        <w:tc>
          <w:tcPr>
            <w:shd w:val="clear" w:color="auto" w:fill="D6E4F0"/>
          </w:tcPr>
          <w:p>
            <w:pPr>
              <w:pStyle w:val="Compact"/>
              <w:jc w:val="left"/>
            </w:pPr>
            <w:r>
              <w:rPr>
                <w:rFonts w:ascii="Arial" w:hAnsi="Arial"/>
                <w:b/>
                <w:sz w:val="18"/>
              </w:rPr>
              <w:t xml:space="preserve">Grund</w:t>
            </w:r>
          </w:p>
        </w:tc>
      </w:tr>
      <w:tr>
        <w:trPr>
          <w:cantSplit w:val="true"/>
        </w:trPr>
        <w:tc>
          <w:tcPr/>
          <w:p>
            <w:pPr>
              <w:pStyle w:val="Compact"/>
              <w:jc w:val="left"/>
            </w:pPr>
            <w:r>
              <w:rPr>
                <w:rFonts w:ascii="Arial" w:hAnsi="Arial"/>
                <w:sz w:val="18"/>
              </w:rPr>
              <w:t xml:space="preserve">C1: Keine kontrollierte Studie prüft ein video- oder sonst unbeaufsichtigtes Heimprogramm mit Sprüngen im Nachwuchsfußball</w:t>
            </w:r>
          </w:p>
        </w:tc>
        <w:tc>
          <w:tcPr/>
          <w:p>
            <w:pPr>
              <w:pStyle w:val="Compact"/>
              <w:jc w:val="left"/>
            </w:pPr>
            <w:r>
              <w:rPr>
                <w:rFonts w:ascii="Arial" w:hAnsi="Arial"/>
                <w:sz w:val="18"/>
              </w:rPr>
              <w:t xml:space="preserve">im Wortlaut widerlegt, eng gefasst trägt sie</w:t>
            </w:r>
          </w:p>
        </w:tc>
        <w:tc>
          <w:tcPr/>
          <w:p>
            <w:pPr>
              <w:pStyle w:val="Compact"/>
              <w:jc w:val="left"/>
            </w:pPr>
            <w:r>
              <w:rPr>
                <w:rFonts w:ascii="Arial" w:hAnsi="Arial"/>
                <w:sz w:val="18"/>
              </w:rPr>
              <w:t xml:space="preserve">Veith et al. (2021) erfüllt den Wortlaut, Stanković et al. (2022) nach Angabe des Prüfers ebenfalls (Inhalt am Abstract nicht prüfbar). Ein überwiegend plyometrisches, videobasiertes Heimprogramm gegen eine Kontrolle ohne Programm fand auch der Prüfer nicht</w:t>
            </w:r>
          </w:p>
        </w:tc>
      </w:tr>
      <w:tr>
        <w:trPr>
          <w:cantSplit w:val="true"/>
        </w:trPr>
        <w:tc>
          <w:tcPr>
            <w:shd w:val="clear" w:color="auto" w:fill="EEF3F9"/>
          </w:tcPr>
          <w:p>
            <w:pPr>
              <w:pStyle w:val="Compact"/>
              <w:jc w:val="left"/>
            </w:pPr>
            <w:r>
              <w:rPr>
                <w:rFonts w:ascii="Arial" w:hAnsi="Arial"/>
                <w:sz w:val="18"/>
              </w:rPr>
              <w:t xml:space="preserve">C2: Klusemann et al. (2012) ist die einzige kontrollierte Studie mit Videovermittlung, Nachwuchssportlern, untrainierter Kontrolle und Sprint- oder Sprungzielgröße</w:t>
            </w:r>
          </w:p>
        </w:tc>
        <w:tc>
          <w:tcPr>
            <w:shd w:val="clear" w:color="auto" w:fill="EEF3F9"/>
          </w:tcPr>
          <w:p>
            <w:pPr>
              <w:pStyle w:val="Compact"/>
              <w:jc w:val="left"/>
            </w:pPr>
            <w:r>
              <w:rPr>
                <w:rFonts w:ascii="Arial" w:hAnsi="Arial"/>
                <w:sz w:val="18"/>
              </w:rPr>
              <w:t xml:space="preserve">trägt als „einzige gefundene“</w:t>
            </w:r>
          </w:p>
        </w:tc>
        <w:tc>
          <w:tcPr>
            <w:shd w:val="clear" w:color="auto" w:fill="EEF3F9"/>
          </w:tcPr>
          <w:p>
            <w:pPr>
              <w:pStyle w:val="Compact"/>
              <w:jc w:val="left"/>
            </w:pPr>
            <w:r>
              <w:rPr>
                <w:rFonts w:ascii="Arial" w:hAnsi="Arial"/>
                <w:sz w:val="18"/>
              </w:rPr>
              <w:t xml:space="preserve">kein Gegenbeispiel in PubMed, nicht indexierte Zeitschriften kaum abgedeckt</w:t>
            </w:r>
          </w:p>
        </w:tc>
      </w:tr>
      <w:tr>
        <w:trPr>
          <w:cantSplit w:val="true"/>
        </w:trPr>
        <w:tc>
          <w:tcPr/>
          <w:p>
            <w:pPr>
              <w:pStyle w:val="Compact"/>
              <w:jc w:val="left"/>
            </w:pPr>
            <w:r>
              <w:rPr>
                <w:rFonts w:ascii="Arial" w:hAnsi="Arial"/>
                <w:sz w:val="18"/>
              </w:rPr>
              <w:t xml:space="preserve">C3: Keine SR/MA zur Wirksamkeit videovermittelten Konditionstrainings bei Sportlern</w:t>
            </w:r>
          </w:p>
        </w:tc>
        <w:tc>
          <w:tcPr/>
          <w:p>
            <w:pPr>
              <w:pStyle w:val="Compact"/>
              <w:jc w:val="left"/>
            </w:pPr>
            <w:r>
              <w:rPr>
                <w:rFonts w:ascii="Arial" w:hAnsi="Arial"/>
                <w:sz w:val="18"/>
              </w:rPr>
              <w:t xml:space="preserve">trägt</w:t>
            </w:r>
          </w:p>
        </w:tc>
        <w:tc>
          <w:tcPr/>
          <w:p>
            <w:pPr>
              <w:pStyle w:val="Compact"/>
              <w:jc w:val="left"/>
            </w:pPr>
            <w:r>
              <w:rPr>
                <w:rFonts w:ascii="Arial" w:hAnsi="Arial"/>
                <w:sz w:val="18"/>
              </w:rPr>
              <w:t xml:space="preserve">nächste: Scoping-Review zu Apps (Liu et al., 2026), Reviews zum Lockdown, SR/MA für ältere Erwachsene</w:t>
            </w:r>
          </w:p>
        </w:tc>
      </w:tr>
      <w:tr>
        <w:trPr>
          <w:cantSplit w:val="true"/>
        </w:trPr>
        <w:tc>
          <w:tcPr>
            <w:shd w:val="clear" w:color="auto" w:fill="EEF3F9"/>
          </w:tcPr>
          <w:p>
            <w:pPr>
              <w:pStyle w:val="Compact"/>
              <w:jc w:val="left"/>
            </w:pPr>
            <w:r>
              <w:rPr>
                <w:rFonts w:ascii="Arial" w:hAnsi="Arial"/>
                <w:sz w:val="18"/>
              </w:rPr>
              <w:t xml:space="preserve">C4: Keine Metaanalyse zur Plyometrie wertet Aufsicht oder Vermittlungsweg aus</w:t>
            </w:r>
          </w:p>
        </w:tc>
        <w:tc>
          <w:tcPr>
            <w:shd w:val="clear" w:color="auto" w:fill="EEF3F9"/>
          </w:tcPr>
          <w:p>
            <w:pPr>
              <w:pStyle w:val="Compact"/>
              <w:jc w:val="left"/>
            </w:pPr>
            <w:r>
              <w:rPr>
                <w:rFonts w:ascii="Arial" w:hAnsi="Arial"/>
                <w:sz w:val="18"/>
              </w:rPr>
              <w:t xml:space="preserve">trägt auf Abstract-Ebene</w:t>
            </w:r>
          </w:p>
        </w:tc>
        <w:tc>
          <w:tcPr>
            <w:shd w:val="clear" w:color="auto" w:fill="EEF3F9"/>
          </w:tcPr>
          <w:p>
            <w:pPr>
              <w:pStyle w:val="Compact"/>
              <w:jc w:val="left"/>
            </w:pPr>
            <w:r>
              <w:rPr>
                <w:rFonts w:ascii="Arial" w:hAnsi="Arial"/>
                <w:sz w:val="18"/>
              </w:rPr>
              <w:t xml:space="preserve">25 Metaanalysen von 2020 bis 2026 gesichtet, Moderatoren nur Alter, Reife, Geschlecht, Sportart, Dauer, Frequenz, Einheiten, Kontakte</w:t>
            </w:r>
          </w:p>
        </w:tc>
      </w:tr>
    </w:tbl>
    <w:p>
      <w:pPr>
        <w:pStyle w:val="BodyText"/>
      </w:pPr>
      <w:r>
        <w:rPr>
          <w:rFonts w:ascii="Arial" w:hAnsi="Arial"/>
        </w:rPr>
        <w:t xml:space="preserve">Beifunde des Prüfers: Nakamura et al. (2012) widerspricht der uneingeschränkten Formel zu Liu et al. (2024). Die Autorenreihenfolge von Dos Santos et al. (2025) ist eine Zitierfalle: Byline und MDPI-Zitierform nennen Andréa Kwapisz Dos Santos zuerst, das Meta-Tag der Verlagsseite nur Francisco García-Muro San José (Letztautor). Suchmaschinen führen die Arbeit deshalb unter ihm. Eine nicht prüfbare U20-Studie zum Onlinetraining im Lockdown (doi 10.1097/IPC.0000000000001420) bleibt offen.</w:t>
      </w:r>
    </w:p>
    <w:bookmarkEnd w:id="29"/>
    <w:bookmarkEnd w:id="30"/>
    <w:bookmarkStart w:id="31" w:name="folgen-für-die-arbeit"/>
    <w:p>
      <w:pPr>
        <w:pStyle w:val="Heading2"/>
      </w:pPr>
      <w:r>
        <w:rPr>
          <w:rFonts w:ascii="Arial" w:hAnsi="Arial"/>
        </w:rPr>
        <w:t xml:space="preserve">5 Folgen für die Arbeit</w:t>
      </w:r>
    </w:p>
    <w:p>
      <w:pPr>
        <w:numPr>
          <w:ilvl w:val="0"/>
          <w:numId w:val="1002"/>
        </w:numPr>
        <w:pStyle w:val="Compact"/>
      </w:pPr>
      <w:r>
        <w:rPr>
          <w:bCs/>
          <w:rFonts w:ascii="Arial" w:hAnsi="Arial"/>
          <w:b/>
        </w:rPr>
        <w:t xml:space="preserve">Einleitung, Schlussfassung</w:t>
      </w:r>
      <w:r>
        <w:rPr>
          <w:rFonts w:ascii="Arial" w:hAnsi="Arial"/>
        </w:rPr>
        <w:t xml:space="preserve"> </w:t>
      </w:r>
      <w:r>
        <w:rPr>
          <w:rFonts w:ascii="Arial" w:hAnsi="Arial"/>
        </w:rPr>
        <w:t xml:space="preserve">[PRÜFEN]: Prüfstoff für Punkt (b) des Prüfkatalogs (Lücke gegen Stärken und Limitationen, Rev. 134). Die Lücke bleibt bei der Kenntnisstandformel „in kontrollierten Studien unzureichend untersucht“ (B4 S7 im freigegebenen Wortlaut, Textvorschlag Überarbeitung § 5.1, im Textstand T S6), die Prämisse „in den Metaanalysen eingeschränkt abgebildet“ (B4 S6) trägt ebenfalls. „Fehlen“ oder „liegen keine … vor“ nicht schreiben. Liu et al. (2024) steht im freigegebenen Wortlaut nicht, die Formel „einzige“ betrifft nur die Steuerdokumente (Nr. 2). Kein neuer Satz nötig. B2 S7 („Da Trainingsvideos diese Belastungsgrößen vorgeben können …“) ist eine eigene Folgerung ohne Beleg. Soll er einen bekommen, trüge ihn Klusemann et al. (2012) nur mit Population im Satz (Distanz 3–4). Sonst gehören Klusemann et al. (2012) und Veith et al. (2021) wegen der Distanz ≥ 3 nicht in die Einleitung.</w:t>
      </w:r>
    </w:p>
    <w:p>
      <w:pPr>
        <w:numPr>
          <w:ilvl w:val="0"/>
          <w:numId w:val="1002"/>
        </w:numPr>
        <w:pStyle w:val="Compact"/>
      </w:pPr>
      <w:r>
        <w:rPr>
          <w:bCs/>
          <w:rFonts w:ascii="Arial" w:hAnsi="Arial"/>
          <w:b/>
        </w:rPr>
        <w:t xml:space="preserve">Steuerdokumente, Fassung 18 (G37)</w:t>
      </w:r>
      <w:r>
        <w:rPr>
          <w:rFonts w:ascii="Arial" w:hAnsi="Arial"/>
        </w:rPr>
        <w:t xml:space="preserve"> </w:t>
      </w:r>
      <w:r>
        <w:rPr>
          <w:rFonts w:ascii="Arial" w:hAnsi="Arial"/>
        </w:rPr>
        <w:t xml:space="preserve">[ÄNDERN]: F17 § 6.5, Korpuslücke: „Keine erfasste Interventionsstudie war unbeaufsichtigt, videobasiert oder gerätefrei“ gilt für den Vergleichskorpus und bleibt so, mit dem Zusatz, dass außerhalb des Korpus vereinzelte, populationsferne Studien existieren (dieser Befund, § 3). „Liu et al. (2024) bleibt die einzige kontrollierte Studie mit plyometrischem Arm in der Übergangsperiode“ wird eingeschränkt, etwa „die einzige gefundene im Nachwuchsfußball“ (Nakamura et al., 2012, Alter am Volltext prüfen). Die Lückenformel „fehlen“ in § 5a Zug 7 und Berichtsraster Rev. 3 Zeile 1.3 an „unzureichend untersucht“ angleichen, Vorspann D nennt die Lücke ohne „fehlen“ und bleibt.</w:t>
      </w:r>
    </w:p>
    <w:p>
      <w:pPr>
        <w:numPr>
          <w:ilvl w:val="0"/>
          <w:numId w:val="1002"/>
        </w:numPr>
        <w:pStyle w:val="Compact"/>
      </w:pPr>
      <w:r>
        <w:rPr>
          <w:bCs/>
          <w:rFonts w:ascii="Arial" w:hAnsi="Arial"/>
          <w:b/>
        </w:rPr>
        <w:t xml:space="preserve">Task 12a, 6.1 Einordnung</w:t>
      </w:r>
      <w:r>
        <w:rPr>
          <w:rFonts w:ascii="Arial" w:hAnsi="Arial"/>
        </w:rPr>
        <w:t xml:space="preserve"> </w:t>
      </w:r>
      <w:r>
        <w:rPr>
          <w:rFonts w:ascii="Arial" w:hAnsi="Arial"/>
        </w:rPr>
        <w:t xml:space="preserve">[DISKUTIEREN]: Die Umsetzungsrate (K-10.5) lässt sich gegen Werte anderer unbeaufsichtigter digitaler Programme stellen, nur als Spanne, weil die Definitionen abweichen: Onlineeinheiten bei Schulathleten 12 % gegen 60 % Präsenz (Rogers et al., 2020) · App-Heimprogramm bei Handballern rund 50 % (Dos Santos et al., 2025) · App-Programm bei aktiven Erwachsenen 57 % (Magliato et al., 2024) · App oder Broschüre 73 bis 77 % (Van Reijen et al., 2016) · 11+ zu Hause in einer Akademie 2,8 von 3 Einheiten je Woche nach Selbstauskunft (Veith et al., 2021). Klusemann et al. (2012) ist der einzige gefundene kontrollierte Präzedenzfall, in dem ein Videoprogramm ähnlich wirkte wie ein betreutes. Ob die Umsetzung dort höher lag, zeigt erst der Volltext. Falls ja, stützt der Vergleich die Verdünnungslogik (F17 § 11.7).</w:t>
      </w:r>
    </w:p>
    <w:p>
      <w:pPr>
        <w:numPr>
          <w:ilvl w:val="0"/>
          <w:numId w:val="1002"/>
        </w:numPr>
        <w:pStyle w:val="Compact"/>
      </w:pPr>
      <w:r>
        <w:rPr>
          <w:bCs/>
          <w:rFonts w:ascii="Arial" w:hAnsi="Arial"/>
          <w:b/>
        </w:rPr>
        <w:t xml:space="preserve">Task 12b, 6.2 und 6.3</w:t>
      </w:r>
      <w:r>
        <w:rPr>
          <w:rFonts w:ascii="Arial" w:hAnsi="Arial"/>
        </w:rPr>
        <w:t xml:space="preserve"> </w:t>
      </w:r>
      <w:r>
        <w:rPr>
          <w:rFonts w:ascii="Arial" w:hAnsi="Arial"/>
        </w:rPr>
        <w:t xml:space="preserve">[DISKUTIEREN]: G3 (Umsetzung, Aufsicht): Aufsicht verbesserte in Nachwuchsstudien Umsetzung und Kraftzuwachs (Coutts et al., 2004 · Smart &amp; Gill, 2013, beide Rugby), bei Sprung und Sprint berichten die Vergleiche keinen Unterschied. Die Videos der Arbeit zeigen ein Vorbild ohne individuelle Rückmeldung. Das Expertenvideo allein vergrößerte die Kniebeugung bei der Landung in einer Laborstudie nicht stärker als keine Rückmeldung (Oñate et al., 2005). Die Technikqualität zu Hause ist damit nicht gesichert. G8 (Übertragbarkeit): Die nächsten Heimstudien liefen in der Saison, in Akademien oder mit Erwachsenen.</w:t>
      </w:r>
    </w:p>
    <w:p>
      <w:pPr>
        <w:numPr>
          <w:ilvl w:val="0"/>
          <w:numId w:val="1002"/>
        </w:numPr>
        <w:pStyle w:val="Compact"/>
      </w:pPr>
      <w:r>
        <w:rPr>
          <w:bCs/>
          <w:rFonts w:ascii="Arial" w:hAnsi="Arial"/>
          <w:b/>
        </w:rPr>
        <w:t xml:space="preserve">Task 13b, Abstract und Schlüsselwörter</w:t>
      </w:r>
      <w:r>
        <w:rPr>
          <w:rFonts w:ascii="Arial" w:hAnsi="Arial"/>
        </w:rPr>
        <w:t xml:space="preserve"> </w:t>
      </w:r>
      <w:r>
        <w:rPr>
          <w:rFonts w:ascii="Arial" w:hAnsi="Arial"/>
        </w:rPr>
        <w:t xml:space="preserve">[ÄNDERN]: Im englischen Abstract „video-guided“ oder „video-delivered home training“ statt „video-based training“, weil der englische Begriff überwiegend Wahrnehmungstraining bezeichnet (Zhao et al., 2022 · Nimmerichter et al., 2015). Im deutschen Text bleibt „videobasiert“ (Ankersatz entschieden, F17 § 13 Nr. 37). Damit ist die Vormerkung „einheitlicher Begriff videogeführt, videogestützt, videobasiert“ (Textvorschlag 4.5 § 7, Task 18) begründet: deutsch einheitlich „videobasiert“, englisch „video-guided“.</w:t>
      </w:r>
    </w:p>
    <w:p>
      <w:pPr>
        <w:numPr>
          <w:ilvl w:val="0"/>
          <w:numId w:val="1002"/>
        </w:numPr>
        <w:pStyle w:val="Compact"/>
      </w:pPr>
      <w:r>
        <w:rPr>
          <w:bCs/>
          <w:rFonts w:ascii="Arial" w:hAnsi="Arial"/>
          <w:b/>
        </w:rPr>
        <w:t xml:space="preserve">Beschaffung (H13):</w:t>
      </w:r>
      <w:r>
        <w:rPr>
          <w:rFonts w:ascii="Arial" w:hAnsi="Arial"/>
        </w:rPr>
        <w:t xml:space="preserve"> </w:t>
      </w:r>
      <w:r>
        <w:rPr>
          <w:rFonts w:ascii="Arial" w:hAnsi="Arial"/>
        </w:rPr>
        <w:t xml:space="preserve">§ 6. Vor jeder Zitation T1-Steckbrief und T4-Prüfung, MDPI kennzeichnen.</w:t>
      </w:r>
    </w:p>
    <w:bookmarkEnd w:id="31"/>
    <w:bookmarkStart w:id="32" w:name="beschaffung"/>
    <w:p>
      <w:pPr>
        <w:pStyle w:val="Heading2"/>
      </w:pPr>
      <w:r>
        <w:rPr>
          <w:rFonts w:ascii="Arial" w:hAnsi="Arial"/>
        </w:rPr>
        <w:t xml:space="preserve">6 Beschaffung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cantSplit w:val="true"/>
        </w:trPr>
        <w:tc>
          <w:tcPr>
            <w:shd w:val="clear" w:color="auto" w:fill="D6E4F0"/>
          </w:tcPr>
          <w:p>
            <w:pPr>
              <w:pStyle w:val="Compact"/>
              <w:jc w:val="left"/>
            </w:pPr>
            <w:r>
              <w:rPr>
                <w:rFonts w:ascii="Arial" w:hAnsi="Arial"/>
                <w:b/>
                <w:sz w:val="18"/>
              </w:rPr>
              <w:t xml:space="preserve">Priorität</w:t>
            </w:r>
          </w:p>
        </w:tc>
        <w:tc>
          <w:tcPr>
            <w:shd w:val="clear" w:color="auto" w:fill="D6E4F0"/>
          </w:tcPr>
          <w:p>
            <w:pPr>
              <w:pStyle w:val="Compact"/>
              <w:jc w:val="left"/>
            </w:pPr>
            <w:r>
              <w:rPr>
                <w:rFonts w:ascii="Arial" w:hAnsi="Arial"/>
                <w:b/>
                <w:sz w:val="18"/>
              </w:rPr>
              <w:t xml:space="preserve">Quelle</w:t>
            </w:r>
          </w:p>
        </w:tc>
        <w:tc>
          <w:tcPr>
            <w:shd w:val="clear" w:color="auto" w:fill="D6E4F0"/>
          </w:tcPr>
          <w:p>
            <w:pPr>
              <w:pStyle w:val="Compact"/>
              <w:jc w:val="left"/>
            </w:pPr>
            <w:r>
              <w:rPr>
                <w:rFonts w:ascii="Arial" w:hAnsi="Arial"/>
                <w:b/>
                <w:sz w:val="18"/>
              </w:rPr>
              <w:t xml:space="preserve">Zugang</w:t>
            </w:r>
          </w:p>
        </w:tc>
        <w:tc>
          <w:tcPr>
            <w:shd w:val="clear" w:color="auto" w:fill="D6E4F0"/>
          </w:tcPr>
          <w:p>
            <w:pPr>
              <w:pStyle w:val="Compact"/>
              <w:jc w:val="left"/>
            </w:pPr>
            <w:r>
              <w:rPr>
                <w:rFonts w:ascii="Arial" w:hAnsi="Arial"/>
                <w:b/>
                <w:sz w:val="18"/>
              </w:rPr>
              <w:t xml:space="preserve">wofür</w:t>
            </w:r>
          </w:p>
        </w:tc>
      </w:tr>
      <w:tr>
        <w:trPr>
          <w:cantSplit w:val="true"/>
        </w:trPr>
        <w:tc>
          <w:tcPr/>
          <w:p>
            <w:pPr>
              <w:pStyle w:val="Compact"/>
              <w:jc w:val="left"/>
            </w:pPr>
            <w:r>
              <w:rPr>
                <w:rFonts w:ascii="Arial" w:hAnsi="Arial"/>
                <w:sz w:val="18"/>
              </w:rPr>
              <w:t xml:space="preserve">1</w:t>
            </w:r>
          </w:p>
        </w:tc>
        <w:tc>
          <w:tcPr/>
          <w:p>
            <w:pPr>
              <w:pStyle w:val="Compact"/>
              <w:jc w:val="left"/>
            </w:pPr>
            <w:r>
              <w:rPr>
                <w:rFonts w:ascii="Arial" w:hAnsi="Arial"/>
                <w:sz w:val="18"/>
              </w:rPr>
              <w:t xml:space="preserve">Klusemann et al. (2012), JSCR, doi 10.1519/JSC.0b013e318241b021</w:t>
            </w:r>
          </w:p>
        </w:tc>
        <w:tc>
          <w:tcPr/>
          <w:p>
            <w:pPr>
              <w:pStyle w:val="Compact"/>
              <w:jc w:val="left"/>
            </w:pPr>
            <w:r>
              <w:rPr>
                <w:rFonts w:ascii="Arial" w:hAnsi="Arial"/>
                <w:sz w:val="18"/>
              </w:rPr>
              <w:t xml:space="preserve">DSHS-Bibliothek. Einreichungsfassung bei figshare gelistet (Artikel 20884402), hier nicht abrufbar</w:t>
            </w:r>
          </w:p>
        </w:tc>
        <w:tc>
          <w:tcPr/>
          <w:p>
            <w:pPr>
              <w:pStyle w:val="Compact"/>
              <w:jc w:val="left"/>
            </w:pPr>
            <w:r>
              <w:rPr>
                <w:rFonts w:ascii="Arial" w:hAnsi="Arial"/>
                <w:sz w:val="18"/>
              </w:rPr>
              <w:t xml:space="preserve">6.1, 6.3</w:t>
            </w:r>
          </w:p>
        </w:tc>
      </w:tr>
      <w:tr>
        <w:trPr>
          <w:cantSplit w:val="true"/>
        </w:trPr>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Veith et al. (2021), Sci Med Footb, doi 10.1080/24733938.2021.1874616</w:t>
            </w:r>
          </w:p>
        </w:tc>
        <w:tc>
          <w:tcPr>
            <w:shd w:val="clear" w:color="auto" w:fill="EEF3F9"/>
          </w:tcPr>
          <w:p>
            <w:pPr>
              <w:pStyle w:val="Compact"/>
              <w:jc w:val="left"/>
            </w:pPr>
            <w:r>
              <w:rPr>
                <w:rFonts w:ascii="Arial" w:hAnsi="Arial"/>
                <w:sz w:val="18"/>
              </w:rPr>
              <w:t xml:space="preserve">Verlagsfassung DSHS. Einreichungsfassung frei: researchportal.bath.ac.uk/files/217532874/SV_Final_manuscript_30Dec20.pdf</w:t>
            </w:r>
          </w:p>
        </w:tc>
        <w:tc>
          <w:tcPr>
            <w:shd w:val="clear" w:color="auto" w:fill="EEF3F9"/>
          </w:tcPr>
          <w:p>
            <w:pPr>
              <w:pStyle w:val="Compact"/>
              <w:jc w:val="left"/>
            </w:pPr>
            <w:r>
              <w:rPr>
                <w:rFonts w:ascii="Arial" w:hAnsi="Arial"/>
                <w:sz w:val="18"/>
              </w:rPr>
              <w:t xml:space="preserve">6.1, 6.3</w:t>
            </w:r>
          </w:p>
        </w:tc>
      </w:tr>
      <w:tr>
        <w:trPr>
          <w:cantSplit w:val="true"/>
        </w:trPr>
        <w:tc>
          <w:tcPr/>
          <w:p>
            <w:pPr>
              <w:pStyle w:val="Compact"/>
              <w:jc w:val="left"/>
            </w:pPr>
            <w:r>
              <w:rPr>
                <w:rFonts w:ascii="Arial" w:hAnsi="Arial"/>
                <w:sz w:val="18"/>
              </w:rPr>
              <w:t xml:space="preserve">1</w:t>
            </w:r>
          </w:p>
        </w:tc>
        <w:tc>
          <w:tcPr/>
          <w:p>
            <w:pPr>
              <w:pStyle w:val="Compact"/>
              <w:jc w:val="left"/>
            </w:pPr>
            <w:r>
              <w:rPr>
                <w:rFonts w:ascii="Arial" w:hAnsi="Arial"/>
                <w:sz w:val="18"/>
              </w:rPr>
              <w:t xml:space="preserve">Dos Santos et al. (2025), Appl Sci, doi 10.3390/app152413108</w:t>
            </w:r>
          </w:p>
        </w:tc>
        <w:tc>
          <w:tcPr/>
          <w:p>
            <w:pPr>
              <w:pStyle w:val="Compact"/>
              <w:jc w:val="left"/>
            </w:pPr>
            <w:r>
              <w:rPr>
                <w:rFonts w:ascii="Arial" w:hAnsi="Arial"/>
                <w:sz w:val="18"/>
              </w:rPr>
              <w:t xml:space="preserve">frei (MDPI)</w:t>
            </w:r>
          </w:p>
        </w:tc>
        <w:tc>
          <w:tcPr/>
          <w:p>
            <w:pPr>
              <w:pStyle w:val="Compact"/>
              <w:jc w:val="left"/>
            </w:pPr>
            <w:r>
              <w:rPr>
                <w:rFonts w:ascii="Arial" w:hAnsi="Arial"/>
                <w:sz w:val="18"/>
              </w:rPr>
              <w:t xml:space="preserve">6.1, 6.3</w:t>
            </w:r>
          </w:p>
        </w:tc>
      </w:tr>
      <w:tr>
        <w:trPr>
          <w:cantSplit w:val="true"/>
        </w:trP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Nakamura et al. (2012), JSCR, doi 10.1519/JSC.0b013e3182474356</w:t>
            </w:r>
          </w:p>
        </w:tc>
        <w:tc>
          <w:tcPr>
            <w:shd w:val="clear" w:color="auto" w:fill="EEF3F9"/>
          </w:tcPr>
          <w:p>
            <w:pPr>
              <w:pStyle w:val="Compact"/>
              <w:jc w:val="left"/>
            </w:pPr>
            <w:r>
              <w:rPr>
                <w:rFonts w:ascii="Arial" w:hAnsi="Arial"/>
                <w:sz w:val="18"/>
              </w:rPr>
              <w:t xml:space="preserve">DSHS, steht schon in H12 Stufe 2</w:t>
            </w:r>
          </w:p>
        </w:tc>
        <w:tc>
          <w:tcPr>
            <w:shd w:val="clear" w:color="auto" w:fill="EEF3F9"/>
          </w:tcPr>
          <w:p>
            <w:pPr>
              <w:pStyle w:val="Compact"/>
              <w:jc w:val="left"/>
            </w:pPr>
            <w:r>
              <w:rPr>
                <w:rFonts w:ascii="Arial" w:hAnsi="Arial"/>
                <w:sz w:val="18"/>
              </w:rPr>
              <w:t xml:space="preserve">F18 § 6.5, 6.1</w:t>
            </w:r>
          </w:p>
        </w:tc>
      </w:tr>
      <w:tr>
        <w:trPr>
          <w:cantSplit w:val="true"/>
        </w:trPr>
        <w:tc>
          <w:tcPr/>
          <w:p>
            <w:pPr>
              <w:pStyle w:val="Compact"/>
              <w:jc w:val="left"/>
            </w:pPr>
            <w:r>
              <w:rPr>
                <w:rFonts w:ascii="Arial" w:hAnsi="Arial"/>
                <w:sz w:val="18"/>
              </w:rPr>
              <w:t xml:space="preserve">2</w:t>
            </w:r>
          </w:p>
        </w:tc>
        <w:tc>
          <w:tcPr/>
          <w:p>
            <w:pPr>
              <w:pStyle w:val="Compact"/>
              <w:jc w:val="left"/>
            </w:pPr>
            <w:r>
              <w:rPr>
                <w:rFonts w:ascii="Arial" w:hAnsi="Arial"/>
                <w:sz w:val="18"/>
              </w:rPr>
              <w:t xml:space="preserve">Smart &amp; Gill (2013), JSCR, doi 10.1519/JSC.0b013e31825d99b0 · Coutts et al. (2004), JSCR, doi 10.1519/R-12972.1</w:t>
            </w:r>
          </w:p>
        </w:tc>
        <w:tc>
          <w:tcPr/>
          <w:p>
            <w:pPr>
              <w:pStyle w:val="Compact"/>
              <w:jc w:val="left"/>
            </w:pPr>
            <w:r>
              <w:rPr>
                <w:rFonts w:ascii="Arial" w:hAnsi="Arial"/>
                <w:sz w:val="18"/>
              </w:rPr>
              <w:t xml:space="preserve">DSHS</w:t>
            </w:r>
          </w:p>
        </w:tc>
        <w:tc>
          <w:tcPr/>
          <w:p>
            <w:pPr>
              <w:pStyle w:val="Compact"/>
              <w:jc w:val="left"/>
            </w:pPr>
            <w:r>
              <w:rPr>
                <w:rFonts w:ascii="Arial" w:hAnsi="Arial"/>
                <w:sz w:val="18"/>
              </w:rPr>
              <w:t xml:space="preserve">6.3 G3</w:t>
            </w:r>
          </w:p>
        </w:tc>
      </w:tr>
      <w:tr>
        <w:trPr>
          <w:cantSplit w:val="true"/>
        </w:trPr>
        <w:tc>
          <w:tcPr>
            <w:shd w:val="clear" w:color="auto" w:fill="EEF3F9"/>
          </w:tcPr>
          <w:p>
            <w:pPr>
              <w:pStyle w:val="Compact"/>
              <w:jc w:val="left"/>
            </w:pPr>
            <w:r>
              <w:rPr>
                <w:rFonts w:ascii="Arial" w:hAnsi="Arial"/>
                <w:sz w:val="18"/>
              </w:rPr>
              <w:t xml:space="preserve">3</w:t>
            </w:r>
          </w:p>
        </w:tc>
        <w:tc>
          <w:tcPr>
            <w:shd w:val="clear" w:color="auto" w:fill="EEF3F9"/>
          </w:tcPr>
          <w:p>
            <w:pPr>
              <w:pStyle w:val="Compact"/>
              <w:jc w:val="left"/>
            </w:pPr>
            <w:r>
              <w:rPr>
                <w:rFonts w:ascii="Arial" w:hAnsi="Arial"/>
                <w:sz w:val="18"/>
              </w:rPr>
              <w:t xml:space="preserve">Lippi et al. (2025), doi 10.1177/10538127251400147 · Dauty et al. (2021), doi 10.23736/S0022-4707.20.11669-4</w:t>
            </w:r>
          </w:p>
        </w:tc>
        <w:tc>
          <w:tcPr>
            <w:shd w:val="clear" w:color="auto" w:fill="EEF3F9"/>
          </w:tcPr>
          <w:p>
            <w:pPr>
              <w:pStyle w:val="Compact"/>
              <w:jc w:val="left"/>
            </w:pPr>
            <w:r>
              <w:rPr>
                <w:rFonts w:ascii="Arial" w:hAnsi="Arial"/>
                <w:sz w:val="18"/>
              </w:rPr>
              <w:t xml:space="preserve">DSHS, beide geschlossen</w:t>
            </w:r>
          </w:p>
        </w:tc>
        <w:tc>
          <w:tcPr>
            <w:shd w:val="clear" w:color="auto" w:fill="EEF3F9"/>
          </w:tcPr>
          <w:p>
            <w:pPr>
              <w:pStyle w:val="Compact"/>
              <w:jc w:val="left"/>
            </w:pPr>
            <w:r>
              <w:rPr>
                <w:rFonts w:ascii="Arial" w:hAnsi="Arial"/>
                <w:sz w:val="18"/>
              </w:rPr>
              <w:t xml:space="preserve">6.1 nur bei Bedarf</w:t>
            </w:r>
          </w:p>
        </w:tc>
      </w:tr>
      <w:tr>
        <w:trPr>
          <w:cantSplit w:val="true"/>
        </w:trPr>
        <w:tc>
          <w:tcPr/>
          <w:p>
            <w:pPr>
              <w:pStyle w:val="Compact"/>
              <w:jc w:val="left"/>
            </w:pPr>
            <w:r>
              <w:rPr>
                <w:rFonts w:ascii="Arial" w:hAnsi="Arial"/>
                <w:sz w:val="18"/>
              </w:rPr>
              <w:t xml:space="preserve">3</w:t>
            </w:r>
          </w:p>
        </w:tc>
        <w:tc>
          <w:tcPr/>
          <w:p>
            <w:pPr>
              <w:pStyle w:val="Compact"/>
              <w:jc w:val="left"/>
            </w:pPr>
            <w:r>
              <w:rPr>
                <w:rFonts w:ascii="Arial" w:hAnsi="Arial"/>
                <w:sz w:val="18"/>
              </w:rPr>
              <w:t xml:space="preserve">Stanković et al. (2022), doi 10.31083/j.jomh1806134</w:t>
            </w:r>
          </w:p>
        </w:tc>
        <w:tc>
          <w:tcPr/>
          <w:p>
            <w:pPr>
              <w:pStyle w:val="Compact"/>
              <w:jc w:val="left"/>
            </w:pPr>
            <w:r>
              <w:rPr>
                <w:rFonts w:ascii="Arial" w:hAnsi="Arial"/>
                <w:sz w:val="18"/>
              </w:rPr>
              <w:t xml:space="preserve">frei beim Verlag (imrpress.com), selbst herunterladen</w:t>
            </w:r>
          </w:p>
        </w:tc>
        <w:tc>
          <w:tcPr/>
          <w:p>
            <w:pPr>
              <w:pStyle w:val="Compact"/>
              <w:jc w:val="left"/>
            </w:pPr>
            <w:r>
              <w:rPr>
                <w:rFonts w:ascii="Arial" w:hAnsi="Arial"/>
                <w:sz w:val="18"/>
              </w:rPr>
              <w:t xml:space="preserve">6.1 nur bei Bedarf</w:t>
            </w:r>
          </w:p>
        </w:tc>
      </w:tr>
      <w:tr>
        <w:trPr>
          <w:cantSplit w:val="true"/>
        </w:trPr>
        <w:tc>
          <w:tcPr>
            <w:shd w:val="clear" w:color="auto" w:fill="EEF3F9"/>
          </w:tcPr>
          <w:p>
            <w:pPr>
              <w:pStyle w:val="Compact"/>
              <w:jc w:val="left"/>
            </w:pPr>
            <w:r>
              <w:rPr>
                <w:rFonts w:ascii="Arial" w:hAnsi="Arial"/>
                <w:sz w:val="18"/>
              </w:rPr>
              <w:t xml:space="preserve">frei</w:t>
            </w:r>
          </w:p>
        </w:tc>
        <w:tc>
          <w:tcPr>
            <w:shd w:val="clear" w:color="auto" w:fill="EEF3F9"/>
          </w:tcPr>
          <w:p>
            <w:pPr>
              <w:pStyle w:val="Compact"/>
              <w:jc w:val="left"/>
            </w:pPr>
            <w:r>
              <w:rPr>
                <w:rFonts w:ascii="Arial" w:hAnsi="Arial"/>
                <w:sz w:val="18"/>
              </w:rPr>
              <w:t xml:space="preserve">Rogers et al. (2020) · Paludo et al. (2022) · Keemss et al. (2022)</w:t>
            </w:r>
          </w:p>
        </w:tc>
        <w:tc>
          <w:tcPr>
            <w:shd w:val="clear" w:color="auto" w:fill="EEF3F9"/>
          </w:tcPr>
          <w:p>
            <w:pPr>
              <w:pStyle w:val="Compact"/>
              <w:jc w:val="left"/>
            </w:pPr>
            <w:r>
              <w:rPr>
                <w:rFonts w:ascii="Arial" w:hAnsi="Arial"/>
                <w:sz w:val="18"/>
              </w:rPr>
              <w:t xml:space="preserve">PMC, gelesen</w:t>
            </w:r>
          </w:p>
        </w:tc>
        <w:tc>
          <w:tcPr>
            <w:shd w:val="clear" w:color="auto" w:fill="EEF3F9"/>
          </w:tcPr>
          <w:p>
            <w:pPr>
              <w:pStyle w:val="Compact"/>
              <w:jc w:val="left"/>
            </w:pPr>
            <w:r>
              <w:rPr>
                <w:rFonts w:ascii="Arial" w:hAnsi="Arial"/>
                <w:sz w:val="18"/>
              </w:rPr>
              <w:t xml:space="preserve">ablegen, falls zitiert. Pucsok et al. (2021) steht auf der Nicht-aufnehmen-Liste (F17 § 6.5) und wird nicht abgelegt</w:t>
            </w:r>
          </w:p>
        </w:tc>
      </w:tr>
    </w:tbl>
    <w:bookmarkEnd w:id="32"/>
    <w:bookmarkStart w:id="33" w:name="grenzen-dieser-recherche"/>
    <w:p>
      <w:pPr>
        <w:pStyle w:val="Heading2"/>
      </w:pPr>
      <w:r>
        <w:rPr>
          <w:rFonts w:ascii="Arial" w:hAnsi="Arial"/>
        </w:rPr>
        <w:t xml:space="preserve">7 Grenzen dieser Recherche</w:t>
      </w:r>
    </w:p>
    <w:p>
      <w:pPr>
        <w:pStyle w:val="FirstParagraph"/>
      </w:pPr>
      <w:r>
        <w:rPr>
          <w:rFonts w:ascii="Arial" w:hAnsi="Arial"/>
        </w:rPr>
        <w:t xml:space="preserve">Nicht systematisch: keine Zweitsichtung der Treffer, kein Flussdiagramm, nur englischsprachige Literatur. SPORTDiscus ist hier nicht zugänglich (wie im Rechercheprotokoll vom 02.09.), Consensus war nach drei Fragen erschöpft. Nicht lesbar waren api.crossref.org (HTTP 429), die Verlags-PDF von Stanković et al. (robots.txt), figshare (HTTP 403), die Verlagsseiten von Klusemann et al. (HTTP 402) und des Konferenzbeitrags (HTTP 403). Angaben mit Zugang A oder E sind vor einer Zitation am Volltext zu prüfen, E-Angaben stammen aus einer KI-gestützten Extraktion. Die Gegenrecherche hat nicht indexierte Zeitschriften nur über die Websuche erreicht.</w:t>
      </w:r>
    </w:p>
    <w:bookmarkEnd w:id="33"/>
    <w:bookmarkStart w:id="34" w:name="anhang-a-suchprotokoll-pubmed-30.09.2026"/>
    <w:p>
      <w:pPr>
        <w:pStyle w:val="Heading2"/>
      </w:pPr>
      <w:r>
        <w:rPr>
          <w:rFonts w:ascii="Arial" w:hAnsi="Arial"/>
        </w:rPr>
        <w:t xml:space="preserve">Anhang A Suchprotokoll PubMed (30.09.2026)</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397"/>
        <w:gridCol w:w="1397"/>
        <w:gridCol w:w="1397"/>
        <w:gridCol w:w="1863"/>
        <w:gridCol w:w="1863"/>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Stufe</w:t>
            </w:r>
          </w:p>
        </w:tc>
        <w:tc>
          <w:tcPr>
            <w:shd w:val="clear" w:color="auto" w:fill="D6E4F0"/>
          </w:tcPr>
          <w:p>
            <w:pPr>
              <w:pStyle w:val="Compact"/>
              <w:jc w:val="left"/>
            </w:pPr>
            <w:r>
              <w:rPr>
                <w:rFonts w:ascii="Arial" w:hAnsi="Arial"/>
                <w:b/>
                <w:sz w:val="18"/>
              </w:rPr>
              <w:t xml:space="preserve">String</w:t>
            </w:r>
          </w:p>
        </w:tc>
        <w:tc>
          <w:tcPr>
            <w:shd w:val="clear" w:color="auto" w:fill="D6E4F0"/>
          </w:tcPr>
          <w:p>
            <w:pPr>
              <w:pStyle w:val="Compact"/>
              <w:jc w:val="right"/>
            </w:pPr>
            <w:r>
              <w:rPr>
                <w:rFonts w:ascii="Arial" w:hAnsi="Arial"/>
                <w:b/>
                <w:sz w:val="18"/>
              </w:rPr>
              <w:t xml:space="preserve">Treffer</w:t>
            </w:r>
          </w:p>
        </w:tc>
        <w:tc>
          <w:tcPr>
            <w:shd w:val="clear" w:color="auto" w:fill="D6E4F0"/>
          </w:tcPr>
          <w:p>
            <w:pPr>
              <w:pStyle w:val="Compact"/>
              <w:jc w:val="right"/>
            </w:pPr>
            <w:r>
              <w:rPr>
                <w:rFonts w:ascii="Arial" w:hAnsi="Arial"/>
                <w:b/>
                <w:sz w:val="18"/>
              </w:rPr>
              <w:t xml:space="preserve">gesichtet</w:t>
            </w:r>
          </w:p>
        </w:tc>
      </w:tr>
      <w:tr>
        <w:trPr>
          <w:cantSplit w:val="true"/>
        </w:trPr>
        <w:tc>
          <w:tcPr/>
          <w:p>
            <w:pPr>
              <w:pStyle w:val="Compact"/>
              <w:jc w:val="left"/>
            </w:pPr>
            <w:r>
              <w:rPr>
                <w:rFonts w:ascii="Arial" w:hAnsi="Arial"/>
                <w:sz w:val="18"/>
              </w:rPr>
              <w:t xml:space="preserve">P1</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w:t>
            </w:r>
            <w:r>
              <w:rPr>
                <w:rFonts w:ascii="Arial" w:hAnsi="Arial"/>
                <w:sz w:val="18"/>
              </w:rPr>
              <w:t xml:space="preserve">“</w:t>
            </w:r>
            <w:r>
              <w:rPr>
                <w:rFonts w:ascii="Arial" w:hAnsi="Arial"/>
                <w:sz w:val="18"/>
              </w:rPr>
              <w:t xml:space="preserve">video-based</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video-guided</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video-delivered</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instructional video</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online video</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online training</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online exercise</w:t>
            </w:r>
            <w:r>
              <w:rPr>
                <w:rFonts w:ascii="Arial" w:hAnsi="Arial"/>
                <w:sz w:val="18"/>
              </w:rPr>
              <w:t xml:space="preserve">”</w:t>
            </w:r>
            <w:r>
              <w:rPr>
                <w:rFonts w:ascii="Arial" w:hAnsi="Arial"/>
                <w:sz w:val="18"/>
              </w:rPr>
              <w:t xml:space="preserve">[tiab]) AND (athlete</w:t>
            </w:r>
            <w:r>
              <w:rPr>
                <w:iCs/>
                <w:rFonts w:ascii="Arial" w:hAnsi="Arial"/>
                <w:i/>
                <w:sz w:val="18"/>
              </w:rPr>
              <w:t xml:space="preserve">[tiab] OR player</w:t>
            </w:r>
            <w:r>
              <w:rPr>
                <w:rFonts w:ascii="Arial" w:hAnsi="Arial"/>
                <w:sz w:val="18"/>
              </w:rPr>
              <w:t xml:space="preserve">[tiab]) AND (training[tiab] OR exercise[tiab]) AND (sprint</w:t>
            </w:r>
            <w:r>
              <w:rPr>
                <w:iCs/>
                <w:rFonts w:ascii="Arial" w:hAnsi="Arial"/>
                <w:i/>
                <w:sz w:val="18"/>
              </w:rPr>
              <w:t xml:space="preserve">[tiab] OR jump</w:t>
            </w:r>
            <w:r>
              <w:rPr>
                <w:rFonts w:ascii="Arial" w:hAnsi="Arial"/>
                <w:sz w:val="18"/>
              </w:rPr>
              <w:t xml:space="preserve">[tiab] OR strength[tiab] OR agility[tiab] OR</w:t>
            </w:r>
            <w:r>
              <w:rPr>
                <w:rFonts w:ascii="Arial" w:hAnsi="Arial"/>
                <w:sz w:val="18"/>
              </w:rPr>
              <w:t xml:space="preserve"> </w:t>
            </w:r>
            <w:r>
              <w:rPr>
                <w:rFonts w:ascii="Arial" w:hAnsi="Arial"/>
                <w:sz w:val="18"/>
              </w:rPr>
              <w:t xml:space="preserve">“</w:t>
            </w:r>
            <w:r>
              <w:rPr>
                <w:rFonts w:ascii="Arial" w:hAnsi="Arial"/>
                <w:sz w:val="18"/>
              </w:rPr>
              <w:t xml:space="preserve">physical performance</w:t>
            </w:r>
            <w:r>
              <w:rPr>
                <w:rFonts w:ascii="Arial" w:hAnsi="Arial"/>
                <w:sz w:val="18"/>
              </w:rPr>
              <w:t xml:space="preserve">”</w:t>
            </w:r>
            <w:r>
              <w:rPr>
                <w:rFonts w:ascii="Arial" w:hAnsi="Arial"/>
                <w:sz w:val="18"/>
              </w:rPr>
              <w:t xml:space="preserve">[tiab] OR fitness[tiab])</w:t>
            </w:r>
          </w:p>
        </w:tc>
        <w:tc>
          <w:tcPr/>
          <w:p>
            <w:pPr>
              <w:pStyle w:val="Compact"/>
              <w:jc w:val="right"/>
            </w:pPr>
            <w:r>
              <w:rPr>
                <w:rFonts w:ascii="Arial" w:hAnsi="Arial"/>
                <w:sz w:val="18"/>
              </w:rPr>
              <w:t xml:space="preserve">37</w:t>
            </w:r>
          </w:p>
        </w:tc>
        <w:tc>
          <w:tcPr/>
          <w:p>
            <w:pPr>
              <w:pStyle w:val="Compact"/>
              <w:jc w:val="right"/>
            </w:pPr>
            <w:r>
              <w:rPr>
                <w:rFonts w:ascii="Arial" w:hAnsi="Arial"/>
                <w:sz w:val="18"/>
              </w:rPr>
              <w:t xml:space="preserve">37</w:t>
            </w:r>
          </w:p>
        </w:tc>
      </w:tr>
      <w:tr>
        <w:trPr>
          <w:cantSplit w:val="true"/>
        </w:trPr>
        <w:tc>
          <w:tcPr>
            <w:shd w:val="clear" w:color="auto" w:fill="EEF3F9"/>
          </w:tcPr>
          <w:p>
            <w:pPr>
              <w:pStyle w:val="Compact"/>
              <w:jc w:val="left"/>
            </w:pPr>
            <w:r>
              <w:rPr>
                <w:rFonts w:ascii="Arial" w:hAnsi="Arial"/>
                <w:sz w:val="18"/>
              </w:rPr>
              <w:t xml:space="preserve">P2</w:t>
            </w:r>
          </w:p>
        </w:tc>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(plyometric</w:t>
            </w:r>
            <w:r>
              <w:rPr>
                <w:iCs/>
                <w:rFonts w:ascii="Arial" w:hAnsi="Arial"/>
                <w:i/>
                <w:sz w:val="18"/>
              </w:rPr>
              <w:t xml:space="preserve">[tiab] OR</w:t>
            </w:r>
            <w:r>
              <w:rPr>
                <w:iCs/>
                <w:rFonts w:ascii="Arial" w:hAnsi="Arial"/>
                <w:i/>
                <w:sz w:val="18"/>
              </w:rPr>
              <w:t xml:space="preserve"> </w:t>
            </w:r>
            <w:r>
              <w:rPr>
                <w:iCs/>
                <w:rFonts w:ascii="Arial" w:hAnsi="Arial"/>
                <w:i/>
                <w:sz w:val="18"/>
              </w:rPr>
              <w:t xml:space="preserve">“</w:t>
            </w:r>
            <w:r>
              <w:rPr>
                <w:iCs/>
                <w:rFonts w:ascii="Arial" w:hAnsi="Arial"/>
                <w:i/>
                <w:sz w:val="18"/>
              </w:rPr>
              <w:t xml:space="preserve">jump training</w:t>
            </w:r>
            <w:r>
              <w:rPr>
                <w:iCs/>
                <w:rFonts w:ascii="Arial" w:hAnsi="Arial"/>
                <w:i/>
                <w:sz w:val="18"/>
              </w:rPr>
              <w:t xml:space="preserve">”</w:t>
            </w:r>
            <w:r>
              <w:rPr>
                <w:iCs/>
                <w:rFonts w:ascii="Arial" w:hAnsi="Arial"/>
                <w:i/>
                <w:sz w:val="18"/>
              </w:rPr>
              <w:t xml:space="preserve">[tiab] OR</w:t>
            </w:r>
            <w:r>
              <w:rPr>
                <w:iCs/>
                <w:rFonts w:ascii="Arial" w:hAnsi="Arial"/>
                <w:i/>
                <w:sz w:val="18"/>
              </w:rPr>
              <w:t xml:space="preserve"> </w:t>
            </w:r>
            <w:r>
              <w:rPr>
                <w:iCs/>
                <w:rFonts w:ascii="Arial" w:hAnsi="Arial"/>
                <w:i/>
                <w:sz w:val="18"/>
              </w:rPr>
              <w:t xml:space="preserve">“</w:t>
            </w:r>
            <w:r>
              <w:rPr>
                <w:iCs/>
                <w:rFonts w:ascii="Arial" w:hAnsi="Arial"/>
                <w:i/>
                <w:sz w:val="18"/>
              </w:rPr>
              <w:t xml:space="preserve">jumping exercise</w:t>
            </w:r>
            <w:r>
              <w:rPr>
                <w:iCs/>
                <w:rFonts w:ascii="Arial" w:hAnsi="Arial"/>
                <w:i/>
                <w:sz w:val="18"/>
              </w:rPr>
              <w:t xml:space="preserve">”</w:t>
            </w:r>
            <w:r>
              <w:rPr>
                <w:iCs/>
                <w:rFonts w:ascii="Arial" w:hAnsi="Arial"/>
                <w:i/>
                <w:sz w:val="18"/>
              </w:rPr>
              <w:t xml:space="preserve">[tiab]) AND (video</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home-based</w:t>
            </w:r>
            <w:r>
              <w:rPr>
                <w:rFonts w:ascii="Arial" w:hAnsi="Arial"/>
                <w:sz w:val="18"/>
              </w:rPr>
              <w:t xml:space="preserve">”</w:t>
            </w:r>
            <w:r>
              <w:rPr>
                <w:rFonts w:ascii="Arial" w:hAnsi="Arial"/>
                <w:sz w:val="18"/>
              </w:rPr>
              <w:t xml:space="preserve">[tiab] OR home[tiab] OR unsupervised[tiab] OR online[tiab] OR lockdown[tiab] OR confinement[tiab] OR quarantine[tiab] OR remote[tiab])</w:t>
            </w:r>
          </w:p>
        </w:tc>
        <w:tc>
          <w:tcPr>
            <w:shd w:val="clear" w:color="auto" w:fill="EEF3F9"/>
          </w:tcPr>
          <w:p>
            <w:pPr>
              <w:pStyle w:val="Compact"/>
              <w:jc w:val="right"/>
            </w:pPr>
            <w:r>
              <w:rPr>
                <w:rFonts w:ascii="Arial" w:hAnsi="Arial"/>
                <w:sz w:val="18"/>
              </w:rPr>
              <w:t xml:space="preserve">86</w:t>
            </w:r>
          </w:p>
        </w:tc>
        <w:tc>
          <w:tcPr>
            <w:shd w:val="clear" w:color="auto" w:fill="EEF3F9"/>
          </w:tcPr>
          <w:p>
            <w:pPr>
              <w:pStyle w:val="Compact"/>
              <w:jc w:val="right"/>
            </w:pPr>
            <w:r>
              <w:rPr>
                <w:rFonts w:ascii="Arial" w:hAnsi="Arial"/>
                <w:sz w:val="18"/>
              </w:rPr>
              <w:t xml:space="preserve">80</w:t>
            </w:r>
          </w:p>
        </w:tc>
      </w:tr>
      <w:tr>
        <w:trPr>
          <w:cantSplit w:val="true"/>
        </w:trPr>
        <w:tc>
          <w:tcPr/>
          <w:p>
            <w:pPr>
              <w:pStyle w:val="Compact"/>
              <w:jc w:val="left"/>
            </w:pPr>
            <w:r>
              <w:rPr>
                <w:rFonts w:ascii="Arial" w:hAnsi="Arial"/>
                <w:sz w:val="18"/>
              </w:rPr>
              <w:t xml:space="preserve">P3</w:t>
            </w:r>
          </w:p>
        </w:tc>
        <w:tc>
          <w:tcPr/>
          <w:p>
            <w:pPr>
              <w:pStyle w:val="Compact"/>
              <w:jc w:val="left"/>
            </w:pPr>
            <w:r>
              <w:rPr>
                <w:rFonts w:ascii="Arial" w:hAnsi="Arial"/>
                <w:sz w:val="18"/>
              </w:rPr>
              <w:t xml:space="preserve">3</w:t>
            </w:r>
          </w:p>
        </w:tc>
        <w:tc>
          <w:tcPr/>
          <w:p>
            <w:pPr>
              <w:pStyle w:val="Compact"/>
              <w:jc w:val="left"/>
            </w:pPr>
            <w:r>
              <w:rPr>
                <w:rFonts w:ascii="Arial" w:hAnsi="Arial"/>
                <w:sz w:val="18"/>
              </w:rPr>
              <w:t xml:space="preserve">(soccer[tiab] OR football[tiab]) AND (video</w:t>
            </w:r>
            <w:r>
              <w:rPr>
                <w:iCs/>
                <w:rFonts w:ascii="Arial" w:hAnsi="Arial"/>
                <w:i/>
                <w:sz w:val="18"/>
              </w:rPr>
              <w:t xml:space="preserve">[tiab] OR</w:t>
            </w:r>
            <w:r>
              <w:rPr>
                <w:iCs/>
                <w:rFonts w:ascii="Arial" w:hAnsi="Arial"/>
                <w:i/>
                <w:sz w:val="18"/>
              </w:rPr>
              <w:t xml:space="preserve"> </w:t>
            </w:r>
            <w:r>
              <w:rPr>
                <w:iCs/>
                <w:rFonts w:ascii="Arial" w:hAnsi="Arial"/>
                <w:i/>
                <w:sz w:val="18"/>
              </w:rPr>
              <w:t xml:space="preserve">“</w:t>
            </w:r>
            <w:r>
              <w:rPr>
                <w:iCs/>
                <w:rFonts w:ascii="Arial" w:hAnsi="Arial"/>
                <w:i/>
                <w:sz w:val="18"/>
              </w:rPr>
              <w:t xml:space="preserve">home-based</w:t>
            </w:r>
            <w:r>
              <w:rPr>
                <w:iCs/>
                <w:rFonts w:ascii="Arial" w:hAnsi="Arial"/>
                <w:i/>
                <w:sz w:val="18"/>
              </w:rPr>
              <w:t xml:space="preserve">”</w:t>
            </w:r>
            <w:r>
              <w:rPr>
                <w:iCs/>
                <w:rFonts w:ascii="Arial" w:hAnsi="Arial"/>
                <w:i/>
                <w:sz w:val="18"/>
              </w:rPr>
              <w:t xml:space="preserve">[tiab] OR</w:t>
            </w:r>
            <w:r>
              <w:rPr>
                <w:iCs/>
                <w:rFonts w:ascii="Arial" w:hAnsi="Arial"/>
                <w:i/>
                <w:sz w:val="18"/>
              </w:rPr>
              <w:t xml:space="preserve"> </w:t>
            </w:r>
            <w:r>
              <w:rPr>
                <w:iCs/>
                <w:rFonts w:ascii="Arial" w:hAnsi="Arial"/>
                <w:i/>
                <w:sz w:val="18"/>
              </w:rPr>
              <w:t xml:space="preserve">“</w:t>
            </w:r>
            <w:r>
              <w:rPr>
                <w:iCs/>
                <w:rFonts w:ascii="Arial" w:hAnsi="Arial"/>
                <w:i/>
                <w:sz w:val="18"/>
              </w:rPr>
              <w:t xml:space="preserve">home training</w:t>
            </w:r>
            <w:r>
              <w:rPr>
                <w:iCs/>
                <w:rFonts w:ascii="Arial" w:hAnsi="Arial"/>
                <w:i/>
                <w:sz w:val="18"/>
              </w:rPr>
              <w:t xml:space="preserve">”</w:t>
            </w:r>
            <w:r>
              <w:rPr>
                <w:iCs/>
                <w:rFonts w:ascii="Arial" w:hAnsi="Arial"/>
                <w:i/>
                <w:sz w:val="18"/>
              </w:rPr>
              <w:t xml:space="preserve">[tiab] OR unsupervised[tiab] OR online[tiab] OR lockdown[tiab] OR confinement[tiab] OR quarantine[tiab]) AND (sprint</w:t>
            </w:r>
            <w:r>
              <w:rPr>
                <w:rFonts w:ascii="Arial" w:hAnsi="Arial"/>
                <w:sz w:val="18"/>
              </w:rPr>
              <w:t xml:space="preserve">[tiab] OR jump*[tiab] OR</w:t>
            </w:r>
            <w:r>
              <w:rPr>
                <w:rFonts w:ascii="Arial" w:hAnsi="Arial"/>
                <w:sz w:val="18"/>
              </w:rPr>
              <w:t xml:space="preserve"> </w:t>
            </w:r>
            <w:r>
              <w:rPr>
                <w:rFonts w:ascii="Arial" w:hAnsi="Arial"/>
                <w:sz w:val="18"/>
              </w:rPr>
              <w:t xml:space="preserve">“</w:t>
            </w:r>
            <w:r>
              <w:rPr>
                <w:rFonts w:ascii="Arial" w:hAnsi="Arial"/>
                <w:sz w:val="18"/>
              </w:rPr>
              <w:t xml:space="preserve">change of direction</w:t>
            </w:r>
            <w:r>
              <w:rPr>
                <w:rFonts w:ascii="Arial" w:hAnsi="Arial"/>
                <w:sz w:val="18"/>
              </w:rPr>
              <w:t xml:space="preserve">”</w:t>
            </w:r>
            <w:r>
              <w:rPr>
                <w:rFonts w:ascii="Arial" w:hAnsi="Arial"/>
                <w:sz w:val="18"/>
              </w:rPr>
              <w:t xml:space="preserve">[tiab] OR agility[tiab]) AND (training[tiab] OR programme[tiab] OR program[tiab])</w:t>
            </w:r>
          </w:p>
        </w:tc>
        <w:tc>
          <w:tcPr/>
          <w:p>
            <w:pPr>
              <w:pStyle w:val="Compact"/>
              <w:jc w:val="right"/>
            </w:pPr>
            <w:r>
              <w:rPr>
                <w:rFonts w:ascii="Arial" w:hAnsi="Arial"/>
                <w:sz w:val="18"/>
              </w:rPr>
              <w:t xml:space="preserve">100</w:t>
            </w:r>
          </w:p>
        </w:tc>
        <w:tc>
          <w:tcPr/>
          <w:p>
            <w:pPr>
              <w:pStyle w:val="Compact"/>
              <w:jc w:val="right"/>
            </w:pPr>
            <w:r>
              <w:rPr>
                <w:rFonts w:ascii="Arial" w:hAnsi="Arial"/>
                <w:sz w:val="18"/>
              </w:rPr>
              <w:t xml:space="preserve">100</w:t>
            </w:r>
          </w:p>
        </w:tc>
      </w:tr>
      <w:tr>
        <w:trPr>
          <w:cantSplit w:val="true"/>
        </w:trPr>
        <w:tc>
          <w:tcPr>
            <w:shd w:val="clear" w:color="auto" w:fill="EEF3F9"/>
          </w:tcPr>
          <w:p>
            <w:pPr>
              <w:pStyle w:val="Compact"/>
              <w:jc w:val="left"/>
            </w:pPr>
            <w:r>
              <w:rPr>
                <w:rFonts w:ascii="Arial" w:hAnsi="Arial"/>
                <w:sz w:val="18"/>
              </w:rPr>
              <w:t xml:space="preserve">P4</w:t>
            </w:r>
          </w:p>
        </w:tc>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w:t>
            </w:r>
            <w:r>
              <w:rPr>
                <w:rFonts w:ascii="Arial" w:hAnsi="Arial"/>
                <w:sz w:val="18"/>
              </w:rPr>
              <w:t xml:space="preserve">“</w:t>
            </w:r>
            <w:r>
              <w:rPr>
                <w:rFonts w:ascii="Arial" w:hAnsi="Arial"/>
                <w:sz w:val="18"/>
              </w:rPr>
              <w:t xml:space="preserve">home-based</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at home</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home training</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home exercise</w:t>
            </w:r>
            <w:r>
              <w:rPr>
                <w:rFonts w:ascii="Arial" w:hAnsi="Arial"/>
                <w:sz w:val="18"/>
              </w:rPr>
              <w:t xml:space="preserve">”</w:t>
            </w:r>
            <w:r>
              <w:rPr>
                <w:rFonts w:ascii="Arial" w:hAnsi="Arial"/>
                <w:sz w:val="18"/>
              </w:rPr>
              <w:t xml:space="preserve">[tiab] OR unsupervised[tiab]) AND (plyometric</w:t>
            </w:r>
            <w:r>
              <w:rPr>
                <w:iCs/>
                <w:rFonts w:ascii="Arial" w:hAnsi="Arial"/>
                <w:i/>
                <w:sz w:val="18"/>
              </w:rPr>
              <w:t xml:space="preserve">[tiab] OR jump</w:t>
            </w:r>
            <w:r>
              <w:rPr>
                <w:rFonts w:ascii="Arial" w:hAnsi="Arial"/>
                <w:sz w:val="18"/>
              </w:rPr>
              <w:t xml:space="preserve">[tiab]) AND (athlete</w:t>
            </w:r>
            <w:r>
              <w:rPr>
                <w:iCs/>
                <w:rFonts w:ascii="Arial" w:hAnsi="Arial"/>
                <w:i/>
                <w:sz w:val="18"/>
              </w:rPr>
              <w:t xml:space="preserve">[tiab] OR player</w:t>
            </w:r>
            <w:r>
              <w:rPr>
                <w:rFonts w:ascii="Arial" w:hAnsi="Arial"/>
                <w:sz w:val="18"/>
              </w:rPr>
              <w:t xml:space="preserve">[tiab] OR adolescen*[tiab] OR youth[tiab]) AND (training[tiab] OR programme[tiab] OR program[tiab])</w:t>
            </w:r>
          </w:p>
        </w:tc>
        <w:tc>
          <w:tcPr>
            <w:shd w:val="clear" w:color="auto" w:fill="EEF3F9"/>
          </w:tcPr>
          <w:p>
            <w:pPr>
              <w:pStyle w:val="Compact"/>
              <w:jc w:val="right"/>
            </w:pPr>
            <w:r>
              <w:rPr>
                <w:rFonts w:ascii="Arial" w:hAnsi="Arial"/>
                <w:sz w:val="18"/>
              </w:rPr>
              <w:t xml:space="preserve">38</w:t>
            </w:r>
          </w:p>
        </w:tc>
        <w:tc>
          <w:tcPr>
            <w:shd w:val="clear" w:color="auto" w:fill="EEF3F9"/>
          </w:tcPr>
          <w:p>
            <w:pPr>
              <w:pStyle w:val="Compact"/>
              <w:jc w:val="right"/>
            </w:pPr>
            <w:r>
              <w:rPr>
                <w:rFonts w:ascii="Arial" w:hAnsi="Arial"/>
                <w:sz w:val="18"/>
              </w:rPr>
              <w:t xml:space="preserve">38</w:t>
            </w:r>
          </w:p>
        </w:tc>
      </w:tr>
      <w:tr>
        <w:trPr>
          <w:cantSplit w:val="true"/>
        </w:trPr>
        <w:tc>
          <w:tcPr/>
          <w:p>
            <w:pPr>
              <w:pStyle w:val="Compact"/>
              <w:jc w:val="left"/>
            </w:pPr>
            <w:r>
              <w:rPr>
                <w:rFonts w:ascii="Arial" w:hAnsi="Arial"/>
                <w:sz w:val="18"/>
              </w:rPr>
              <w:t xml:space="preserve">P5</w:t>
            </w:r>
          </w:p>
        </w:tc>
        <w:tc>
          <w:tcPr/>
          <w:p>
            <w:pPr>
              <w:pStyle w:val="Compact"/>
              <w:jc w:val="left"/>
            </w:pPr>
            <w:r>
              <w:rPr>
                <w:rFonts w:ascii="Arial" w:hAnsi="Arial"/>
                <w:sz w:val="18"/>
              </w:rPr>
              <w:t xml:space="preserve">1, 3</w:t>
            </w:r>
          </w:p>
        </w:tc>
        <w:tc>
          <w:tcPr/>
          <w:p>
            <w:pPr>
              <w:pStyle w:val="Compact"/>
              <w:jc w:val="left"/>
            </w:pPr>
            <w:r>
              <w:rPr>
                <w:rFonts w:ascii="Arial" w:hAnsi="Arial"/>
                <w:sz w:val="18"/>
              </w:rPr>
              <w:t xml:space="preserve">(lockdown[tiab] OR confinement[tiab] OR quarantine[tiab]) AND (</w:t>
            </w:r>
            <w:r>
              <w:rPr>
                <w:rFonts w:ascii="Arial" w:hAnsi="Arial"/>
                <w:sz w:val="18"/>
              </w:rPr>
              <w:t xml:space="preserve">“</w:t>
            </w:r>
            <w:r>
              <w:rPr>
                <w:rFonts w:ascii="Arial" w:hAnsi="Arial"/>
                <w:sz w:val="18"/>
              </w:rPr>
              <w:t xml:space="preserve">home-based</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home training</w:t>
            </w:r>
            <w:r>
              <w:rPr>
                <w:rFonts w:ascii="Arial" w:hAnsi="Arial"/>
                <w:sz w:val="18"/>
              </w:rPr>
              <w:t xml:space="preserve">”</w:t>
            </w:r>
            <w:r>
              <w:rPr>
                <w:rFonts w:ascii="Arial" w:hAnsi="Arial"/>
                <w:sz w:val="18"/>
              </w:rPr>
              <w:t xml:space="preserve">[tiab] OR online[tiab] OR video</w:t>
            </w:r>
            <w:r>
              <w:rPr>
                <w:iCs/>
                <w:rFonts w:ascii="Arial" w:hAnsi="Arial"/>
                <w:i/>
                <w:sz w:val="18"/>
              </w:rPr>
              <w:t xml:space="preserve">[tiab] OR virtual[tiab] OR remote[tiab] OR videoconference[tiab]) AND training[tiab] AND (athlete</w:t>
            </w:r>
            <w:r>
              <w:rPr>
                <w:rFonts w:ascii="Arial" w:hAnsi="Arial"/>
                <w:sz w:val="18"/>
              </w:rPr>
              <w:t xml:space="preserve">[tiab] OR player</w:t>
            </w:r>
            <w:r>
              <w:rPr>
                <w:iCs/>
                <w:rFonts w:ascii="Arial" w:hAnsi="Arial"/>
                <w:i/>
                <w:sz w:val="18"/>
              </w:rPr>
              <w:t xml:space="preserve">[tiab]) AND (sprint</w:t>
            </w:r>
            <w:r>
              <w:rPr>
                <w:rFonts w:ascii="Arial" w:hAnsi="Arial"/>
                <w:sz w:val="18"/>
              </w:rPr>
              <w:t xml:space="preserve">[tiab] OR jump*[tiab] OR</w:t>
            </w:r>
            <w:r>
              <w:rPr>
                <w:rFonts w:ascii="Arial" w:hAnsi="Arial"/>
                <w:sz w:val="18"/>
              </w:rPr>
              <w:t xml:space="preserve"> </w:t>
            </w:r>
            <w:r>
              <w:rPr>
                <w:rFonts w:ascii="Arial" w:hAnsi="Arial"/>
                <w:sz w:val="18"/>
              </w:rPr>
              <w:t xml:space="preserve">“</w:t>
            </w:r>
            <w:r>
              <w:rPr>
                <w:rFonts w:ascii="Arial" w:hAnsi="Arial"/>
                <w:sz w:val="18"/>
              </w:rPr>
              <w:t xml:space="preserve">change of direction</w:t>
            </w:r>
            <w:r>
              <w:rPr>
                <w:rFonts w:ascii="Arial" w:hAnsi="Arial"/>
                <w:sz w:val="18"/>
              </w:rPr>
              <w:t xml:space="preserve">”</w:t>
            </w:r>
            <w:r>
              <w:rPr>
                <w:rFonts w:ascii="Arial" w:hAnsi="Arial"/>
                <w:sz w:val="18"/>
              </w:rPr>
              <w:t xml:space="preserve">[tiab] OR agility[tiab] OR strength[tiab] OR power[tiab])</w:t>
            </w:r>
          </w:p>
        </w:tc>
        <w:tc>
          <w:tcPr/>
          <w:p>
            <w:pPr>
              <w:pStyle w:val="Compact"/>
              <w:jc w:val="right"/>
            </w:pPr>
            <w:r>
              <w:rPr>
                <w:rFonts w:ascii="Arial" w:hAnsi="Arial"/>
                <w:sz w:val="18"/>
              </w:rPr>
              <w:t xml:space="preserve">25</w:t>
            </w:r>
          </w:p>
        </w:tc>
        <w:tc>
          <w:tcPr/>
          <w:p>
            <w:pPr>
              <w:pStyle w:val="Compact"/>
              <w:jc w:val="right"/>
            </w:pPr>
            <w:r>
              <w:rPr>
                <w:rFonts w:ascii="Arial" w:hAnsi="Arial"/>
                <w:sz w:val="18"/>
              </w:rPr>
              <w:t xml:space="preserve">25</w:t>
            </w:r>
          </w:p>
        </w:tc>
      </w:tr>
      <w:tr>
        <w:trPr>
          <w:cantSplit w:val="true"/>
        </w:trPr>
        <w:tc>
          <w:tcPr>
            <w:shd w:val="clear" w:color="auto" w:fill="EEF3F9"/>
          </w:tcPr>
          <w:p>
            <w:pPr>
              <w:pStyle w:val="Compact"/>
              <w:jc w:val="left"/>
            </w:pPr>
            <w:r>
              <w:rPr>
                <w:rFonts w:ascii="Arial" w:hAnsi="Arial"/>
                <w:sz w:val="18"/>
              </w:rPr>
              <w:t xml:space="preserve">P6</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(unsupervised[tiab] OR</w:t>
            </w:r>
            <w:r>
              <w:rPr>
                <w:rFonts w:ascii="Arial" w:hAnsi="Arial"/>
                <w:sz w:val="18"/>
              </w:rPr>
              <w:t xml:space="preserve"> </w:t>
            </w:r>
            <w:r>
              <w:rPr>
                <w:rFonts w:ascii="Arial" w:hAnsi="Arial"/>
                <w:sz w:val="18"/>
              </w:rPr>
              <w:t xml:space="preserve">“</w:t>
            </w:r>
            <w:r>
              <w:rPr>
                <w:rFonts w:ascii="Arial" w:hAnsi="Arial"/>
                <w:sz w:val="18"/>
              </w:rPr>
              <w:t xml:space="preserve">without supervision</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self-guided</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self-directed</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self-administered</w:t>
            </w:r>
            <w:r>
              <w:rPr>
                <w:rFonts w:ascii="Arial" w:hAnsi="Arial"/>
                <w:sz w:val="18"/>
              </w:rPr>
              <w:t xml:space="preserve">”</w:t>
            </w:r>
            <w:r>
              <w:rPr>
                <w:rFonts w:ascii="Arial" w:hAnsi="Arial"/>
                <w:sz w:val="18"/>
              </w:rPr>
              <w:t xml:space="preserve">[tiab] OR supervision[ti] OR supervised[ti]) AND (training[tiab] OR exercise[tiab]) AND (athlete</w:t>
            </w:r>
            <w:r>
              <w:rPr>
                <w:iCs/>
                <w:rFonts w:ascii="Arial" w:hAnsi="Arial"/>
                <w:i/>
                <w:sz w:val="18"/>
              </w:rPr>
              <w:t xml:space="preserve">[tiab] OR player</w:t>
            </w:r>
            <w:r>
              <w:rPr>
                <w:rFonts w:ascii="Arial" w:hAnsi="Arial"/>
                <w:sz w:val="18"/>
              </w:rPr>
              <w:t xml:space="preserve">[tiab]) AND (sprint</w:t>
            </w:r>
            <w:r>
              <w:rPr>
                <w:iCs/>
                <w:rFonts w:ascii="Arial" w:hAnsi="Arial"/>
                <w:i/>
                <w:sz w:val="18"/>
              </w:rPr>
              <w:t xml:space="preserve">[tiab] OR jump</w:t>
            </w:r>
            <w:r>
              <w:rPr>
                <w:rFonts w:ascii="Arial" w:hAnsi="Arial"/>
                <w:sz w:val="18"/>
              </w:rPr>
              <w:t xml:space="preserve">[tiab] OR strength[tiab] OR agility[tiab] OR power[tiab])</w:t>
            </w:r>
          </w:p>
        </w:tc>
        <w:tc>
          <w:tcPr>
            <w:shd w:val="clear" w:color="auto" w:fill="EEF3F9"/>
          </w:tcPr>
          <w:p>
            <w:pPr>
              <w:pStyle w:val="Compact"/>
              <w:jc w:val="right"/>
            </w:pPr>
            <w:r>
              <w:rPr>
                <w:rFonts w:ascii="Arial" w:hAnsi="Arial"/>
                <w:sz w:val="18"/>
              </w:rPr>
              <w:t xml:space="preserve">60</w:t>
            </w:r>
          </w:p>
        </w:tc>
        <w:tc>
          <w:tcPr>
            <w:shd w:val="clear" w:color="auto" w:fill="EEF3F9"/>
          </w:tcPr>
          <w:p>
            <w:pPr>
              <w:pStyle w:val="Compact"/>
              <w:jc w:val="right"/>
            </w:pPr>
            <w:r>
              <w:rPr>
                <w:rFonts w:ascii="Arial" w:hAnsi="Arial"/>
                <w:sz w:val="18"/>
              </w:rPr>
              <w:t xml:space="preserve">60</w:t>
            </w:r>
          </w:p>
        </w:tc>
      </w:tr>
      <w:tr>
        <w:trPr>
          <w:cantSplit w:val="true"/>
        </w:trPr>
        <w:tc>
          <w:tcPr/>
          <w:p>
            <w:pPr>
              <w:pStyle w:val="Compact"/>
              <w:jc w:val="left"/>
            </w:pPr>
            <w:r>
              <w:rPr>
                <w:rFonts w:ascii="Arial" w:hAnsi="Arial"/>
                <w:sz w:val="18"/>
              </w:rPr>
              <w:t xml:space="preserve">P7</w:t>
            </w:r>
          </w:p>
        </w:tc>
        <w:tc>
          <w:tcPr/>
          <w:p>
            <w:pPr>
              <w:pStyle w:val="Compact"/>
              <w:jc w:val="left"/>
            </w:pPr>
            <w:r>
              <w:rPr>
                <w:rFonts w:ascii="Arial" w:hAnsi="Arial"/>
                <w:sz w:val="18"/>
              </w:rPr>
              <w:t xml:space="preserve">3</w:t>
            </w:r>
          </w:p>
        </w:tc>
        <w:tc>
          <w:tcPr/>
          <w:p>
            <w:pPr>
              <w:pStyle w:val="Compact"/>
              <w:jc w:val="left"/>
            </w:pPr>
            <w:r>
              <w:rPr>
                <w:rFonts w:ascii="Arial" w:hAnsi="Arial"/>
                <w:sz w:val="18"/>
              </w:rPr>
              <w:t xml:space="preserve">(video*[tiab] OR online[tiab] OR app[tiab] OR smartphone[tiab] OR digital[tiab] OR</w:t>
            </w:r>
            <w:r>
              <w:rPr>
                <w:rFonts w:ascii="Arial" w:hAnsi="Arial"/>
                <w:sz w:val="18"/>
              </w:rPr>
              <w:t xml:space="preserve"> </w:t>
            </w:r>
            <w:r>
              <w:rPr>
                <w:rFonts w:ascii="Arial" w:hAnsi="Arial"/>
                <w:sz w:val="18"/>
              </w:rPr>
              <w:t xml:space="preserve">“</w:t>
            </w:r>
            <w:r>
              <w:rPr>
                <w:rFonts w:ascii="Arial" w:hAnsi="Arial"/>
                <w:sz w:val="18"/>
              </w:rPr>
              <w:t xml:space="preserve">e-learning</w:t>
            </w:r>
            <w:r>
              <w:rPr>
                <w:rFonts w:ascii="Arial" w:hAnsi="Arial"/>
                <w:sz w:val="18"/>
              </w:rPr>
              <w:t xml:space="preserve">”</w:t>
            </w:r>
            <w:r>
              <w:rPr>
                <w:rFonts w:ascii="Arial" w:hAnsi="Arial"/>
                <w:sz w:val="18"/>
              </w:rPr>
              <w:t xml:space="preserve">[tiab] OR web-based[tiab]) AND (FIFA[tiab] OR</w:t>
            </w:r>
            <w:r>
              <w:rPr>
                <w:rFonts w:ascii="Arial" w:hAnsi="Arial"/>
                <w:sz w:val="18"/>
              </w:rPr>
              <w:t xml:space="preserve"> </w:t>
            </w:r>
            <w:r>
              <w:rPr>
                <w:rFonts w:ascii="Arial" w:hAnsi="Arial"/>
                <w:sz w:val="18"/>
              </w:rPr>
              <w:t xml:space="preserve">“</w:t>
            </w:r>
            <w:r>
              <w:rPr>
                <w:rFonts w:ascii="Arial" w:hAnsi="Arial"/>
                <w:sz w:val="18"/>
              </w:rPr>
              <w:t xml:space="preserve">injury prevention programme</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injury prevention program</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neuromuscular training</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Nordic hamstring</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warm-up programme</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warm-up program</w:t>
            </w:r>
            <w:r>
              <w:rPr>
                <w:rFonts w:ascii="Arial" w:hAnsi="Arial"/>
                <w:sz w:val="18"/>
              </w:rPr>
              <w:t xml:space="preserve">”</w:t>
            </w:r>
            <w:r>
              <w:rPr>
                <w:rFonts w:ascii="Arial" w:hAnsi="Arial"/>
                <w:sz w:val="18"/>
              </w:rPr>
              <w:t xml:space="preserve">[tiab]) AND (soccer[tiab] OR football[tiab]) AND (training[tiab] OR exercise[tiab] OR programme[tiab])</w:t>
            </w:r>
          </w:p>
        </w:tc>
        <w:tc>
          <w:tcPr/>
          <w:p>
            <w:pPr>
              <w:pStyle w:val="Compact"/>
              <w:jc w:val="right"/>
            </w:pPr>
            <w:r>
              <w:rPr>
                <w:rFonts w:ascii="Arial" w:hAnsi="Arial"/>
                <w:sz w:val="18"/>
              </w:rPr>
              <w:t xml:space="preserve">51</w:t>
            </w:r>
          </w:p>
        </w:tc>
        <w:tc>
          <w:tcPr/>
          <w:p>
            <w:pPr>
              <w:pStyle w:val="Compact"/>
              <w:jc w:val="right"/>
            </w:pPr>
            <w:r>
              <w:rPr>
                <w:rFonts w:ascii="Arial" w:hAnsi="Arial"/>
                <w:sz w:val="18"/>
              </w:rPr>
              <w:t xml:space="preserve">51</w:t>
            </w:r>
          </w:p>
        </w:tc>
      </w:tr>
      <w:tr>
        <w:trPr>
          <w:cantSplit w:val="true"/>
        </w:trPr>
        <w:tc>
          <w:tcPr>
            <w:shd w:val="clear" w:color="auto" w:fill="EEF3F9"/>
          </w:tcPr>
          <w:p>
            <w:pPr>
              <w:pStyle w:val="Compact"/>
              <w:jc w:val="left"/>
            </w:pPr>
            <w:r>
              <w:rPr>
                <w:rFonts w:ascii="Arial" w:hAnsi="Arial"/>
                <w:sz w:val="18"/>
              </w:rPr>
              <w:t xml:space="preserve">P8</w:t>
            </w:r>
          </w:p>
        </w:tc>
        <w:tc>
          <w:tcPr>
            <w:shd w:val="clear" w:color="auto" w:fill="EEF3F9"/>
          </w:tcPr>
          <w:p>
            <w:pPr>
              <w:pStyle w:val="Compact"/>
              <w:jc w:val="left"/>
            </w:pPr>
            <w:r>
              <w:rPr>
                <w:rFonts w:ascii="Arial" w:hAnsi="Arial"/>
                <w:sz w:val="18"/>
              </w:rPr>
              <w:t xml:space="preserve">3</w:t>
            </w:r>
          </w:p>
        </w:tc>
        <w:tc>
          <w:tcPr>
            <w:shd w:val="clear" w:color="auto" w:fill="EEF3F9"/>
          </w:tcPr>
          <w:p>
            <w:pPr>
              <w:pStyle w:val="Compact"/>
              <w:jc w:val="left"/>
            </w:pPr>
            <w:r>
              <w:rPr>
                <w:rFonts w:ascii="Arial" w:hAnsi="Arial"/>
                <w:sz w:val="18"/>
              </w:rPr>
              <w:t xml:space="preserve">(</w:t>
            </w:r>
            <w:r>
              <w:rPr>
                <w:rFonts w:ascii="Arial" w:hAnsi="Arial"/>
                <w:sz w:val="18"/>
              </w:rPr>
              <w:t xml:space="preserve">“</w:t>
            </w:r>
            <w:r>
              <w:rPr>
                <w:rFonts w:ascii="Arial" w:hAnsi="Arial"/>
                <w:sz w:val="18"/>
              </w:rPr>
              <w:t xml:space="preserve">summer break</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summer holiday</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summer holidays</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school holidays</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off-season</w:t>
            </w:r>
            <w:r>
              <w:rPr>
                <w:rFonts w:ascii="Arial" w:hAnsi="Arial"/>
                <w:sz w:val="18"/>
              </w:rPr>
              <w:t xml:space="preserve">”</w:t>
            </w:r>
            <w:r>
              <w:rPr>
                <w:rFonts w:ascii="Arial" w:hAnsi="Arial"/>
                <w:sz w:val="18"/>
              </w:rPr>
              <w:t xml:space="preserve">[tiab] OR offseason[tiab] OR</w:t>
            </w:r>
            <w:r>
              <w:rPr>
                <w:rFonts w:ascii="Arial" w:hAnsi="Arial"/>
                <w:sz w:val="18"/>
              </w:rPr>
              <w:t xml:space="preserve"> </w:t>
            </w:r>
            <w:r>
              <w:rPr>
                <w:rFonts w:ascii="Arial" w:hAnsi="Arial"/>
                <w:sz w:val="18"/>
              </w:rPr>
              <w:t xml:space="preserve">“</w:t>
            </w:r>
            <w:r>
              <w:rPr>
                <w:rFonts w:ascii="Arial" w:hAnsi="Arial"/>
                <w:sz w:val="18"/>
              </w:rPr>
              <w:t xml:space="preserve">transition period</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training cessation</w:t>
            </w:r>
            <w:r>
              <w:rPr>
                <w:rFonts w:ascii="Arial" w:hAnsi="Arial"/>
                <w:sz w:val="18"/>
              </w:rPr>
              <w:t xml:space="preserve">”</w:t>
            </w:r>
            <w:r>
              <w:rPr>
                <w:rFonts w:ascii="Arial" w:hAnsi="Arial"/>
                <w:sz w:val="18"/>
              </w:rPr>
              <w:t xml:space="preserve">[tiab]) AND (programme[tiab] OR program[tiab] OR intervention[tiab]) AND (youth[tiab] OR adolescen</w:t>
            </w:r>
            <w:r>
              <w:rPr>
                <w:iCs/>
                <w:rFonts w:ascii="Arial" w:hAnsi="Arial"/>
                <w:i/>
                <w:sz w:val="18"/>
              </w:rPr>
              <w:t xml:space="preserve">[tiab] OR young[tiab] OR junior[tiab]) AND (sprint</w:t>
            </w:r>
            <w:r>
              <w:rPr>
                <w:rFonts w:ascii="Arial" w:hAnsi="Arial"/>
                <w:sz w:val="18"/>
              </w:rPr>
              <w:t xml:space="preserve">[tiab] OR jump*[tiab] OR</w:t>
            </w:r>
            <w:r>
              <w:rPr>
                <w:rFonts w:ascii="Arial" w:hAnsi="Arial"/>
                <w:sz w:val="18"/>
              </w:rPr>
              <w:t xml:space="preserve"> </w:t>
            </w:r>
            <w:r>
              <w:rPr>
                <w:rFonts w:ascii="Arial" w:hAnsi="Arial"/>
                <w:sz w:val="18"/>
              </w:rPr>
              <w:t xml:space="preserve">“</w:t>
            </w:r>
            <w:r>
              <w:rPr>
                <w:rFonts w:ascii="Arial" w:hAnsi="Arial"/>
                <w:sz w:val="18"/>
              </w:rPr>
              <w:t xml:space="preserve">change of direction</w:t>
            </w:r>
            <w:r>
              <w:rPr>
                <w:rFonts w:ascii="Arial" w:hAnsi="Arial"/>
                <w:sz w:val="18"/>
              </w:rPr>
              <w:t xml:space="preserve">”</w:t>
            </w:r>
            <w:r>
              <w:rPr>
                <w:rFonts w:ascii="Arial" w:hAnsi="Arial"/>
                <w:sz w:val="18"/>
              </w:rPr>
              <w:t xml:space="preserve">[tiab] OR agility[tiab])</w:t>
            </w:r>
          </w:p>
        </w:tc>
        <w:tc>
          <w:tcPr>
            <w:shd w:val="clear" w:color="auto" w:fill="EEF3F9"/>
          </w:tcPr>
          <w:p>
            <w:pPr>
              <w:pStyle w:val="Compact"/>
              <w:jc w:val="right"/>
            </w:pPr>
            <w:r>
              <w:rPr>
                <w:rFonts w:ascii="Arial" w:hAnsi="Arial"/>
                <w:sz w:val="18"/>
              </w:rPr>
              <w:t xml:space="preserve">17</w:t>
            </w:r>
          </w:p>
        </w:tc>
        <w:tc>
          <w:tcPr>
            <w:shd w:val="clear" w:color="auto" w:fill="EEF3F9"/>
          </w:tcPr>
          <w:p>
            <w:pPr>
              <w:pStyle w:val="Compact"/>
              <w:jc w:val="right"/>
            </w:pPr>
            <w:r>
              <w:rPr>
                <w:rFonts w:ascii="Arial" w:hAnsi="Arial"/>
                <w:sz w:val="18"/>
              </w:rPr>
              <w:t xml:space="preserve">17</w:t>
            </w:r>
          </w:p>
        </w:tc>
      </w:tr>
      <w:tr>
        <w:trPr>
          <w:cantSplit w:val="true"/>
        </w:trPr>
        <w:tc>
          <w:tcPr/>
          <w:p>
            <w:pPr>
              <w:pStyle w:val="Compact"/>
              <w:jc w:val="left"/>
            </w:pPr>
            <w:r>
              <w:rPr>
                <w:rFonts w:ascii="Arial" w:hAnsi="Arial"/>
                <w:sz w:val="18"/>
              </w:rPr>
              <w:t xml:space="preserve">P9</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(online[tiab] OR virtual[tiab] OR videoconference[tiab] OR</w:t>
            </w:r>
            <w:r>
              <w:rPr>
                <w:rFonts w:ascii="Arial" w:hAnsi="Arial"/>
                <w:sz w:val="18"/>
              </w:rPr>
              <w:t xml:space="preserve"> </w:t>
            </w:r>
            <w:r>
              <w:rPr>
                <w:rFonts w:ascii="Arial" w:hAnsi="Arial"/>
                <w:sz w:val="18"/>
              </w:rPr>
              <w:t xml:space="preserve">“</w:t>
            </w:r>
            <w:r>
              <w:rPr>
                <w:rFonts w:ascii="Arial" w:hAnsi="Arial"/>
                <w:sz w:val="18"/>
              </w:rPr>
              <w:t xml:space="preserve">video-based</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video-guided</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instructional video</w:t>
            </w:r>
            <w:r>
              <w:rPr>
                <w:rFonts w:ascii="Arial" w:hAnsi="Arial"/>
                <w:sz w:val="18"/>
              </w:rPr>
              <w:t xml:space="preserve">”</w:t>
            </w:r>
            <w:r>
              <w:rPr>
                <w:rFonts w:ascii="Arial" w:hAnsi="Arial"/>
                <w:sz w:val="18"/>
              </w:rPr>
              <w:t xml:space="preserve">[tiab] OR app[tiab] OR smartphone[tiab] OR</w:t>
            </w:r>
            <w:r>
              <w:rPr>
                <w:rFonts w:ascii="Arial" w:hAnsi="Arial"/>
                <w:sz w:val="18"/>
              </w:rPr>
              <w:t xml:space="preserve"> </w:t>
            </w:r>
            <w:r>
              <w:rPr>
                <w:rFonts w:ascii="Arial" w:hAnsi="Arial"/>
                <w:sz w:val="18"/>
              </w:rPr>
              <w:t xml:space="preserve">“</w:t>
            </w:r>
            <w:r>
              <w:rPr>
                <w:rFonts w:ascii="Arial" w:hAnsi="Arial"/>
                <w:sz w:val="18"/>
              </w:rPr>
              <w:t xml:space="preserve">home-based</w:t>
            </w:r>
            <w:r>
              <w:rPr>
                <w:rFonts w:ascii="Arial" w:hAnsi="Arial"/>
                <w:sz w:val="18"/>
              </w:rPr>
              <w:t xml:space="preserve">”</w:t>
            </w:r>
            <w:r>
              <w:rPr>
                <w:rFonts w:ascii="Arial" w:hAnsi="Arial"/>
                <w:sz w:val="18"/>
              </w:rPr>
              <w:t xml:space="preserve">[tiab]) AND (</w:t>
            </w:r>
            <w:r>
              <w:rPr>
                <w:rFonts w:ascii="Arial" w:hAnsi="Arial"/>
                <w:sz w:val="18"/>
              </w:rPr>
              <w:t xml:space="preserve">“</w:t>
            </w:r>
            <w:r>
              <w:rPr>
                <w:rFonts w:ascii="Arial" w:hAnsi="Arial"/>
                <w:sz w:val="18"/>
              </w:rPr>
              <w:t xml:space="preserve">resistance training</w:t>
            </w:r>
            <w:r>
              <w:rPr>
                <w:rFonts w:ascii="Arial" w:hAnsi="Arial"/>
                <w:sz w:val="18"/>
              </w:rPr>
              <w:t xml:space="preserve">”</w:t>
            </w:r>
            <w:r>
              <w:rPr>
                <w:rFonts w:ascii="Arial" w:hAnsi="Arial"/>
                <w:sz w:val="18"/>
              </w:rPr>
              <w:t xml:space="preserve">[tiab] OR</w:t>
            </w:r>
            <w:r>
              <w:rPr>
                <w:rFonts w:ascii="Arial" w:hAnsi="Arial"/>
                <w:sz w:val="18"/>
              </w:rPr>
              <w:t xml:space="preserve"> </w:t>
            </w:r>
            <w:r>
              <w:rPr>
                <w:rFonts w:ascii="Arial" w:hAnsi="Arial"/>
                <w:sz w:val="18"/>
              </w:rPr>
              <w:t xml:space="preserve">“</w:t>
            </w:r>
            <w:r>
              <w:rPr>
                <w:rFonts w:ascii="Arial" w:hAnsi="Arial"/>
                <w:sz w:val="18"/>
              </w:rPr>
              <w:t xml:space="preserve">strength training</w:t>
            </w:r>
            <w:r>
              <w:rPr>
                <w:rFonts w:ascii="Arial" w:hAnsi="Arial"/>
                <w:sz w:val="18"/>
              </w:rPr>
              <w:t xml:space="preserve">”</w:t>
            </w:r>
            <w:r>
              <w:rPr>
                <w:rFonts w:ascii="Arial" w:hAnsi="Arial"/>
                <w:sz w:val="18"/>
              </w:rPr>
              <w:t xml:space="preserve">[tiab] OR plyometric</w:t>
            </w:r>
            <w:r>
              <w:rPr>
                <w:iCs/>
                <w:rFonts w:ascii="Arial" w:hAnsi="Arial"/>
                <w:i/>
                <w:sz w:val="18"/>
              </w:rPr>
              <w:t xml:space="preserve">[tiab] OR</w:t>
            </w:r>
            <w:r>
              <w:rPr>
                <w:iCs/>
                <w:rFonts w:ascii="Arial" w:hAnsi="Arial"/>
                <w:i/>
                <w:sz w:val="18"/>
              </w:rPr>
              <w:t xml:space="preserve"> </w:t>
            </w:r>
            <w:r>
              <w:rPr>
                <w:iCs/>
                <w:rFonts w:ascii="Arial" w:hAnsi="Arial"/>
                <w:i/>
                <w:sz w:val="18"/>
              </w:rPr>
              <w:t xml:space="preserve">“</w:t>
            </w:r>
            <w:r>
              <w:rPr>
                <w:iCs/>
                <w:rFonts w:ascii="Arial" w:hAnsi="Arial"/>
                <w:i/>
                <w:sz w:val="18"/>
              </w:rPr>
              <w:t xml:space="preserve">jump training</w:t>
            </w:r>
            <w:r>
              <w:rPr>
                <w:iCs/>
                <w:rFonts w:ascii="Arial" w:hAnsi="Arial"/>
                <w:i/>
                <w:sz w:val="18"/>
              </w:rPr>
              <w:t xml:space="preserve">”</w:t>
            </w:r>
            <w:r>
              <w:rPr>
                <w:iCs/>
                <w:rFonts w:ascii="Arial" w:hAnsi="Arial"/>
                <w:i/>
                <w:sz w:val="18"/>
              </w:rPr>
              <w:t xml:space="preserve">[tiab] OR</w:t>
            </w:r>
            <w:r>
              <w:rPr>
                <w:iCs/>
                <w:rFonts w:ascii="Arial" w:hAnsi="Arial"/>
                <w:i/>
                <w:sz w:val="18"/>
              </w:rPr>
              <w:t xml:space="preserve"> </w:t>
            </w:r>
            <w:r>
              <w:rPr>
                <w:iCs/>
                <w:rFonts w:ascii="Arial" w:hAnsi="Arial"/>
                <w:i/>
                <w:sz w:val="18"/>
              </w:rPr>
              <w:t xml:space="preserve">“</w:t>
            </w:r>
            <w:r>
              <w:rPr>
                <w:iCs/>
                <w:rFonts w:ascii="Arial" w:hAnsi="Arial"/>
                <w:i/>
                <w:sz w:val="18"/>
              </w:rPr>
              <w:t xml:space="preserve">neuromuscular training</w:t>
            </w:r>
            <w:r>
              <w:rPr>
                <w:iCs/>
                <w:rFonts w:ascii="Arial" w:hAnsi="Arial"/>
                <w:i/>
                <w:sz w:val="18"/>
              </w:rPr>
              <w:t xml:space="preserve">”</w:t>
            </w:r>
            <w:r>
              <w:rPr>
                <w:iCs/>
                <w:rFonts w:ascii="Arial" w:hAnsi="Arial"/>
                <w:i/>
                <w:sz w:val="18"/>
              </w:rPr>
              <w:t xml:space="preserve">[tiab]) AND (adolescen</w:t>
            </w:r>
            <w:r>
              <w:rPr>
                <w:rFonts w:ascii="Arial" w:hAnsi="Arial"/>
                <w:sz w:val="18"/>
              </w:rPr>
              <w:t xml:space="preserve">[tiab] OR children[tiab] OR youth[tiab] OR school*[tiab]) AND (randomized[tiab] OR randomised[tiab] OR controlled[tiab])</w:t>
            </w:r>
          </w:p>
        </w:tc>
        <w:tc>
          <w:tcPr/>
          <w:p>
            <w:pPr>
              <w:pStyle w:val="Compact"/>
              <w:jc w:val="right"/>
            </w:pPr>
            <w:r>
              <w:rPr>
                <w:rFonts w:ascii="Arial" w:hAnsi="Arial"/>
                <w:sz w:val="18"/>
              </w:rPr>
              <w:t xml:space="preserve">50</w:t>
            </w:r>
          </w:p>
        </w:tc>
        <w:tc>
          <w:tcPr/>
          <w:p>
            <w:pPr>
              <w:pStyle w:val="Compact"/>
              <w:jc w:val="right"/>
            </w:pPr>
            <w:r>
              <w:rPr>
                <w:rFonts w:ascii="Arial" w:hAnsi="Arial"/>
                <w:sz w:val="18"/>
              </w:rPr>
              <w:t xml:space="preserve">50</w:t>
            </w:r>
          </w:p>
        </w:tc>
      </w:tr>
      <w:tr>
        <w:trPr>
          <w:cantSplit w:val="true"/>
        </w:trPr>
        <w:tc>
          <w:tcPr>
            <w:shd w:val="clear" w:color="auto" w:fill="EEF3F9"/>
          </w:tcPr>
          <w:p>
            <w:pPr>
              <w:pStyle w:val="Compact"/>
              <w:jc w:val="left"/>
            </w:pPr>
            <w:r>
              <w:rPr>
                <w:rFonts w:ascii="Arial" w:hAnsi="Arial"/>
                <w:sz w:val="18"/>
              </w:rPr>
              <w:t xml:space="preserve">P10</w:t>
            </w:r>
          </w:p>
        </w:tc>
        <w:tc>
          <w:tcPr>
            <w:shd w:val="clear" w:color="auto" w:fill="EEF3F9"/>
          </w:tcPr>
          <w:p>
            <w:pPr>
              <w:pStyle w:val="Compact"/>
              <w:jc w:val="left"/>
            </w:pPr>
            <w:r>
              <w:rPr>
                <w:rFonts w:ascii="Arial" w:hAnsi="Arial"/>
                <w:sz w:val="18"/>
              </w:rPr>
              <w:t xml:space="preserve">3</w:t>
            </w:r>
          </w:p>
        </w:tc>
        <w:tc>
          <w:tcPr>
            <w:shd w:val="clear" w:color="auto" w:fill="EEF3F9"/>
          </w:tcPr>
          <w:p>
            <w:pPr>
              <w:pStyle w:val="Compact"/>
              <w:jc w:val="left"/>
            </w:pPr>
            <w:r>
              <w:rPr>
                <w:rFonts w:ascii="Arial" w:hAnsi="Arial"/>
                <w:sz w:val="18"/>
              </w:rPr>
              <w:t xml:space="preserve">(online[ti] OR virtual[ti] OR video*[ti] OR remote[ti] OR</w:t>
            </w:r>
            <w:r>
              <w:rPr>
                <w:rFonts w:ascii="Arial" w:hAnsi="Arial"/>
                <w:sz w:val="18"/>
              </w:rPr>
              <w:t xml:space="preserve"> </w:t>
            </w:r>
            <w:r>
              <w:rPr>
                <w:rFonts w:ascii="Arial" w:hAnsi="Arial"/>
                <w:sz w:val="18"/>
              </w:rPr>
              <w:t xml:space="preserve">“</w:t>
            </w:r>
            <w:r>
              <w:rPr>
                <w:rFonts w:ascii="Arial" w:hAnsi="Arial"/>
                <w:sz w:val="18"/>
              </w:rPr>
              <w:t xml:space="preserve">home-based</w:t>
            </w:r>
            <w:r>
              <w:rPr>
                <w:rFonts w:ascii="Arial" w:hAnsi="Arial"/>
                <w:sz w:val="18"/>
              </w:rPr>
              <w:t xml:space="preserve">”</w:t>
            </w:r>
            <w:r>
              <w:rPr>
                <w:rFonts w:ascii="Arial" w:hAnsi="Arial"/>
                <w:sz w:val="18"/>
              </w:rPr>
              <w:t xml:space="preserve">[ti] OR home[ti] OR app[ti] OR digital[ti] OR telemonitoring[ti] OR videoconference[ti]) AND (training[ti] OR exercise[ti] OR programme[ti] OR program[ti] OR protocol[ti]) AND (soccer[tiab] OR football[tiab] OR futsal[tiab])</w:t>
            </w:r>
          </w:p>
        </w:tc>
        <w:tc>
          <w:tcPr>
            <w:shd w:val="clear" w:color="auto" w:fill="EEF3F9"/>
          </w:tcPr>
          <w:p>
            <w:pPr>
              <w:pStyle w:val="Compact"/>
              <w:jc w:val="right"/>
            </w:pPr>
            <w:r>
              <w:rPr>
                <w:rFonts w:ascii="Arial" w:hAnsi="Arial"/>
                <w:sz w:val="18"/>
              </w:rPr>
              <w:t xml:space="preserve">51</w:t>
            </w:r>
          </w:p>
        </w:tc>
        <w:tc>
          <w:tcPr>
            <w:shd w:val="clear" w:color="auto" w:fill="EEF3F9"/>
          </w:tcPr>
          <w:p>
            <w:pPr>
              <w:pStyle w:val="Compact"/>
              <w:jc w:val="right"/>
            </w:pPr>
            <w:r>
              <w:rPr>
                <w:rFonts w:ascii="Arial" w:hAnsi="Arial"/>
                <w:sz w:val="18"/>
              </w:rPr>
              <w:t xml:space="preserve">51</w:t>
            </w:r>
          </w:p>
        </w:tc>
      </w:tr>
      <w:tr>
        <w:trPr>
          <w:cantSplit w:val="true"/>
        </w:trPr>
        <w:tc>
          <w:tcPr/>
          <w:p>
            <w:pPr>
              <w:pStyle w:val="Compact"/>
              <w:jc w:val="left"/>
            </w:pPr>
            <w:r>
              <w:rPr>
                <w:rFonts w:ascii="Arial" w:hAnsi="Arial"/>
                <w:sz w:val="18"/>
              </w:rPr>
              <w:t xml:space="preserve">P11</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(plyometric</w:t>
            </w:r>
            <w:r>
              <w:rPr>
                <w:iCs/>
                <w:rFonts w:ascii="Arial" w:hAnsi="Arial"/>
                <w:i/>
                <w:sz w:val="18"/>
              </w:rPr>
              <w:t xml:space="preserve">[ti] OR jump</w:t>
            </w:r>
            <w:r>
              <w:rPr>
                <w:rFonts w:ascii="Arial" w:hAnsi="Arial"/>
                <w:sz w:val="18"/>
              </w:rPr>
              <w:t xml:space="preserve">[ti] OR</w:t>
            </w:r>
            <w:r>
              <w:rPr>
                <w:rFonts w:ascii="Arial" w:hAnsi="Arial"/>
                <w:sz w:val="18"/>
              </w:rPr>
              <w:t xml:space="preserve"> </w:t>
            </w:r>
            <w:r>
              <w:rPr>
                <w:rFonts w:ascii="Arial" w:hAnsi="Arial"/>
                <w:sz w:val="18"/>
              </w:rPr>
              <w:t xml:space="preserve">“</w:t>
            </w:r>
            <w:r>
              <w:rPr>
                <w:rFonts w:ascii="Arial" w:hAnsi="Arial"/>
                <w:sz w:val="18"/>
              </w:rPr>
              <w:t xml:space="preserve">neuromuscular training</w:t>
            </w:r>
            <w:r>
              <w:rPr>
                <w:rFonts w:ascii="Arial" w:hAnsi="Arial"/>
                <w:sz w:val="18"/>
              </w:rPr>
              <w:t xml:space="preserve">”</w:t>
            </w:r>
            <w:r>
              <w:rPr>
                <w:rFonts w:ascii="Arial" w:hAnsi="Arial"/>
                <w:sz w:val="18"/>
              </w:rPr>
              <w:t xml:space="preserve">[ti] OR</w:t>
            </w:r>
            <w:r>
              <w:rPr>
                <w:rFonts w:ascii="Arial" w:hAnsi="Arial"/>
                <w:sz w:val="18"/>
              </w:rPr>
              <w:t xml:space="preserve"> </w:t>
            </w:r>
            <w:r>
              <w:rPr>
                <w:rFonts w:ascii="Arial" w:hAnsi="Arial"/>
                <w:sz w:val="18"/>
              </w:rPr>
              <w:t xml:space="preserve">“</w:t>
            </w:r>
            <w:r>
              <w:rPr>
                <w:rFonts w:ascii="Arial" w:hAnsi="Arial"/>
                <w:sz w:val="18"/>
              </w:rPr>
              <w:t xml:space="preserve">power training</w:t>
            </w:r>
            <w:r>
              <w:rPr>
                <w:rFonts w:ascii="Arial" w:hAnsi="Arial"/>
                <w:sz w:val="18"/>
              </w:rPr>
              <w:t xml:space="preserve">”</w:t>
            </w:r>
            <w:r>
              <w:rPr>
                <w:rFonts w:ascii="Arial" w:hAnsi="Arial"/>
                <w:sz w:val="18"/>
              </w:rPr>
              <w:t xml:space="preserve">[ti]) AND (video*[ti] OR online[ti] OR home[ti] OR</w:t>
            </w:r>
            <w:r>
              <w:rPr>
                <w:rFonts w:ascii="Arial" w:hAnsi="Arial"/>
                <w:sz w:val="18"/>
              </w:rPr>
              <w:t xml:space="preserve"> </w:t>
            </w:r>
            <w:r>
              <w:rPr>
                <w:rFonts w:ascii="Arial" w:hAnsi="Arial"/>
                <w:sz w:val="18"/>
              </w:rPr>
              <w:t xml:space="preserve">“</w:t>
            </w:r>
            <w:r>
              <w:rPr>
                <w:rFonts w:ascii="Arial" w:hAnsi="Arial"/>
                <w:sz w:val="18"/>
              </w:rPr>
              <w:t xml:space="preserve">home-based</w:t>
            </w:r>
            <w:r>
              <w:rPr>
                <w:rFonts w:ascii="Arial" w:hAnsi="Arial"/>
                <w:sz w:val="18"/>
              </w:rPr>
              <w:t xml:space="preserve">”</w:t>
            </w:r>
            <w:r>
              <w:rPr>
                <w:rFonts w:ascii="Arial" w:hAnsi="Arial"/>
                <w:sz w:val="18"/>
              </w:rPr>
              <w:t xml:space="preserve">[ti] OR remote[ti] OR virtual[ti] OR unsupervised[ti] OR</w:t>
            </w:r>
            <w:r>
              <w:rPr>
                <w:rFonts w:ascii="Arial" w:hAnsi="Arial"/>
                <w:sz w:val="18"/>
              </w:rPr>
              <w:t xml:space="preserve"> </w:t>
            </w:r>
            <w:r>
              <w:rPr>
                <w:rFonts w:ascii="Arial" w:hAnsi="Arial"/>
                <w:sz w:val="18"/>
              </w:rPr>
              <w:t xml:space="preserve">“</w:t>
            </w:r>
            <w:r>
              <w:rPr>
                <w:rFonts w:ascii="Arial" w:hAnsi="Arial"/>
                <w:sz w:val="18"/>
              </w:rPr>
              <w:t xml:space="preserve">self-administered</w:t>
            </w:r>
            <w:r>
              <w:rPr>
                <w:rFonts w:ascii="Arial" w:hAnsi="Arial"/>
                <w:sz w:val="18"/>
              </w:rPr>
              <w:t xml:space="preserve">”</w:t>
            </w:r>
            <w:r>
              <w:rPr>
                <w:rFonts w:ascii="Arial" w:hAnsi="Arial"/>
                <w:sz w:val="18"/>
              </w:rPr>
              <w:t xml:space="preserve">[ti] OR app[ti] OR digital[ti] OR lockdown[ti] OR confinement[ti] OR quarantine[ti])</w:t>
            </w:r>
          </w:p>
        </w:tc>
        <w:tc>
          <w:tcPr/>
          <w:p>
            <w:pPr>
              <w:pStyle w:val="Compact"/>
              <w:jc w:val="right"/>
            </w:pPr>
            <w:r>
              <w:rPr>
                <w:rFonts w:ascii="Arial" w:hAnsi="Arial"/>
                <w:sz w:val="18"/>
              </w:rPr>
              <w:t xml:space="preserve">113</w:t>
            </w:r>
          </w:p>
        </w:tc>
        <w:tc>
          <w:tcPr/>
          <w:p>
            <w:pPr>
              <w:pStyle w:val="Compact"/>
              <w:jc w:val="right"/>
            </w:pPr>
            <w:r>
              <w:rPr>
                <w:rFonts w:ascii="Arial" w:hAnsi="Arial"/>
                <w:sz w:val="18"/>
              </w:rPr>
              <w:t xml:space="preserve">100</w:t>
            </w:r>
          </w:p>
        </w:tc>
      </w:tr>
    </w:tbl>
    <w:p>
      <w:pPr>
        <w:pStyle w:val="BodyText"/>
      </w:pPr>
      <w:r>
        <w:rPr>
          <w:rFonts w:ascii="Arial" w:hAnsi="Arial"/>
        </w:rPr>
        <w:t xml:space="preserve">Eindeutig gesichtet: 517 Treffer (Titelliste im Skriptordner, Spalte „im_befund“). Verworfen: eine Variante von P7 mit</w:t>
      </w:r>
      <w:r>
        <w:rPr>
          <w:rFonts w:ascii="Arial" w:hAnsi="Arial"/>
        </w:rPr>
        <w:t xml:space="preserve"> </w:t>
      </w:r>
      <w:r>
        <w:rPr>
          <w:rFonts w:ascii="Arial" w:hAnsi="Arial"/>
        </w:rPr>
        <w:t xml:space="preserve">“</w:t>
      </w:r>
      <w:r>
        <w:rPr>
          <w:rFonts w:ascii="Arial" w:hAnsi="Arial"/>
        </w:rPr>
        <w:t xml:space="preserve">11+</w:t>
      </w:r>
      <w:r>
        <w:rPr>
          <w:rFonts w:ascii="Arial" w:hAnsi="Arial"/>
        </w:rPr>
        <w:t xml:space="preserve">”</w:t>
      </w:r>
      <w:r>
        <w:rPr>
          <w:rFonts w:ascii="Arial" w:hAnsi="Arial"/>
        </w:rPr>
        <w:t xml:space="preserve">[tiab], weil PubMed das Pluszeichen ignoriert und nach „11“ suchte (324 Treffer, 60 gesichtet, durch P7 ersetzt). Einzelabfragen nach Autor oder Titel: Dauty et al. (2021), Guo et al. (2025), Adliah et al. (2025), Nakamura et al. (2012), Rosa et al. (2023).</w:t>
      </w:r>
    </w:p>
    <w:bookmarkEnd w:id="34"/>
    <w:bookmarkEnd w:id="35"/>
    <w:sectPr>
      <w:pgSz w:orient="landscape" w:w="16838" w:h="11906"/>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2026-09-30T20:20:07Z</dcterms:created>
  <dcterms:modified xsi:type="dcterms:W3CDTF">2026-09-30T20:20:07Z</dcterms:modified>
</cp:coreProperties>
</file>

<file path=docProps/custom.xml><?xml version="1.0" encoding="utf-8"?>
<Properties xmlns="http://schemas.openxmlformats.org/officeDocument/2006/custom-properties" xmlns:vt="http://schemas.openxmlformats.org/officeDocument/2006/docPropsVTypes"/>
</file>