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aa27a40035ef1a5892250aa53bf102b5cde55c5"/>
    <w:p>
      <w:pPr>
        <w:pStyle w:val="Heading1"/>
      </w:pPr>
      <w:r>
        <w:rPr>
          <w:rFonts w:ascii="Arial" w:hAnsi="Arial"/>
        </w:rPr>
        <w:t xml:space="preserve">Recherche Schritt 2: Studien ähnlich Klusemann et al. (2012)</w:t>
      </w:r>
    </w:p>
    <w:p>
      <w:pPr>
        <w:pStyle w:val="FirstParagraph"/>
      </w:pPr>
      <w:r>
        <w:rPr>
          <w:rFonts w:ascii="Arial" w:hAnsi="Arial"/>
        </w:rPr>
        <w:t xml:space="preserve">Befund vom 01.10.2026 · Rev. 142 · Arbeitsdokument, kein Manuskripttext</w:t>
      </w:r>
    </w:p>
    <w:p>
      <w:pPr>
        <w:pStyle w:val="BodyText"/>
      </w:pPr>
      <w:r>
        <w:rPr>
          <w:bCs/>
          <w:rFonts w:ascii="Arial" w:hAnsi="Arial"/>
          <w:b/>
        </w:rPr>
        <w:t xml:space="preserve">Auftrag</w:t>
      </w:r>
      <w:r>
        <w:rPr>
          <w:rFonts w:ascii="Arial" w:hAnsi="Arial"/>
        </w:rPr>
        <w:t xml:space="preserve"> </w:t>
      </w:r>
      <w:r>
        <w:rPr>
          <w:rFonts w:ascii="Arial" w:hAnsi="Arial"/>
        </w:rPr>
        <w:t xml:space="preserve">(Verfasser, 01.10., 15:30 Sitzungsuhr, wörtlich): „suche genauer und weite deine Suche aus. Plyometrie muss nicht untersucht worden sein. Video basiert ist der Fokus. Kurze Periode. Ich brauche ähnliche wie klusemann am besten im Fußball“</w:t>
      </w:r>
    </w:p>
    <w:p>
      <w:pPr>
        <w:pStyle w:val="BodyText"/>
      </w:pPr>
      <w:r>
        <w:rPr>
          <w:bCs/>
          <w:rFonts w:ascii="Arial" w:hAnsi="Arial"/>
          <w:b/>
        </w:rPr>
        <w:t xml:space="preserve">Ablage:</w:t>
      </w:r>
      <w:r>
        <w:rPr>
          <w:rFonts w:ascii="Arial" w:hAnsi="Arial"/>
        </w:rPr>
        <w:t xml:space="preserve"> </w:t>
      </w:r>
      <w:r>
        <w:rPr>
          <w:rStyle w:val="VerbatimChar"/>
          <w:rFonts w:ascii="Arial" w:hAnsi="Arial"/>
          <w:sz w:val="16"/>
        </w:rPr>
        <w:t xml:space="preserve">Claude\02_Befunde\Recherche_Videobasiertes_Training_Schritt2_2026-10-01</w:t>
      </w:r>
      <w:r>
        <w:rPr>
          <w:rFonts w:ascii="Arial" w:hAnsi="Arial"/>
        </w:rPr>
        <w:t xml:space="preserve"> </w:t>
      </w:r>
      <w:r>
        <w:rPr>
          <w:rFonts w:ascii="Arial" w:hAnsi="Arial"/>
        </w:rPr>
        <w:t xml:space="preserve">(.md, .docx, .pdf), Projektkopie</w:t>
      </w:r>
      <w:r>
        <w:rPr>
          <w:rFonts w:ascii="Arial" w:hAnsi="Arial"/>
        </w:rPr>
        <w:t xml:space="preserve"> </w:t>
      </w:r>
      <w:r>
        <w:rPr>
          <w:rStyle w:val="VerbatimChar"/>
          <w:rFonts w:ascii="Arial" w:hAnsi="Arial"/>
          <w:sz w:val="16"/>
        </w:rPr>
        <w:t xml:space="preserve">claude/</w:t>
      </w:r>
      <w:r>
        <w:rPr>
          <w:rFonts w:ascii="Arial" w:hAnsi="Arial"/>
        </w:rPr>
        <w:t xml:space="preserve">. Suchprotokoll mit PMID-Listen (JSON), Fußballtreffer des Suchstrings mit Sichtungsurteil (CSV), Suchstrings (TXT), Berichte der zwei Such-Subagenten und der Gegenprüfung (JSON) in</w:t>
      </w:r>
      <w:r>
        <w:rPr>
          <w:rFonts w:ascii="Arial" w:hAnsi="Arial"/>
        </w:rPr>
        <w:t xml:space="preserve"> </w:t>
      </w:r>
      <w:r>
        <w:rPr>
          <w:rStyle w:val="VerbatimChar"/>
          <w:rFonts w:ascii="Arial" w:hAnsi="Arial"/>
          <w:sz w:val="16"/>
        </w:rPr>
        <w:t xml:space="preserve">Claude\03_Skripte\Recherche_Videobasiertes_Training_Schritt2_2026-10-01\</w:t>
      </w:r>
      <w:r>
        <w:rPr>
          <w:rFonts w:ascii="Arial" w:hAnsi="Arial"/>
        </w:rPr>
        <w:t xml:space="preserve">.</w:t>
      </w:r>
    </w:p>
    <w:p>
      <w:pPr>
        <w:pStyle w:val="BodyText"/>
      </w:pPr>
      <w:r>
        <w:rPr>
          <w:bCs/>
          <w:rFonts w:ascii="Arial" w:hAnsi="Arial"/>
          <w:b/>
        </w:rPr>
        <w:t xml:space="preserve">Bezug:</w:t>
      </w:r>
      <w:r>
        <w:rPr>
          <w:rFonts w:ascii="Arial" w:hAnsi="Arial"/>
        </w:rPr>
        <w:t xml:space="preserve"> </w:t>
      </w:r>
      <w:r>
        <w:rPr>
          <w:rFonts w:ascii="Arial" w:hAnsi="Arial"/>
        </w:rPr>
        <w:t xml:space="preserve">Schritt 1 (</w:t>
      </w:r>
      <w:r>
        <w:rPr>
          <w:rStyle w:val="VerbatimChar"/>
          <w:rFonts w:ascii="Arial" w:hAnsi="Arial"/>
          <w:sz w:val="16"/>
        </w:rPr>
        <w:t xml:space="preserve">02_Befunde\Recherche_Videobasiertes_Training_Nachwuchs_2026-10-01</w:t>
      </w:r>
      <w:r>
        <w:rPr>
          <w:rFonts w:ascii="Arial" w:hAnsi="Arial"/>
        </w:rPr>
        <w:t xml:space="preserve">, Rev. 139) und Rev. 135. Studien von dort erscheinen hier nur, soweit sie für den Vergleich mit Klusemann et al. (2012) zählen.</w:t>
      </w:r>
    </w:p>
    <w:p>
      <w:pPr>
        <w:pStyle w:val="BodyText"/>
      </w:pPr>
      <w:r>
        <w:rPr>
          <w:bCs/>
          <w:rFonts w:ascii="Arial" w:hAnsi="Arial"/>
          <w:b/>
        </w:rPr>
        <w:t xml:space="preserve">Zugangskürzel</w:t>
      </w:r>
      <w:r>
        <w:rPr>
          <w:rFonts w:ascii="Arial" w:hAnsi="Arial"/>
        </w:rPr>
        <w:t xml:space="preserve"> </w:t>
      </w:r>
      <w:r>
        <w:rPr>
          <w:rFonts w:ascii="Arial" w:hAnsi="Arial"/>
        </w:rPr>
        <w:t xml:space="preserve">wie Rev. 139: V = Volltext gelesen · E = frei zugängliche Fassung per Webabruf ausgewertet (KI-gestützte Extraktion, am Original zu prüfen, „Subagent“ = durch einen der Such-Subagenten) · A = nur Abstract. [MDPI] nach F17 § 6.1. Distanz P·D·Z nach F17 § 6.4 (Population, Dosis, Zielgröße, je 0 bis 2). Jahr nach der Version of Record.</w:t>
      </w:r>
    </w:p>
    <w:bookmarkStart w:id="20" w:name="ergebnis-in-kürze"/>
    <w:p>
      <w:pPr>
        <w:pStyle w:val="Heading2"/>
      </w:pPr>
      <w:r>
        <w:rPr>
          <w:rFonts w:ascii="Arial" w:hAnsi="Arial"/>
        </w:rPr>
        <w:t xml:space="preserve">0 Ergebnis in Kürze</w:t>
      </w:r>
    </w:p>
    <w:p>
      <w:pPr>
        <w:numPr>
          <w:ilvl w:val="0"/>
          <w:numId w:val="1001"/>
        </w:numPr>
        <w:pStyle w:val="Compact"/>
      </w:pPr>
      <w:r>
        <w:rPr>
          <w:bCs/>
          <w:rFonts w:ascii="Arial" w:hAnsi="Arial"/>
          <w:b/>
        </w:rPr>
        <w:t xml:space="preserve">Im Fußball kein Gegenstück zu Klusemann et al. (2012).</w:t>
      </w:r>
      <w:r>
        <w:rPr>
          <w:rFonts w:ascii="Arial" w:hAnsi="Arial"/>
        </w:rPr>
        <w:t xml:space="preserve"> </w:t>
      </w:r>
      <w:r>
        <w:rPr>
          <w:rFonts w:ascii="Arial" w:hAnsi="Arial"/>
        </w:rPr>
        <w:t xml:space="preserve">Gesucht war ein körperliches Trainingsprogramm, das überwiegend per Video vermittelt wurde, höchstens rund zwölf Wochen lief, gegen eine Kontrolle oder gegen Präsenz verglichen wurde und Leistung maß. Alle Merkmale erfüllt im Fußball nur eine kleine quasi-experimentelle Studie an 21 Futsalspielerinnen, deren Sprungtraining live per Videokonferenz angeleitet wurde und die keinen Gruppenvergleich der Veränderung berichtet (Estupiñán Corredor &amp; Agudelo Velásquez, 2021). Eine kontrollierte Studie, in der Fußballer ein aufgezeichnetes Videoprogramm ohne Trainer vor Ort absolvierten und gegen eine Kontrolle ohne Programm auf Sprint, Sprung oder Richtungswechsel getestet wurden, fand sich nicht. Diese Fassung folgt der Gegenprüfung (§ 7).</w:t>
      </w:r>
    </w:p>
    <w:p>
      <w:pPr>
        <w:numPr>
          <w:ilvl w:val="0"/>
          <w:numId w:val="1001"/>
        </w:numPr>
        <w:pStyle w:val="Compact"/>
      </w:pPr>
      <w:r>
        <w:rPr>
          <w:bCs/>
          <w:rFonts w:ascii="Arial" w:hAnsi="Arial"/>
          <w:b/>
        </w:rPr>
        <w:t xml:space="preserve">Am nächsten im Fußball</w:t>
      </w:r>
      <w:r>
        <w:rPr>
          <w:rFonts w:ascii="Arial" w:hAnsi="Arial"/>
        </w:rPr>
        <w:t xml:space="preserve"> </w:t>
      </w:r>
      <w:r>
        <w:rPr>
          <w:rFonts w:ascii="Arial" w:hAnsi="Arial"/>
        </w:rPr>
        <w:t xml:space="preserve">(§ 2.1): Wilson et al. (2021) mit einem webbasierten Nackenkraftprogramm über sechs Wochen bei 15-jährigen Spielerinnen und Spielern, Zuteilung nach Mannschaften und Kontrollgruppe. Das ist das Design der eigenen Arbeit am nächsten, die Zielgröße aber fern. Dazu Nuttouch et al. (2023) mit Online- gegen Präsenz-HIIT bei Profis, Scoz et al. (2022) mit täglichen Videoanrufen gegen allgemeine Anweisungen im Lockdown und Lippi et al. (2026) mit digital vermittelter 11+ über sechs Monate.</w:t>
      </w:r>
    </w:p>
    <w:p>
      <w:pPr>
        <w:numPr>
          <w:ilvl w:val="0"/>
          <w:numId w:val="1001"/>
        </w:numPr>
        <w:pStyle w:val="Compact"/>
      </w:pPr>
      <w:r>
        <w:rPr>
          <w:bCs/>
          <w:rFonts w:ascii="Arial" w:hAnsi="Arial"/>
          <w:b/>
        </w:rPr>
        <w:t xml:space="preserve">Andere Sportarten</w:t>
      </w:r>
      <w:r>
        <w:rPr>
          <w:rFonts w:ascii="Arial" w:hAnsi="Arial"/>
        </w:rPr>
        <w:t xml:space="preserve"> </w:t>
      </w:r>
      <w:r>
        <w:rPr>
          <w:rFonts w:ascii="Arial" w:hAnsi="Arial"/>
        </w:rPr>
        <w:t xml:space="preserve">(§ 3): Nach dieser Suche bleibt Klusemann et al. (2012) die einzige randomisierte Studie, die bei Nachwuchssportlern ein Online-Videoprogramm ohne Trainer vor Ort gegen Präsenz und gegen eine Kontrolle ohne Programm prüft. Nahe Verwandte sind Rogers et al. (2020, Onlineplattform mit Übungsvideos gegen hybride Präsenz, Schulathleten, 16 Wochen, nur beschreibend), Kwapisz Dos Santos et al. (2025, App-Heimprogramm, erwachsene Handballer, acht Wochen), Gergüz und Aras Bayram (2023, Yoga per Telerehabilitation, Tennisnachwuchs, acht Wochen) und Wang et al. (2025, Onlinetraining gegen Trainerbetreuung, 20 Personen, acht Wochen, Population nur im Volltext).</w:t>
      </w:r>
    </w:p>
    <w:p>
      <w:pPr>
        <w:numPr>
          <w:ilvl w:val="0"/>
          <w:numId w:val="1001"/>
        </w:numPr>
        <w:pStyle w:val="Compact"/>
      </w:pPr>
      <w:r>
        <w:rPr>
          <w:bCs/>
          <w:rFonts w:ascii="Arial" w:hAnsi="Arial"/>
          <w:b/>
        </w:rPr>
        <w:t xml:space="preserve">Studierende, Freizeitsportler, Schüler</w:t>
      </w:r>
      <w:r>
        <w:rPr>
          <w:rFonts w:ascii="Arial" w:hAnsi="Arial"/>
        </w:rPr>
        <w:t xml:space="preserve"> </w:t>
      </w:r>
      <w:r>
        <w:rPr>
          <w:rFonts w:ascii="Arial" w:hAnsi="Arial"/>
        </w:rPr>
        <w:t xml:space="preserve">(§ 4): Hier stehen die saubersten Vergleiche der Vermittlungsform. Live gegen aufgezeichnet gegen schriftlich (Daveri et al., 2022), Präsenz gegen App mit Videos gegen PDF (Gavanda et al., 2025), Internetvideos gegen Präsenzkurs (McNamara et al., 2008), aufgezeichnetes Video gegen Kontrolle (García-Suárez et al., 2022).</w:t>
      </w:r>
    </w:p>
    <w:p>
      <w:pPr>
        <w:numPr>
          <w:ilvl w:val="0"/>
          <w:numId w:val="1001"/>
        </w:numPr>
        <w:pStyle w:val="Compact"/>
      </w:pPr>
      <w:r>
        <w:rPr>
          <w:bCs/>
          <w:rFonts w:ascii="Arial" w:hAnsi="Arial"/>
          <w:b/>
        </w:rPr>
        <w:t xml:space="preserve">Muster</w:t>
      </w:r>
      <w:r>
        <w:rPr>
          <w:rFonts w:ascii="Arial" w:hAnsi="Arial"/>
        </w:rPr>
        <w:t xml:space="preserve"> </w:t>
      </w:r>
      <w:r>
        <w:rPr>
          <w:rFonts w:ascii="Arial" w:hAnsi="Arial"/>
        </w:rPr>
        <w:t xml:space="preserve">(§ 5): Bei einfachen Leistungstests war zwischen Video- oder Onlinevermittlung und Präsenz kein Unterschied nachweisbar (Klusemann et al., 2012 · Nuttouch et al., 2023 · Lippi et al., 2026 · Wang et al., 2025). Präsenz oder Livebetreuung lag bei Maximalkraft, Bewegungsqualität und Herz-Kreislauf-Größen vorn. Die Teilnahme sank von live über aufgezeichnet zu schriftlich (Daveri et al., 2022) und von Präsenz über App zu PDF (Gavanda et al., 2025). Alle Befunde stammen aus kleinen Einzelstudien mit einer Distanzsumme ab 3. Für die Arbeit tragen sie nur Kontext.</w:t>
      </w:r>
    </w:p>
    <w:p>
      <w:pPr>
        <w:numPr>
          <w:ilvl w:val="0"/>
          <w:numId w:val="1001"/>
        </w:numPr>
        <w:pStyle w:val="Compact"/>
      </w:pPr>
      <w:r>
        <w:rPr>
          <w:bCs/>
          <w:rFonts w:ascii="Arial" w:hAnsi="Arial"/>
          <w:b/>
        </w:rPr>
        <w:t xml:space="preserve">Suchstrings</w:t>
      </w:r>
      <w:r>
        <w:rPr>
          <w:rFonts w:ascii="Arial" w:hAnsi="Arial"/>
        </w:rPr>
        <w:t xml:space="preserve"> </w:t>
      </w:r>
      <w:r>
        <w:rPr>
          <w:rFonts w:ascii="Arial" w:hAnsi="Arial"/>
        </w:rPr>
        <w:t xml:space="preserve">(§ 6): String F (Fußball) 76 und String A (alle Sportarten) 303 Treffer am 01.10.2026, mit Designfilter 46 und 177. Gegen ein Prüfset aus 25 bekannten Studien erfasst String F 10 der 14 Fußballstudien und String A 15 der 25. Die übrigen fehlen, weil sie keine Sportler untersuchten, keine Leistung maßen oder den Vermittlungsweg im Abstract nicht nennen.</w:t>
      </w:r>
    </w:p>
    <w:p>
      <w:pPr>
        <w:numPr>
          <w:ilvl w:val="0"/>
          <w:numId w:val="1001"/>
        </w:numPr>
        <w:pStyle w:val="Compact"/>
      </w:pPr>
      <w:r>
        <w:rPr>
          <w:bCs/>
          <w:rFonts w:ascii="Arial" w:hAnsi="Arial"/>
          <w:b/>
        </w:rPr>
        <w:t xml:space="preserve">Beschaffung</w:t>
      </w:r>
      <w:r>
        <w:rPr>
          <w:rFonts w:ascii="Arial" w:hAnsi="Arial"/>
        </w:rPr>
        <w:t xml:space="preserve"> </w:t>
      </w:r>
      <w:r>
        <w:rPr>
          <w:rFonts w:ascii="Arial" w:hAnsi="Arial"/>
        </w:rPr>
        <w:t xml:space="preserve">(§ 9): Wang et al. (2025, Sport Sciences for Health) zitiert Klusemann et al. (2012) und verglich randomisiert Onlinetraining mit Trainerbetreuung. Alter, Sportart und ob das Onlinetraining live oder aufgezeichnet war, stehen nur im kostenpflichtigen Volltext. Bei Wilson et al. (2021) ist der Videoanteil des Programms ebenfalls nur am Volltext zu klären.</w:t>
      </w:r>
    </w:p>
    <w:bookmarkEnd w:id="20"/>
    <w:bookmarkStart w:id="23" w:name="suchrahmen"/>
    <w:p>
      <w:pPr>
        <w:pStyle w:val="Heading2"/>
      </w:pPr>
      <w:r>
        <w:rPr>
          <w:rFonts w:ascii="Arial" w:hAnsi="Arial"/>
        </w:rPr>
        <w:t xml:space="preserve">1 Suchrahmen</w:t>
      </w:r>
    </w:p>
    <w:bookmarkStart w:id="21" w:name="vergleichsmaßstab"/>
    <w:p>
      <w:pPr>
        <w:pStyle w:val="Heading3"/>
      </w:pPr>
      <w:r>
        <w:rPr>
          <w:rFonts w:ascii="Arial" w:hAnsi="Arial"/>
        </w:rPr>
        <w:t xml:space="preserve">1.1 Vergleichsmaßstab</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116"/>
        <w:gridCol w:w="6509"/>
        <w:gridCol w:w="6172"/>
      </w:tblGrid>
      <w:tr>
        <w:trPr>
          <w:tblHeader w:val="true"/>
          <w:tblHeader w:val="true"/>
          <w:cantSplit w:val="true"/>
        </w:trPr>
        <w:tc>
          <w:tcPr>
            <w:tcW w:type="dxa" w:w="2116"/>
            <w:shd w:val="clear" w:color="auto" w:fill="D6E4F0"/>
          </w:tcPr>
          <w:p>
            <w:pPr>
              <w:pStyle w:val="Compact"/>
              <w:jc w:val="left"/>
            </w:pPr>
            <w:r>
              <w:rPr>
                <w:rFonts w:ascii="Arial" w:hAnsi="Arial"/>
                <w:b/>
                <w:sz w:val="18"/>
              </w:rPr>
              <w:t xml:space="preserve">Merkmal</w:t>
            </w:r>
          </w:p>
        </w:tc>
        <w:tc>
          <w:tcPr>
            <w:tcW w:type="dxa" w:w="6509"/>
            <w:shd w:val="clear" w:color="auto" w:fill="D6E4F0"/>
          </w:tcPr>
          <w:p>
            <w:pPr>
              <w:pStyle w:val="Compact"/>
              <w:jc w:val="left"/>
            </w:pPr>
            <w:r>
              <w:rPr>
                <w:rFonts w:ascii="Arial" w:hAnsi="Arial"/>
                <w:b/>
                <w:sz w:val="18"/>
              </w:rPr>
              <w:t xml:space="preserve">Klusemann et al. (2012)</w:t>
            </w:r>
          </w:p>
        </w:tc>
        <w:tc>
          <w:tcPr>
            <w:tcW w:type="dxa" w:w="6172"/>
            <w:shd w:val="clear" w:color="auto" w:fill="D6E4F0"/>
          </w:tcPr>
          <w:p>
            <w:pPr>
              <w:pStyle w:val="Compact"/>
              <w:jc w:val="left"/>
            </w:pPr>
            <w:r>
              <w:rPr>
                <w:rFonts w:ascii="Arial" w:hAnsi="Arial"/>
                <w:b/>
                <w:sz w:val="18"/>
              </w:rPr>
              <w:t xml:space="preserve">Kriterium dieser Suche</w:t>
            </w:r>
          </w:p>
        </w:tc>
      </w:tr>
      <w:tr>
        <w:trPr>
          <w:cantSplit w:val="true"/>
        </w:trPr>
        <w:tc>
          <w:tcPr>
            <w:tcW w:type="dxa" w:w="2116"/>
          </w:tcPr>
          <w:p>
            <w:pPr>
              <w:pStyle w:val="Compact"/>
              <w:jc w:val="left"/>
            </w:pPr>
            <w:r>
              <w:rPr>
                <w:rFonts w:ascii="Arial" w:hAnsi="Arial"/>
                <w:sz w:val="18"/>
              </w:rPr>
              <w:t xml:space="preserve">Vermittlung</w:t>
            </w:r>
          </w:p>
        </w:tc>
        <w:tc>
          <w:tcPr>
            <w:tcW w:type="dxa" w:w="6509"/>
          </w:tcPr>
          <w:p>
            <w:pPr>
              <w:pStyle w:val="Compact"/>
              <w:jc w:val="left"/>
            </w:pPr>
            <w:r>
              <w:rPr>
                <w:rFonts w:ascii="Arial" w:hAnsi="Arial"/>
                <w:sz w:val="18"/>
              </w:rPr>
              <w:t xml:space="preserve">Online-Videos ohne Trainer vor Ort</w:t>
            </w:r>
          </w:p>
        </w:tc>
        <w:tc>
          <w:tcPr>
            <w:tcW w:type="dxa" w:w="6172"/>
          </w:tcPr>
          <w:p>
            <w:pPr>
              <w:pStyle w:val="Compact"/>
              <w:jc w:val="left"/>
            </w:pPr>
            <w:r>
              <w:rPr>
                <w:rFonts w:ascii="Arial" w:hAnsi="Arial"/>
                <w:sz w:val="18"/>
              </w:rPr>
              <w:t xml:space="preserve">überwiegend per Video: aufgezeichnet, Onlineplattform, App mit Videos oder live per Videokonferenz. Video als Rückmeldung, als Bewegungsmodell in betreuten Einheiten oder als Wahrnehmungstraining zählt nicht</w:t>
            </w:r>
          </w:p>
        </w:tc>
      </w:tr>
      <w:tr>
        <w:trPr>
          <w:cantSplit w:val="true"/>
        </w:trPr>
        <w:tc>
          <w:tcPr>
            <w:tcW w:type="dxa" w:w="2116"/>
            <w:shd w:val="clear" w:color="auto" w:fill="EEF3F9"/>
          </w:tcPr>
          <w:p>
            <w:pPr>
              <w:pStyle w:val="Compact"/>
              <w:jc w:val="left"/>
            </w:pPr>
            <w:r>
              <w:rPr>
                <w:rFonts w:ascii="Arial" w:hAnsi="Arial"/>
                <w:sz w:val="18"/>
              </w:rPr>
              <w:t xml:space="preserve">Inhalt</w:t>
            </w:r>
          </w:p>
        </w:tc>
        <w:tc>
          <w:tcPr>
            <w:tcW w:type="dxa" w:w="6509"/>
            <w:shd w:val="clear" w:color="auto" w:fill="EEF3F9"/>
          </w:tcPr>
          <w:p>
            <w:pPr>
              <w:pStyle w:val="Compact"/>
              <w:jc w:val="left"/>
            </w:pPr>
            <w:r>
              <w:rPr>
                <w:rFonts w:ascii="Arial" w:hAnsi="Arial"/>
                <w:sz w:val="18"/>
              </w:rPr>
              <w:t xml:space="preserve">Krafttraining</w:t>
            </w:r>
          </w:p>
        </w:tc>
        <w:tc>
          <w:tcPr>
            <w:tcW w:type="dxa" w:w="6172"/>
            <w:shd w:val="clear" w:color="auto" w:fill="EEF3F9"/>
          </w:tcPr>
          <w:p>
            <w:pPr>
              <w:pStyle w:val="Compact"/>
              <w:jc w:val="left"/>
            </w:pPr>
            <w:r>
              <w:rPr>
                <w:rFonts w:ascii="Arial" w:hAnsi="Arial"/>
                <w:sz w:val="18"/>
              </w:rPr>
              <w:t xml:space="preserve">jedes körperliche Training, Plyometrie nicht nötig</w:t>
            </w:r>
          </w:p>
        </w:tc>
      </w:tr>
      <w:tr>
        <w:trPr>
          <w:cantSplit w:val="true"/>
        </w:trPr>
        <w:tc>
          <w:tcPr>
            <w:tcW w:type="dxa" w:w="2116"/>
          </w:tcPr>
          <w:p>
            <w:pPr>
              <w:pStyle w:val="Compact"/>
              <w:jc w:val="left"/>
            </w:pPr>
            <w:r>
              <w:rPr>
                <w:rFonts w:ascii="Arial" w:hAnsi="Arial"/>
                <w:sz w:val="18"/>
              </w:rPr>
              <w:t xml:space="preserve">Dauer</w:t>
            </w:r>
          </w:p>
        </w:tc>
        <w:tc>
          <w:tcPr>
            <w:tcW w:type="dxa" w:w="6509"/>
          </w:tcPr>
          <w:p>
            <w:pPr>
              <w:pStyle w:val="Compact"/>
              <w:jc w:val="left"/>
            </w:pPr>
            <w:r>
              <w:rPr>
                <w:rFonts w:ascii="Arial" w:hAnsi="Arial"/>
                <w:sz w:val="18"/>
              </w:rPr>
              <w:t xml:space="preserve">6 Wochen</w:t>
            </w:r>
          </w:p>
        </w:tc>
        <w:tc>
          <w:tcPr>
            <w:tcW w:type="dxa" w:w="6172"/>
          </w:tcPr>
          <w:p>
            <w:pPr>
              <w:pStyle w:val="Compact"/>
              <w:jc w:val="left"/>
            </w:pPr>
            <w:r>
              <w:rPr>
                <w:rFonts w:ascii="Arial" w:hAnsi="Arial"/>
                <w:sz w:val="18"/>
              </w:rPr>
              <w:t xml:space="preserve">kurz, bis rund 12 Wochen, längere nur als Grenzfall</w:t>
            </w:r>
          </w:p>
        </w:tc>
      </w:tr>
      <w:tr>
        <w:trPr>
          <w:cantSplit w:val="true"/>
        </w:trPr>
        <w:tc>
          <w:tcPr>
            <w:tcW w:type="dxa" w:w="2116"/>
            <w:shd w:val="clear" w:color="auto" w:fill="EEF3F9"/>
          </w:tcPr>
          <w:p>
            <w:pPr>
              <w:pStyle w:val="Compact"/>
              <w:jc w:val="left"/>
            </w:pPr>
            <w:r>
              <w:rPr>
                <w:rFonts w:ascii="Arial" w:hAnsi="Arial"/>
                <w:sz w:val="18"/>
              </w:rPr>
              <w:t xml:space="preserve">Vergleich</w:t>
            </w:r>
          </w:p>
        </w:tc>
        <w:tc>
          <w:tcPr>
            <w:tcW w:type="dxa" w:w="6509"/>
            <w:shd w:val="clear" w:color="auto" w:fill="EEF3F9"/>
          </w:tcPr>
          <w:p>
            <w:pPr>
              <w:pStyle w:val="Compact"/>
              <w:jc w:val="left"/>
            </w:pPr>
            <w:r>
              <w:rPr>
                <w:rFonts w:ascii="Arial" w:hAnsi="Arial"/>
                <w:sz w:val="18"/>
              </w:rPr>
              <w:t xml:space="preserve">randomisiert: betreut (13) gegen Video (13) gegen Kontrolle ohne Programm (12)</w:t>
            </w:r>
          </w:p>
        </w:tc>
        <w:tc>
          <w:tcPr>
            <w:tcW w:type="dxa" w:w="6172"/>
            <w:shd w:val="clear" w:color="auto" w:fill="EEF3F9"/>
          </w:tcPr>
          <w:p>
            <w:pPr>
              <w:pStyle w:val="Compact"/>
              <w:jc w:val="left"/>
            </w:pPr>
            <w:r>
              <w:rPr>
                <w:rFonts w:ascii="Arial" w:hAnsi="Arial"/>
                <w:sz w:val="18"/>
              </w:rPr>
              <w:t xml:space="preserve">Kontrolle ohne Programm oder Präsenzbetreuung. Unkontrollierte Studien nur kurz</w:t>
            </w:r>
          </w:p>
        </w:tc>
      </w:tr>
      <w:tr>
        <w:trPr>
          <w:cantSplit w:val="true"/>
        </w:trPr>
        <w:tc>
          <w:tcPr>
            <w:tcW w:type="dxa" w:w="2116"/>
          </w:tcPr>
          <w:p>
            <w:pPr>
              <w:pStyle w:val="Compact"/>
              <w:jc w:val="left"/>
            </w:pPr>
            <w:r>
              <w:rPr>
                <w:rFonts w:ascii="Arial" w:hAnsi="Arial"/>
                <w:sz w:val="18"/>
              </w:rPr>
              <w:t xml:space="preserve">Zielgrößen</w:t>
            </w:r>
          </w:p>
        </w:tc>
        <w:tc>
          <w:tcPr>
            <w:tcW w:type="dxa" w:w="6509"/>
          </w:tcPr>
          <w:p>
            <w:pPr>
              <w:pStyle w:val="Compact"/>
              <w:jc w:val="left"/>
            </w:pPr>
            <w:r>
              <w:rPr>
                <w:rFonts w:ascii="Arial" w:hAnsi="Arial"/>
                <w:sz w:val="18"/>
              </w:rPr>
              <w:t xml:space="preserve">20 m, vertikaler Sprung, Agilität, Line Drill, Yo-Yo IR1, Liegestütz und Klimmzug in 15 s, Sit and Reach, FMS</w:t>
            </w:r>
          </w:p>
        </w:tc>
        <w:tc>
          <w:tcPr>
            <w:tcW w:type="dxa" w:w="6172"/>
          </w:tcPr>
          <w:p>
            <w:pPr>
              <w:pStyle w:val="Compact"/>
              <w:jc w:val="left"/>
            </w:pPr>
            <w:r>
              <w:rPr>
                <w:rFonts w:ascii="Arial" w:hAnsi="Arial"/>
                <w:sz w:val="18"/>
              </w:rPr>
              <w:t xml:space="preserve">körperliche Leistung, vorrangig Sprint, Sprung und Richtungswechsel</w:t>
            </w:r>
          </w:p>
        </w:tc>
      </w:tr>
      <w:tr>
        <w:trPr>
          <w:cantSplit w:val="true"/>
        </w:trPr>
        <w:tc>
          <w:tcPr>
            <w:tcW w:type="dxa" w:w="2116"/>
            <w:shd w:val="clear" w:color="auto" w:fill="EEF3F9"/>
          </w:tcPr>
          <w:p>
            <w:pPr>
              <w:pStyle w:val="Compact"/>
              <w:jc w:val="left"/>
            </w:pPr>
            <w:r>
              <w:rPr>
                <w:rFonts w:ascii="Arial" w:hAnsi="Arial"/>
                <w:sz w:val="18"/>
              </w:rPr>
              <w:t xml:space="preserve">Population</w:t>
            </w:r>
          </w:p>
        </w:tc>
        <w:tc>
          <w:tcPr>
            <w:tcW w:type="dxa" w:w="6509"/>
            <w:shd w:val="clear" w:color="auto" w:fill="EEF3F9"/>
          </w:tcPr>
          <w:p>
            <w:pPr>
              <w:pStyle w:val="Compact"/>
              <w:jc w:val="left"/>
            </w:pPr>
            <w:r>
              <w:rPr>
                <w:rFonts w:ascii="Arial" w:hAnsi="Arial"/>
                <w:sz w:val="18"/>
              </w:rPr>
              <w:t xml:space="preserve">38 Nachwuchsbasketballer (17 m, 14 ± 1 J. · 21 w, 15 ± 1 J.)</w:t>
            </w:r>
          </w:p>
        </w:tc>
        <w:tc>
          <w:tcPr>
            <w:tcW w:type="dxa" w:w="6172"/>
            <w:shd w:val="clear" w:color="auto" w:fill="EEF3F9"/>
          </w:tcPr>
          <w:p>
            <w:pPr>
              <w:pStyle w:val="Compact"/>
              <w:jc w:val="left"/>
            </w:pPr>
            <w:r>
              <w:rPr>
                <w:rFonts w:ascii="Arial" w:hAnsi="Arial"/>
                <w:sz w:val="18"/>
              </w:rPr>
              <w:t xml:space="preserve">Fußball zuerst, dann andere Sportarten, dann Studierende, Freizeitsportler und Schüler</w:t>
            </w:r>
          </w:p>
        </w:tc>
      </w:tr>
      <w:tr>
        <w:trPr>
          <w:cantSplit w:val="true"/>
        </w:trPr>
        <w:tc>
          <w:tcPr>
            <w:tcW w:type="dxa" w:w="2116"/>
          </w:tcPr>
          <w:p>
            <w:pPr>
              <w:pStyle w:val="Compact"/>
              <w:jc w:val="left"/>
            </w:pPr>
            <w:r>
              <w:rPr>
                <w:rFonts w:ascii="Arial" w:hAnsi="Arial"/>
                <w:sz w:val="18"/>
              </w:rPr>
              <w:t xml:space="preserve">Ergebnis</w:t>
            </w:r>
          </w:p>
        </w:tc>
        <w:tc>
          <w:tcPr>
            <w:tcW w:type="dxa" w:w="6509"/>
          </w:tcPr>
          <w:p>
            <w:pPr>
              <w:pStyle w:val="Compact"/>
              <w:jc w:val="left"/>
            </w:pPr>
            <w:r>
              <w:rPr>
                <w:rFonts w:ascii="Arial" w:hAnsi="Arial"/>
                <w:sz w:val="18"/>
              </w:rPr>
              <w:t xml:space="preserve">Video und betreut je 3 bis 5 % ± 2 bis 4 % (90-%-Vertrauensgrenzen) stärker verbessert als die Kontrolle bei vertikalem Sprung, 20 m und Yo-Yo, Liegestütz 28 ± 21 %. FMS nur betreut stärker verbessert (12 ± 10 % gegenüber Video)</w:t>
            </w:r>
          </w:p>
        </w:tc>
        <w:tc>
          <w:tcPr>
            <w:tcW w:type="dxa" w:w="6172"/>
          </w:tcPr>
          <w:p>
            <w:pPr>
              <w:pStyle w:val="Compact"/>
            </w:pPr>
          </w:p>
        </w:tc>
      </w:tr>
    </w:tbl>
    <w:p>
      <w:pPr>
        <w:pStyle w:val="BodyText"/>
      </w:pPr>
      <w:r>
        <w:rPr>
          <w:rFonts w:ascii="Arial" w:hAnsi="Arial"/>
        </w:rPr>
        <w:t xml:space="preserve">Klusemann et al. (2012), JSCR 26(10), 2677–2684, doi 10.1519/JSC.0b013e318241b021, Zugang A. Ein direkter Vergleich Video gegen betreut bei den Leistungstests steht nicht im Abstract (Schritt 1 § 5.1).</w:t>
      </w:r>
    </w:p>
    <w:bookmarkEnd w:id="21"/>
    <w:bookmarkStart w:id="22" w:name="wege"/>
    <w:p>
      <w:pPr>
        <w:pStyle w:val="Heading3"/>
      </w:pPr>
      <w:r>
        <w:rPr>
          <w:rFonts w:ascii="Arial" w:hAnsi="Arial"/>
        </w:rPr>
        <w:t xml:space="preserve">1.2 Wege</w:t>
      </w:r>
    </w:p>
    <w:p>
      <w:pPr>
        <w:numPr>
          <w:ilvl w:val="0"/>
          <w:numId w:val="1002"/>
        </w:numPr>
        <w:pStyle w:val="Compact"/>
      </w:pPr>
      <w:r>
        <w:rPr>
          <w:bCs/>
          <w:rFonts w:ascii="Arial" w:hAnsi="Arial"/>
          <w:b/>
        </w:rPr>
        <w:t xml:space="preserve">PubMed</w:t>
      </w:r>
      <w:r>
        <w:rPr>
          <w:rFonts w:ascii="Arial" w:hAnsi="Arial"/>
        </w:rPr>
        <w:t xml:space="preserve"> </w:t>
      </w:r>
      <w:r>
        <w:rPr>
          <w:rFonts w:ascii="Arial" w:hAnsi="Arial"/>
        </w:rPr>
        <w:t xml:space="preserve">über die E-Utilities: neuer Vermittlungsblock mit 66 Begriffen, Fußball- und Sportartenvariante, Titelsuche, Prüfset aus 25 Studien (§ 6, Anhang A).</w:t>
      </w:r>
    </w:p>
    <w:p>
      <w:pPr>
        <w:numPr>
          <w:ilvl w:val="0"/>
          <w:numId w:val="1002"/>
        </w:numPr>
        <w:pStyle w:val="Compact"/>
      </w:pPr>
      <w:r>
        <w:rPr>
          <w:bCs/>
          <w:rFonts w:ascii="Arial" w:hAnsi="Arial"/>
          <w:b/>
        </w:rPr>
        <w:t xml:space="preserve">Zitationssuche:</w:t>
      </w:r>
      <w:r>
        <w:rPr>
          <w:rFonts w:ascii="Arial" w:hAnsi="Arial"/>
        </w:rPr>
        <w:t xml:space="preserve"> </w:t>
      </w:r>
      <w:r>
        <w:rPr>
          <w:rFonts w:ascii="Arial" w:hAnsi="Arial"/>
        </w:rPr>
        <w:t xml:space="preserve">OpenAlex führt 43 Arbeiten, die Klusemann et al. (2012) zitieren, und 4, die Rogers et al. (2020) zitieren (01.10.2026). Darunter ist genau eine Interventionsstudie mit passender Fragestellung (Wang et al., 2025). Dazu PubMed „Similar articles“ zu Klusemann et al. (2012), rund 280 per Skript gesichtet. Europe PMC und Semantic Scholar wiesen die Abrufe wegen Ratenbegrenzung ab.</w:t>
      </w:r>
    </w:p>
    <w:p>
      <w:pPr>
        <w:numPr>
          <w:ilvl w:val="0"/>
          <w:numId w:val="1002"/>
        </w:numPr>
        <w:pStyle w:val="Compact"/>
      </w:pPr>
      <w:r>
        <w:rPr>
          <w:bCs/>
          <w:rFonts w:ascii="Arial" w:hAnsi="Arial"/>
          <w:b/>
        </w:rPr>
        <w:t xml:space="preserve">Zwei Such-Subagenten</w:t>
      </w:r>
      <w:r>
        <w:rPr>
          <w:rFonts w:ascii="Arial" w:hAnsi="Arial"/>
        </w:rPr>
        <w:t xml:space="preserve"> </w:t>
      </w:r>
      <w:r>
        <w:rPr>
          <w:rFonts w:ascii="Arial" w:hAnsi="Arial"/>
        </w:rPr>
        <w:t xml:space="preserve">(Fußball, andere Sportarten) mit PubMed, PMC, Crossref, DOAJ, Verlagsseiten, Websuche in acht Sprachen und je zwei Consensus-Fragen (Anhang B).</w:t>
      </w:r>
    </w:p>
    <w:p>
      <w:pPr>
        <w:numPr>
          <w:ilvl w:val="0"/>
          <w:numId w:val="1002"/>
        </w:numPr>
        <w:pStyle w:val="Compact"/>
      </w:pPr>
      <w:r>
        <w:rPr>
          <w:bCs/>
          <w:rFonts w:ascii="Arial" w:hAnsi="Arial"/>
          <w:b/>
        </w:rPr>
        <w:t xml:space="preserve">Eigene Prüfung</w:t>
      </w:r>
      <w:r>
        <w:rPr>
          <w:rFonts w:ascii="Arial" w:hAnsi="Arial"/>
        </w:rPr>
        <w:t xml:space="preserve"> </w:t>
      </w:r>
      <w:r>
        <w:rPr>
          <w:rFonts w:ascii="Arial" w:hAnsi="Arial"/>
        </w:rPr>
        <w:t xml:space="preserve">der Kernstudien am Abstract (PubMed) und, wo frei, am Volltext (PMC).</w:t>
      </w:r>
    </w:p>
    <w:p>
      <w:pPr>
        <w:numPr>
          <w:ilvl w:val="0"/>
          <w:numId w:val="1002"/>
        </w:numPr>
        <w:pStyle w:val="Compact"/>
      </w:pPr>
      <w:r>
        <w:rPr>
          <w:bCs/>
          <w:rFonts w:ascii="Arial" w:hAnsi="Arial"/>
          <w:b/>
        </w:rPr>
        <w:t xml:space="preserve">Gegenprüfung</w:t>
      </w:r>
      <w:r>
        <w:rPr>
          <w:rFonts w:ascii="Arial" w:hAnsi="Arial"/>
        </w:rPr>
        <w:t xml:space="preserve"> </w:t>
      </w:r>
      <w:r>
        <w:rPr>
          <w:rFonts w:ascii="Arial" w:hAnsi="Arial"/>
        </w:rPr>
        <w:t xml:space="preserve">durch einen dritten Subagenten ohne Kenntnis des Befunds (§ 7).</w:t>
      </w:r>
    </w:p>
    <w:bookmarkEnd w:id="22"/>
    <w:bookmarkEnd w:id="23"/>
    <w:bookmarkStart w:id="27" w:name="fußball"/>
    <w:p>
      <w:pPr>
        <w:pStyle w:val="Heading2"/>
      </w:pPr>
      <w:r>
        <w:rPr>
          <w:rFonts w:ascii="Arial" w:hAnsi="Arial"/>
        </w:rPr>
        <w:t xml:space="preserve">2 Fußball</w:t>
      </w:r>
    </w:p>
    <w:bookmarkStart w:id="24" w:name="kontrollierte-studien"/>
    <w:p>
      <w:pPr>
        <w:pStyle w:val="Heading3"/>
      </w:pPr>
      <w:r>
        <w:rPr>
          <w:rFonts w:ascii="Arial" w:hAnsi="Arial"/>
        </w:rPr>
        <w:t xml:space="preserve">2.1 Kontrollierte Studien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078"/>
        <w:gridCol w:w="3131"/>
        <w:gridCol w:w="3035"/>
        <w:gridCol w:w="2853"/>
        <w:gridCol w:w="1315"/>
        <w:gridCol w:w="1044"/>
        <w:gridCol w:w="1340"/>
      </w:tblGrid>
      <w:tr>
        <w:trPr>
          <w:tblHeader w:val="true"/>
          <w:tblHeader w:val="true"/>
          <w:cantSplit w:val="true"/>
        </w:trPr>
        <w:tc>
          <w:tcPr>
            <w:tcW w:type="dxa" w:w="2078"/>
            <w:shd w:val="clear" w:color="auto" w:fill="D6E4F0"/>
          </w:tcPr>
          <w:p>
            <w:pPr>
              <w:pStyle w:val="Compact"/>
              <w:jc w:val="left"/>
            </w:pPr>
            <w:r>
              <w:rPr>
                <w:rFonts w:ascii="Arial" w:hAnsi="Arial"/>
                <w:b/>
                <w:sz w:val="18"/>
              </w:rPr>
              <w:t xml:space="preserve">Studie</w:t>
            </w:r>
          </w:p>
        </w:tc>
        <w:tc>
          <w:tcPr>
            <w:tcW w:type="dxa" w:w="3131"/>
            <w:shd w:val="clear" w:color="auto" w:fill="D6E4F0"/>
          </w:tcPr>
          <w:p>
            <w:pPr>
              <w:pStyle w:val="Compact"/>
              <w:jc w:val="left"/>
            </w:pPr>
            <w:r>
              <w:rPr>
                <w:rFonts w:ascii="Arial" w:hAnsi="Arial"/>
                <w:b/>
                <w:sz w:val="18"/>
              </w:rPr>
              <w:t xml:space="preserve">Design, Population</w:t>
            </w:r>
          </w:p>
        </w:tc>
        <w:tc>
          <w:tcPr>
            <w:tcW w:type="dxa" w:w="3035"/>
            <w:shd w:val="clear" w:color="auto" w:fill="D6E4F0"/>
          </w:tcPr>
          <w:p>
            <w:pPr>
              <w:pStyle w:val="Compact"/>
              <w:jc w:val="left"/>
            </w:pPr>
            <w:r>
              <w:rPr>
                <w:rFonts w:ascii="Arial" w:hAnsi="Arial"/>
                <w:b/>
                <w:sz w:val="18"/>
              </w:rPr>
              <w:t xml:space="preserve">Vermittlung, Inhalt, Dauer, Vergleich</w:t>
            </w:r>
          </w:p>
        </w:tc>
        <w:tc>
          <w:tcPr>
            <w:tcW w:type="dxa" w:w="2853"/>
            <w:shd w:val="clear" w:color="auto" w:fill="D6E4F0"/>
          </w:tcPr>
          <w:p>
            <w:pPr>
              <w:pStyle w:val="Compact"/>
              <w:jc w:val="left"/>
            </w:pPr>
            <w:r>
              <w:rPr>
                <w:rFonts w:ascii="Arial" w:hAnsi="Arial"/>
                <w:b/>
                <w:sz w:val="18"/>
              </w:rPr>
              <w:t xml:space="preserve">Leistung</w:t>
            </w:r>
          </w:p>
        </w:tc>
        <w:tc>
          <w:tcPr>
            <w:tcW w:type="dxa" w:w="1315"/>
            <w:shd w:val="clear" w:color="auto" w:fill="D6E4F0"/>
          </w:tcPr>
          <w:p>
            <w:pPr>
              <w:pStyle w:val="Compact"/>
              <w:jc w:val="left"/>
            </w:pPr>
            <w:r>
              <w:rPr>
                <w:rFonts w:ascii="Arial" w:hAnsi="Arial"/>
                <w:b/>
                <w:sz w:val="18"/>
              </w:rPr>
              <w:t xml:space="preserve">Adhärenz</w:t>
            </w:r>
          </w:p>
        </w:tc>
        <w:tc>
          <w:tcPr>
            <w:tcW w:type="dxa" w:w="1044"/>
            <w:shd w:val="clear" w:color="auto" w:fill="D6E4F0"/>
          </w:tcPr>
          <w:p>
            <w:pPr>
              <w:pStyle w:val="Compact"/>
              <w:jc w:val="left"/>
            </w:pPr>
            <w:r>
              <w:rPr>
                <w:rFonts w:ascii="Arial" w:hAnsi="Arial"/>
                <w:b/>
                <w:sz w:val="18"/>
              </w:rPr>
              <w:t xml:space="preserve">P·D·Z (Σ)</w:t>
            </w:r>
          </w:p>
        </w:tc>
        <w:tc>
          <w:tcPr>
            <w:tcW w:type="dxa" w:w="1340"/>
            <w:shd w:val="clear" w:color="auto" w:fill="D6E4F0"/>
          </w:tcPr>
          <w:p>
            <w:pPr>
              <w:pStyle w:val="Compact"/>
              <w:jc w:val="left"/>
            </w:pPr>
            <w:r>
              <w:rPr>
                <w:rFonts w:ascii="Arial" w:hAnsi="Arial"/>
                <w:b/>
                <w:sz w:val="18"/>
              </w:rPr>
              <w:t xml:space="preserve">Zugang</w:t>
            </w:r>
          </w:p>
        </w:tc>
      </w:tr>
      <w:tr>
        <w:trPr>
          <w:cantSplit w:val="true"/>
        </w:trPr>
        <w:tc>
          <w:tcPr>
            <w:tcW w:type="dxa" w:w="2078"/>
          </w:tcPr>
          <w:p>
            <w:pPr>
              <w:pStyle w:val="Compact"/>
              <w:jc w:val="left"/>
            </w:pPr>
            <w:r>
              <w:rPr>
                <w:rFonts w:ascii="Arial" w:hAnsi="Arial"/>
                <w:sz w:val="18"/>
              </w:rPr>
              <w:t xml:space="preserve">Wilson et al. (2021), JSCR 35(4), 1149–1155, online 2018</w:t>
            </w:r>
          </w:p>
        </w:tc>
        <w:tc>
          <w:tcPr>
            <w:tcW w:type="dxa" w:w="3131"/>
          </w:tcPr>
          <w:p>
            <w:pPr>
              <w:pStyle w:val="Compact"/>
              <w:jc w:val="left"/>
            </w:pPr>
            <w:r>
              <w:rPr>
                <w:rFonts w:ascii="Arial" w:hAnsi="Arial"/>
                <w:sz w:val="18"/>
              </w:rPr>
              <w:t xml:space="preserve">Kohortenstudie mit Kontrollgruppe. Mannschaften den Gruppen zugeteilt, nach den Autoren gegen Informationsaustausch, Zufall nicht beschrieben · 83 High-School-Fußballer aus zwei national wettbewerbsfähigen Vereinen, IG 50 (29 m, 21 w), KG 33 (21 m, 12 w), je 15,1 J.</w:t>
            </w:r>
          </w:p>
        </w:tc>
        <w:tc>
          <w:tcPr>
            <w:tcW w:type="dxa" w:w="3035"/>
          </w:tcPr>
          <w:p>
            <w:pPr>
              <w:pStyle w:val="Compact"/>
              <w:jc w:val="left"/>
            </w:pPr>
            <w:r>
              <w:rPr>
                <w:rFonts w:ascii="Arial" w:hAnsi="Arial"/>
                <w:sz w:val="18"/>
              </w:rPr>
              <w:t xml:space="preserve">webbasiertes, progressives Nackenkraftprogramm, 6 Wochen, in der Wettkampfsaison, KG ohne Programm · Videoanteil im Abstract nicht beschrieben</w:t>
            </w:r>
          </w:p>
        </w:tc>
        <w:tc>
          <w:tcPr>
            <w:tcW w:type="dxa" w:w="2853"/>
          </w:tcPr>
          <w:p>
            <w:pPr>
              <w:pStyle w:val="Compact"/>
              <w:jc w:val="left"/>
            </w:pPr>
            <w:r>
              <w:rPr>
                <w:rFonts w:ascii="Arial" w:hAnsi="Arial"/>
                <w:sz w:val="18"/>
              </w:rPr>
              <w:t xml:space="preserve">Nackenkraft (N) in vier Richtungen, drei Messzeitpunkte: IG verbessert, etwa Extension +27,9 N (95-%-KI 18,4 bis 37,5), KG ohne signifikante Veränderung</w:t>
            </w:r>
          </w:p>
        </w:tc>
        <w:tc>
          <w:tcPr>
            <w:tcW w:type="dxa" w:w="1315"/>
          </w:tcPr>
          <w:p>
            <w:pPr>
              <w:pStyle w:val="Compact"/>
              <w:jc w:val="left"/>
            </w:pPr>
            <w:r>
              <w:rPr>
                <w:rFonts w:ascii="Arial" w:hAnsi="Arial"/>
                <w:sz w:val="18"/>
              </w:rPr>
              <w:t xml:space="preserve">im Abstract nicht berichtet</w:t>
            </w:r>
          </w:p>
        </w:tc>
        <w:tc>
          <w:tcPr>
            <w:tcW w:type="dxa" w:w="1044"/>
          </w:tcPr>
          <w:p>
            <w:pPr>
              <w:pStyle w:val="Compact"/>
              <w:jc w:val="left"/>
            </w:pPr>
            <w:r>
              <w:rPr>
                <w:rFonts w:ascii="Arial" w:hAnsi="Arial"/>
                <w:sz w:val="18"/>
              </w:rPr>
              <w:t xml:space="preserve">1–2·1·2 (4–5)</w:t>
            </w:r>
          </w:p>
        </w:tc>
        <w:tc>
          <w:tcPr>
            <w:tcW w:type="dxa" w:w="1340"/>
          </w:tcPr>
          <w:p>
            <w:pPr>
              <w:pStyle w:val="Compact"/>
              <w:jc w:val="left"/>
            </w:pPr>
            <w:r>
              <w:rPr>
                <w:rFonts w:ascii="Arial" w:hAnsi="Arial"/>
                <w:sz w:val="18"/>
              </w:rPr>
              <w:t xml:space="preserve">A</w:t>
            </w:r>
          </w:p>
        </w:tc>
      </w:tr>
      <w:tr>
        <w:trPr>
          <w:cantSplit w:val="true"/>
        </w:trPr>
        <w:tc>
          <w:tcPr>
            <w:tcW w:type="dxa" w:w="2078"/>
            <w:shd w:val="clear" w:color="auto" w:fill="EEF3F9"/>
          </w:tcPr>
          <w:p>
            <w:pPr>
              <w:pStyle w:val="Compact"/>
              <w:jc w:val="left"/>
            </w:pPr>
            <w:r>
              <w:rPr>
                <w:rFonts w:ascii="Arial" w:hAnsi="Arial"/>
                <w:sz w:val="18"/>
              </w:rPr>
              <w:t xml:space="preserve">Estupiñán Corredor &amp; Agudelo Velásquez (2021), VIREF Rev Educ Fís 10(3), 49–65, nicht in PubMed</w:t>
            </w:r>
          </w:p>
        </w:tc>
        <w:tc>
          <w:tcPr>
            <w:tcW w:type="dxa" w:w="3131"/>
            <w:shd w:val="clear" w:color="auto" w:fill="EEF3F9"/>
          </w:tcPr>
          <w:p>
            <w:pPr>
              <w:pStyle w:val="Compact"/>
              <w:jc w:val="left"/>
            </w:pPr>
            <w:r>
              <w:rPr>
                <w:rFonts w:ascii="Arial" w:hAnsi="Arial"/>
                <w:sz w:val="18"/>
              </w:rPr>
              <w:t xml:space="preserve">quasi-experimentell, Gruppen per Los im Videoanruf, im Text zugleich „aleatoriamente“ · 21 Futsalspielerinnen einer Schulmannschaft in Kolumbien, 15,4 ± 0,9 J., EG 11, KG 10</w:t>
            </w:r>
          </w:p>
        </w:tc>
        <w:tc>
          <w:tcPr>
            <w:tcW w:type="dxa" w:w="3035"/>
            <w:shd w:val="clear" w:color="auto" w:fill="EEF3F9"/>
          </w:tcPr>
          <w:p>
            <w:pPr>
              <w:pStyle w:val="Compact"/>
              <w:jc w:val="left"/>
            </w:pPr>
            <w:r>
              <w:rPr>
                <w:rFonts w:ascii="Arial" w:hAnsi="Arial"/>
                <w:sz w:val="18"/>
              </w:rPr>
              <w:t xml:space="preserve">live über Meet und Zoom angeleitet, zu Hause mit Material, das in die Wohnungen gebracht wurde · Sprungprogramm mit konzentrierten Lasten · 8 Wochen, 2 × 60 min · was die KG tat, beschreibt der Artikel nicht</w:t>
            </w:r>
          </w:p>
        </w:tc>
        <w:tc>
          <w:tcPr>
            <w:tcW w:type="dxa" w:w="2853"/>
            <w:shd w:val="clear" w:color="auto" w:fill="EEF3F9"/>
          </w:tcPr>
          <w:p>
            <w:pPr>
              <w:pStyle w:val="Compact"/>
              <w:jc w:val="left"/>
            </w:pPr>
            <w:r>
              <w:rPr>
                <w:rFonts w:ascii="Arial" w:hAnsi="Arial"/>
                <w:sz w:val="18"/>
              </w:rPr>
              <w:t xml:space="preserve">Standweitsprung EG 124,7 → 130,6 cm (p = 0,021 in der Gruppe), KG 132,9 → 131,1 cm (p = 0,111). Kein Gruppenvergleich der Veränderung. Für die KG nennt der Text −0,2 cm, die Tabelle ergibt −1,8 cm</w:t>
            </w:r>
          </w:p>
        </w:tc>
        <w:tc>
          <w:tcPr>
            <w:tcW w:type="dxa" w:w="1315"/>
            <w:shd w:val="clear" w:color="auto" w:fill="EEF3F9"/>
          </w:tcPr>
          <w:p>
            <w:pPr>
              <w:pStyle w:val="Compact"/>
              <w:jc w:val="left"/>
            </w:pPr>
            <w:r>
              <w:rPr>
                <w:rFonts w:ascii="Arial" w:hAnsi="Arial"/>
                <w:sz w:val="18"/>
              </w:rPr>
              <w:t xml:space="preserve">nicht berichtet</w:t>
            </w:r>
          </w:p>
        </w:tc>
        <w:tc>
          <w:tcPr>
            <w:tcW w:type="dxa" w:w="1044"/>
            <w:shd w:val="clear" w:color="auto" w:fill="EEF3F9"/>
          </w:tcPr>
          <w:p>
            <w:pPr>
              <w:pStyle w:val="Compact"/>
              <w:jc w:val="left"/>
            </w:pPr>
            <w:r>
              <w:rPr>
                <w:rFonts w:ascii="Arial" w:hAnsi="Arial"/>
                <w:sz w:val="18"/>
              </w:rPr>
              <w:t xml:space="preserve">2·1·0 (3)</w:t>
            </w:r>
          </w:p>
        </w:tc>
        <w:tc>
          <w:tcPr>
            <w:tcW w:type="dxa" w:w="1340"/>
            <w:shd w:val="clear" w:color="auto" w:fill="EEF3F9"/>
          </w:tcPr>
          <w:p>
            <w:pPr>
              <w:pStyle w:val="Compact"/>
              <w:jc w:val="left"/>
            </w:pPr>
            <w:r>
              <w:rPr>
                <w:rFonts w:ascii="Arial" w:hAnsi="Arial"/>
                <w:sz w:val="18"/>
              </w:rPr>
              <w:t xml:space="preserve">E (Subagent)</w:t>
            </w:r>
          </w:p>
        </w:tc>
      </w:tr>
      <w:tr>
        <w:trPr>
          <w:cantSplit w:val="true"/>
        </w:trPr>
        <w:tc>
          <w:tcPr>
            <w:tcW w:type="dxa" w:w="2078"/>
          </w:tcPr>
          <w:p>
            <w:pPr>
              <w:pStyle w:val="Compact"/>
              <w:jc w:val="left"/>
            </w:pPr>
            <w:r>
              <w:rPr>
                <w:rFonts w:ascii="Arial" w:hAnsi="Arial"/>
                <w:sz w:val="18"/>
              </w:rPr>
              <w:t xml:space="preserve">Nuttouch, Hemarachatanon &amp; Huntula (2023), Phys Educ Theory Methodol 23(6), 819–824, nicht in PubMed, DOAJ</w:t>
            </w:r>
          </w:p>
        </w:tc>
        <w:tc>
          <w:tcPr>
            <w:tcW w:type="dxa" w:w="3131"/>
          </w:tcPr>
          <w:p>
            <w:pPr>
              <w:pStyle w:val="Compact"/>
              <w:jc w:val="left"/>
            </w:pPr>
            <w:r>
              <w:rPr>
                <w:rFonts w:ascii="Arial" w:hAnsi="Arial"/>
                <w:sz w:val="18"/>
              </w:rPr>
              <w:t xml:space="preserve">randomisiert · 30 Profis der Thai League 2, rund 23 J., Geschlecht nicht ausdrücklich berichtet, online 15, vor Ort 15</w:t>
            </w:r>
          </w:p>
        </w:tc>
        <w:tc>
          <w:tcPr>
            <w:tcW w:type="dxa" w:w="3035"/>
          </w:tcPr>
          <w:p>
            <w:pPr>
              <w:pStyle w:val="Compact"/>
              <w:jc w:val="left"/>
            </w:pPr>
            <w:r>
              <w:rPr>
                <w:rFonts w:ascii="Arial" w:hAnsi="Arial"/>
                <w:sz w:val="18"/>
              </w:rPr>
              <w:t xml:space="preserve">dasselbe HIIT online gegen vor Ort, 8 Wochen, 5×/Woche · Plattform, live oder aufgezeichnet und Aufsicht im Volltext nicht beschrieben · keine Kontrolle ohne Programm</w:t>
            </w:r>
          </w:p>
        </w:tc>
        <w:tc>
          <w:tcPr>
            <w:tcW w:type="dxa" w:w="2853"/>
          </w:tcPr>
          <w:p>
            <w:pPr>
              <w:pStyle w:val="Compact"/>
              <w:jc w:val="left"/>
            </w:pPr>
            <w:r>
              <w:rPr>
                <w:rFonts w:ascii="Arial" w:hAnsi="Arial"/>
                <w:sz w:val="18"/>
              </w:rPr>
              <w:t xml:space="preserve">VO2max (aus dem Yo-Yo-Test geschätzt) und RAST in beiden Gruppen verbessert, kein signifikanter Gruppenunterschied</w:t>
            </w:r>
          </w:p>
        </w:tc>
        <w:tc>
          <w:tcPr>
            <w:tcW w:type="dxa" w:w="1315"/>
          </w:tcPr>
          <w:p>
            <w:pPr>
              <w:pStyle w:val="Compact"/>
              <w:jc w:val="left"/>
            </w:pPr>
            <w:r>
              <w:rPr>
                <w:rFonts w:ascii="Arial" w:hAnsi="Arial"/>
                <w:sz w:val="18"/>
              </w:rPr>
              <w:t xml:space="preserve">nicht berichtet</w:t>
            </w:r>
          </w:p>
        </w:tc>
        <w:tc>
          <w:tcPr>
            <w:tcW w:type="dxa" w:w="1044"/>
          </w:tcPr>
          <w:p>
            <w:pPr>
              <w:pStyle w:val="Compact"/>
              <w:jc w:val="left"/>
            </w:pPr>
            <w:r>
              <w:rPr>
                <w:rFonts w:ascii="Arial" w:hAnsi="Arial"/>
                <w:sz w:val="18"/>
              </w:rPr>
              <w:t xml:space="preserve">2·2·1 (5)</w:t>
            </w:r>
          </w:p>
        </w:tc>
        <w:tc>
          <w:tcPr>
            <w:tcW w:type="dxa" w:w="1340"/>
          </w:tcPr>
          <w:p>
            <w:pPr>
              <w:pStyle w:val="Compact"/>
              <w:jc w:val="left"/>
            </w:pPr>
            <w:r>
              <w:rPr>
                <w:rFonts w:ascii="Arial" w:hAnsi="Arial"/>
                <w:sz w:val="18"/>
              </w:rPr>
              <w:t xml:space="preserve">E (Subagent)</w:t>
            </w:r>
          </w:p>
        </w:tc>
      </w:tr>
      <w:tr>
        <w:trPr>
          <w:cantSplit w:val="true"/>
        </w:trPr>
        <w:tc>
          <w:tcPr>
            <w:tcW w:type="dxa" w:w="2078"/>
            <w:shd w:val="clear" w:color="auto" w:fill="EEF3F9"/>
          </w:tcPr>
          <w:p>
            <w:pPr>
              <w:pStyle w:val="Compact"/>
              <w:jc w:val="left"/>
            </w:pPr>
            <w:r>
              <w:rPr>
                <w:rFonts w:ascii="Arial" w:hAnsi="Arial"/>
                <w:sz w:val="18"/>
              </w:rPr>
              <w:t xml:space="preserve">Scoz et al. (2022), J Sports Med 2022, 8242210</w:t>
            </w:r>
          </w:p>
        </w:tc>
        <w:tc>
          <w:tcPr>
            <w:tcW w:type="dxa" w:w="3131"/>
            <w:shd w:val="clear" w:color="auto" w:fill="EEF3F9"/>
          </w:tcPr>
          <w:p>
            <w:pPr>
              <w:pStyle w:val="Compact"/>
              <w:jc w:val="left"/>
            </w:pPr>
            <w:r>
              <w:rPr>
                <w:rFonts w:ascii="Arial" w:hAnsi="Arial"/>
                <w:sz w:val="18"/>
              </w:rPr>
              <w:t xml:space="preserve">retrospektive Kohorte, zwei brasilianische Profiteams, Fallzahlen im zugänglichen Text nicht prüfbar</w:t>
            </w:r>
          </w:p>
        </w:tc>
        <w:tc>
          <w:tcPr>
            <w:tcW w:type="dxa" w:w="3035"/>
            <w:shd w:val="clear" w:color="auto" w:fill="EEF3F9"/>
          </w:tcPr>
          <w:p>
            <w:pPr>
              <w:pStyle w:val="Compact"/>
              <w:jc w:val="left"/>
            </w:pPr>
            <w:r>
              <w:rPr>
                <w:rFonts w:ascii="Arial" w:hAnsi="Arial"/>
                <w:sz w:val="18"/>
              </w:rPr>
              <w:t xml:space="preserve">6 Wochen Lockdown, Heimtraining 2 × täglich. Team A täglicher Videoanruf mit dem Athletiktrainer zu Anleitung, Kontrolle und Motivation, Team B dieselben Vorgaben mit allgemeinen Anweisungen zu Beginn</w:t>
            </w:r>
          </w:p>
        </w:tc>
        <w:tc>
          <w:tcPr>
            <w:tcW w:type="dxa" w:w="2853"/>
            <w:shd w:val="clear" w:color="auto" w:fill="EEF3F9"/>
          </w:tcPr>
          <w:p>
            <w:pPr>
              <w:pStyle w:val="Compact"/>
              <w:jc w:val="left"/>
            </w:pPr>
            <w:r>
              <w:rPr>
                <w:rFonts w:ascii="Arial" w:hAnsi="Arial"/>
                <w:sz w:val="18"/>
              </w:rPr>
              <w:t xml:space="preserve">isokinetisch: in Team B sank das exzentrische Drehmoment der Knieflexoren (p &lt; 0,01), der funktionelle H/Q-Quotient mit großem Effekt, im Text ohne p-Wert. Team A ohne signifikante Veränderung. Die angegebenen partiellen Eta-Quadrate liegen über 1 und sind nicht zu übernehmen</w:t>
            </w:r>
          </w:p>
        </w:tc>
        <w:tc>
          <w:tcPr>
            <w:tcW w:type="dxa" w:w="1315"/>
            <w:shd w:val="clear" w:color="auto" w:fill="EEF3F9"/>
          </w:tcPr>
          <w:p>
            <w:pPr>
              <w:pStyle w:val="Compact"/>
              <w:jc w:val="left"/>
            </w:pPr>
            <w:r>
              <w:rPr>
                <w:rFonts w:ascii="Arial" w:hAnsi="Arial"/>
                <w:sz w:val="18"/>
              </w:rPr>
              <w:t xml:space="preserve">nicht berichtet</w:t>
            </w:r>
          </w:p>
        </w:tc>
        <w:tc>
          <w:tcPr>
            <w:tcW w:type="dxa" w:w="1044"/>
            <w:shd w:val="clear" w:color="auto" w:fill="EEF3F9"/>
          </w:tcPr>
          <w:p>
            <w:pPr>
              <w:pStyle w:val="Compact"/>
              <w:jc w:val="left"/>
            </w:pPr>
            <w:r>
              <w:rPr>
                <w:rFonts w:ascii="Arial" w:hAnsi="Arial"/>
                <w:sz w:val="18"/>
              </w:rPr>
              <w:t xml:space="preserve">2·2·2 (6)</w:t>
            </w:r>
          </w:p>
        </w:tc>
        <w:tc>
          <w:tcPr>
            <w:tcW w:type="dxa" w:w="1340"/>
            <w:shd w:val="clear" w:color="auto" w:fill="EEF3F9"/>
          </w:tcPr>
          <w:p>
            <w:pPr>
              <w:pStyle w:val="Compact"/>
              <w:jc w:val="left"/>
            </w:pPr>
            <w:r>
              <w:rPr>
                <w:rFonts w:ascii="Arial" w:hAnsi="Arial"/>
                <w:sz w:val="18"/>
              </w:rPr>
              <w:t xml:space="preserve">E (PMC ohne Tabellen, Subagent)</w:t>
            </w:r>
          </w:p>
        </w:tc>
      </w:tr>
      <w:tr>
        <w:trPr>
          <w:cantSplit w:val="true"/>
        </w:trPr>
        <w:tc>
          <w:tcPr>
            <w:tcW w:type="dxa" w:w="2078"/>
          </w:tcPr>
          <w:p>
            <w:pPr>
              <w:pStyle w:val="Compact"/>
              <w:jc w:val="left"/>
            </w:pPr>
            <w:r>
              <w:rPr>
                <w:rFonts w:ascii="Arial" w:hAnsi="Arial"/>
                <w:sz w:val="18"/>
              </w:rPr>
              <w:t xml:space="preserve">Lippi et al. (2026), J Back Musculoskelet Rehabil 39(4), 1216–1233, online 2025</w:t>
            </w:r>
          </w:p>
        </w:tc>
        <w:tc>
          <w:tcPr>
            <w:tcW w:type="dxa" w:w="3131"/>
          </w:tcPr>
          <w:p>
            <w:pPr>
              <w:pStyle w:val="Compact"/>
              <w:jc w:val="left"/>
            </w:pPr>
            <w:r>
              <w:rPr>
                <w:rFonts w:ascii="Arial" w:hAnsi="Arial"/>
                <w:sz w:val="18"/>
              </w:rPr>
              <w:t xml:space="preserve">RCT, 55 Fußballer, 15 bis 40 J. (Mittel rund 20)</w:t>
            </w:r>
          </w:p>
        </w:tc>
        <w:tc>
          <w:tcPr>
            <w:tcW w:type="dxa" w:w="3035"/>
          </w:tcPr>
          <w:p>
            <w:pPr>
              <w:pStyle w:val="Compact"/>
              <w:jc w:val="left"/>
            </w:pPr>
            <w:r>
              <w:rPr>
                <w:rFonts w:ascii="Arial" w:hAnsi="Arial"/>
                <w:sz w:val="18"/>
              </w:rPr>
              <w:t xml:space="preserve">FIFA 11+ digital mit Telemonitoring gegen Präsenz, 6 Monate, 2×/Woche, Videoanteil nicht prüfbar</w:t>
            </w:r>
          </w:p>
        </w:tc>
        <w:tc>
          <w:tcPr>
            <w:tcW w:type="dxa" w:w="2853"/>
          </w:tcPr>
          <w:p>
            <w:pPr>
              <w:pStyle w:val="Compact"/>
              <w:jc w:val="left"/>
            </w:pPr>
            <w:r>
              <w:rPr>
                <w:rFonts w:ascii="Arial" w:hAnsi="Arial"/>
                <w:sz w:val="18"/>
              </w:rPr>
              <w:t xml:space="preserve">beide Gruppen verbessert, kein Gruppenunterschied bei Kraft, Herzfrequenz, Anstrengung und Agilität (Schritt 1 § 2.1)</w:t>
            </w:r>
          </w:p>
        </w:tc>
        <w:tc>
          <w:tcPr>
            <w:tcW w:type="dxa" w:w="1315"/>
          </w:tcPr>
          <w:p>
            <w:pPr>
              <w:pStyle w:val="Compact"/>
              <w:jc w:val="left"/>
            </w:pPr>
            <w:r>
              <w:rPr>
                <w:rFonts w:ascii="Arial" w:hAnsi="Arial"/>
                <w:sz w:val="18"/>
              </w:rPr>
              <w:t xml:space="preserve">als Ziel genannt, Werte nicht prüfbar</w:t>
            </w:r>
          </w:p>
        </w:tc>
        <w:tc>
          <w:tcPr>
            <w:tcW w:type="dxa" w:w="1044"/>
          </w:tcPr>
          <w:p>
            <w:pPr>
              <w:pStyle w:val="Compact"/>
              <w:jc w:val="left"/>
            </w:pPr>
            <w:r>
              <w:rPr>
                <w:rFonts w:ascii="Arial" w:hAnsi="Arial"/>
                <w:sz w:val="18"/>
              </w:rPr>
              <w:t xml:space="preserve">2·2·1 (5)</w:t>
            </w:r>
          </w:p>
        </w:tc>
        <w:tc>
          <w:tcPr>
            <w:tcW w:type="dxa" w:w="1340"/>
          </w:tcPr>
          <w:p>
            <w:pPr>
              <w:pStyle w:val="Compact"/>
              <w:jc w:val="left"/>
            </w:pPr>
            <w:r>
              <w:rPr>
                <w:rFonts w:ascii="Arial" w:hAnsi="Arial"/>
                <w:sz w:val="18"/>
              </w:rPr>
              <w:t xml:space="preserve">A</w:t>
            </w:r>
          </w:p>
        </w:tc>
      </w:tr>
    </w:tbl>
    <w:bookmarkEnd w:id="24"/>
    <w:bookmarkStart w:id="25" w:name="Xd20135935a3979fa0697da769a8be691d2fffdf"/>
    <w:p>
      <w:pPr>
        <w:pStyle w:val="Heading3"/>
      </w:pPr>
      <w:r>
        <w:rPr>
          <w:rFonts w:ascii="Arial" w:hAnsi="Arial"/>
        </w:rPr>
        <w:t xml:space="preserve">2.2 Ohne Kontrolle, mit Videobegleitung (Kontext)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619"/>
        <w:gridCol w:w="3737"/>
        <w:gridCol w:w="3260"/>
        <w:gridCol w:w="3678"/>
        <w:gridCol w:w="1504"/>
      </w:tblGrid>
      <w:tr>
        <w:trPr>
          <w:tblHeader w:val="true"/>
          <w:tblHeader w:val="true"/>
          <w:cantSplit w:val="true"/>
        </w:trPr>
        <w:tc>
          <w:tcPr>
            <w:tcW w:type="dxa" w:w="2619"/>
            <w:shd w:val="clear" w:color="auto" w:fill="D6E4F0"/>
          </w:tcPr>
          <w:p>
            <w:pPr>
              <w:pStyle w:val="Compact"/>
              <w:jc w:val="left"/>
            </w:pPr>
            <w:r>
              <w:rPr>
                <w:rFonts w:ascii="Arial" w:hAnsi="Arial"/>
                <w:b/>
                <w:sz w:val="18"/>
              </w:rPr>
              <w:t xml:space="preserve">Studie</w:t>
            </w:r>
          </w:p>
        </w:tc>
        <w:tc>
          <w:tcPr>
            <w:tcW w:type="dxa" w:w="3737"/>
            <w:shd w:val="clear" w:color="auto" w:fill="D6E4F0"/>
          </w:tcPr>
          <w:p>
            <w:pPr>
              <w:pStyle w:val="Compact"/>
              <w:jc w:val="left"/>
            </w:pPr>
            <w:r>
              <w:rPr>
                <w:rFonts w:ascii="Arial" w:hAnsi="Arial"/>
                <w:b/>
                <w:sz w:val="18"/>
              </w:rPr>
              <w:t xml:space="preserve">Population</w:t>
            </w:r>
          </w:p>
        </w:tc>
        <w:tc>
          <w:tcPr>
            <w:tcW w:type="dxa" w:w="3260"/>
            <w:shd w:val="clear" w:color="auto" w:fill="D6E4F0"/>
          </w:tcPr>
          <w:p>
            <w:pPr>
              <w:pStyle w:val="Compact"/>
              <w:jc w:val="left"/>
            </w:pPr>
            <w:r>
              <w:rPr>
                <w:rFonts w:ascii="Arial" w:hAnsi="Arial"/>
                <w:b/>
                <w:sz w:val="18"/>
              </w:rPr>
              <w:t xml:space="preserve">Vermittlung, Dauer</w:t>
            </w:r>
          </w:p>
        </w:tc>
        <w:tc>
          <w:tcPr>
            <w:tcW w:type="dxa" w:w="3678"/>
            <w:shd w:val="clear" w:color="auto" w:fill="D6E4F0"/>
          </w:tcPr>
          <w:p>
            <w:pPr>
              <w:pStyle w:val="Compact"/>
              <w:jc w:val="left"/>
            </w:pPr>
            <w:r>
              <w:rPr>
                <w:rFonts w:ascii="Arial" w:hAnsi="Arial"/>
                <w:b/>
                <w:sz w:val="18"/>
              </w:rPr>
              <w:t xml:space="preserve">Befund</w:t>
            </w:r>
          </w:p>
        </w:tc>
        <w:tc>
          <w:tcPr>
            <w:tcW w:type="dxa" w:w="1504"/>
            <w:shd w:val="clear" w:color="auto" w:fill="D6E4F0"/>
          </w:tcPr>
          <w:p>
            <w:pPr>
              <w:pStyle w:val="Compact"/>
              <w:jc w:val="left"/>
            </w:pPr>
            <w:r>
              <w:rPr>
                <w:rFonts w:ascii="Arial" w:hAnsi="Arial"/>
                <w:b/>
                <w:sz w:val="18"/>
              </w:rPr>
              <w:t xml:space="preserve">Zugang</w:t>
            </w:r>
          </w:p>
        </w:tc>
      </w:tr>
      <w:tr>
        <w:trPr>
          <w:cantSplit w:val="true"/>
        </w:trPr>
        <w:tc>
          <w:tcPr>
            <w:tcW w:type="dxa" w:w="2619"/>
          </w:tcPr>
          <w:p>
            <w:pPr>
              <w:pStyle w:val="Compact"/>
              <w:jc w:val="left"/>
            </w:pPr>
            <w:r>
              <w:rPr>
                <w:rFonts w:ascii="Arial" w:hAnsi="Arial"/>
                <w:sz w:val="18"/>
              </w:rPr>
              <w:t xml:space="preserve">Kalinowski et al. (2021), IJERPH 18(12), 6195 [MDPI]</w:t>
            </w:r>
          </w:p>
        </w:tc>
        <w:tc>
          <w:tcPr>
            <w:tcW w:type="dxa" w:w="3737"/>
          </w:tcPr>
          <w:p>
            <w:pPr>
              <w:pStyle w:val="Compact"/>
              <w:jc w:val="left"/>
            </w:pPr>
            <w:r>
              <w:rPr>
                <w:rFonts w:ascii="Arial" w:hAnsi="Arial"/>
                <w:sz w:val="18"/>
              </w:rPr>
              <w:t xml:space="preserve">24 U15-Spieler einer Akademie, 14,8 J.</w:t>
            </w:r>
          </w:p>
        </w:tc>
        <w:tc>
          <w:tcPr>
            <w:tcW w:type="dxa" w:w="3260"/>
          </w:tcPr>
          <w:p>
            <w:pPr>
              <w:pStyle w:val="Compact"/>
              <w:jc w:val="left"/>
            </w:pPr>
            <w:r>
              <w:rPr>
                <w:rFonts w:ascii="Arial" w:hAnsi="Arial"/>
                <w:sz w:val="18"/>
              </w:rPr>
              <w:t xml:space="preserve">live über Zoom mit Korrektur in Echtzeit, 8 Wochen Quarantäne</w:t>
            </w:r>
          </w:p>
        </w:tc>
        <w:tc>
          <w:tcPr>
            <w:tcW w:type="dxa" w:w="3678"/>
          </w:tcPr>
          <w:p>
            <w:pPr>
              <w:pStyle w:val="Compact"/>
              <w:jc w:val="left"/>
            </w:pPr>
            <w:r>
              <w:rPr>
                <w:rFonts w:ascii="Arial" w:hAnsi="Arial"/>
                <w:sz w:val="18"/>
              </w:rPr>
              <w:t xml:space="preserve">Beep-Test nach der Rückkehr schlechter als an allen anderen Messpunkten, erst nach zwei Mesozyklen über dem Stand vor der Pandemie</w:t>
            </w:r>
          </w:p>
        </w:tc>
        <w:tc>
          <w:tcPr>
            <w:tcW w:type="dxa" w:w="1504"/>
          </w:tcPr>
          <w:p>
            <w:pPr>
              <w:pStyle w:val="Compact"/>
              <w:jc w:val="left"/>
            </w:pPr>
            <w:r>
              <w:rPr>
                <w:rFonts w:ascii="Arial" w:hAnsi="Arial"/>
                <w:sz w:val="18"/>
              </w:rPr>
              <w:t xml:space="preserve">V (Subagent)</w:t>
            </w:r>
          </w:p>
        </w:tc>
      </w:tr>
      <w:tr>
        <w:trPr>
          <w:cantSplit w:val="true"/>
        </w:trPr>
        <w:tc>
          <w:tcPr>
            <w:tcW w:type="dxa" w:w="2619"/>
            <w:shd w:val="clear" w:color="auto" w:fill="EEF3F9"/>
          </w:tcPr>
          <w:p>
            <w:pPr>
              <w:pStyle w:val="Compact"/>
              <w:jc w:val="left"/>
            </w:pPr>
            <w:r>
              <w:rPr>
                <w:rFonts w:ascii="Arial" w:hAnsi="Arial"/>
                <w:sz w:val="18"/>
              </w:rPr>
              <w:t xml:space="preserve">Dauty et al. (2021), J Sports Med Phys Fitness 61(9), 1252–1257</w:t>
            </w:r>
          </w:p>
        </w:tc>
        <w:tc>
          <w:tcPr>
            <w:tcW w:type="dxa" w:w="3737"/>
            <w:shd w:val="clear" w:color="auto" w:fill="EEF3F9"/>
          </w:tcPr>
          <w:p>
            <w:pPr>
              <w:pStyle w:val="Compact"/>
              <w:jc w:val="left"/>
            </w:pPr>
            <w:r>
              <w:rPr>
                <w:rFonts w:ascii="Arial" w:hAnsi="Arial"/>
                <w:sz w:val="18"/>
              </w:rPr>
              <w:t xml:space="preserve">25 Elite-Nachwuchsspieler, 14 J., 19 im Post-Test</w:t>
            </w:r>
          </w:p>
        </w:tc>
        <w:tc>
          <w:tcPr>
            <w:tcW w:type="dxa" w:w="3260"/>
            <w:shd w:val="clear" w:color="auto" w:fill="EEF3F9"/>
          </w:tcPr>
          <w:p>
            <w:pPr>
              <w:pStyle w:val="Compact"/>
              <w:jc w:val="left"/>
            </w:pPr>
            <w:r>
              <w:rPr>
                <w:rFonts w:ascii="Arial" w:hAnsi="Arial"/>
                <w:sz w:val="18"/>
              </w:rPr>
              <w:t xml:space="preserve">Programm „monitored remotely via the web“, Übungsvideos laut Sekundärquelle (Paludo et al., 2022), rund 8 Wochen</w:t>
            </w:r>
          </w:p>
        </w:tc>
        <w:tc>
          <w:tcPr>
            <w:tcW w:type="dxa" w:w="3678"/>
            <w:shd w:val="clear" w:color="auto" w:fill="EEF3F9"/>
          </w:tcPr>
          <w:p>
            <w:pPr>
              <w:pStyle w:val="Compact"/>
              <w:jc w:val="left"/>
            </w:pPr>
            <w:r>
              <w:rPr>
                <w:rFonts w:ascii="Arial" w:hAnsi="Arial"/>
                <w:sz w:val="18"/>
              </w:rPr>
              <w:t xml:space="preserve">Yo-Yo-Strecke −25 %, Laufgeschwindigkeit −5 %</w:t>
            </w:r>
          </w:p>
        </w:tc>
        <w:tc>
          <w:tcPr>
            <w:tcW w:type="dxa" w:w="1504"/>
            <w:shd w:val="clear" w:color="auto" w:fill="EEF3F9"/>
          </w:tcPr>
          <w:p>
            <w:pPr>
              <w:pStyle w:val="Compact"/>
              <w:jc w:val="left"/>
            </w:pPr>
            <w:r>
              <w:rPr>
                <w:rFonts w:ascii="Arial" w:hAnsi="Arial"/>
                <w:sz w:val="18"/>
              </w:rPr>
              <w:t xml:space="preserve">A</w:t>
            </w:r>
          </w:p>
        </w:tc>
      </w:tr>
      <w:tr>
        <w:trPr>
          <w:cantSplit w:val="true"/>
        </w:trPr>
        <w:tc>
          <w:tcPr>
            <w:tcW w:type="dxa" w:w="2619"/>
          </w:tcPr>
          <w:p>
            <w:pPr>
              <w:pStyle w:val="Compact"/>
              <w:jc w:val="left"/>
            </w:pPr>
            <w:r>
              <w:rPr>
                <w:rFonts w:ascii="Arial" w:hAnsi="Arial"/>
                <w:sz w:val="18"/>
              </w:rPr>
              <w:t xml:space="preserve">Keemss et al. (2022), Front Sports Act Living 4, 875767</w:t>
            </w:r>
          </w:p>
        </w:tc>
        <w:tc>
          <w:tcPr>
            <w:tcW w:type="dxa" w:w="3737"/>
          </w:tcPr>
          <w:p>
            <w:pPr>
              <w:pStyle w:val="Compact"/>
              <w:jc w:val="left"/>
            </w:pPr>
            <w:r>
              <w:rPr>
                <w:rFonts w:ascii="Arial" w:hAnsi="Arial"/>
                <w:sz w:val="18"/>
              </w:rPr>
              <w:t xml:space="preserve">8 Nachwuchsspieler eines Bundesligavereins, 16 bis 19 J.</w:t>
            </w:r>
          </w:p>
        </w:tc>
        <w:tc>
          <w:tcPr>
            <w:tcW w:type="dxa" w:w="3260"/>
          </w:tcPr>
          <w:p>
            <w:pPr>
              <w:pStyle w:val="Compact"/>
              <w:jc w:val="left"/>
            </w:pPr>
            <w:r>
              <w:rPr>
                <w:rFonts w:ascii="Arial" w:hAnsi="Arial"/>
                <w:sz w:val="18"/>
              </w:rPr>
              <w:t xml:space="preserve">schriftliche Pläne, Tracking-Apps, Video nur ergänzend, 13 Wochen</w:t>
            </w:r>
          </w:p>
        </w:tc>
        <w:tc>
          <w:tcPr>
            <w:tcW w:type="dxa" w:w="3678"/>
          </w:tcPr>
          <w:p>
            <w:pPr>
              <w:pStyle w:val="Compact"/>
              <w:jc w:val="left"/>
            </w:pPr>
            <w:r>
              <w:rPr>
                <w:rFonts w:ascii="Arial" w:hAnsi="Arial"/>
                <w:sz w:val="18"/>
              </w:rPr>
              <w:t xml:space="preserve">Körpermasse und Fettanteil gestiegen, Leistung erhalten</w:t>
            </w:r>
          </w:p>
        </w:tc>
        <w:tc>
          <w:tcPr>
            <w:tcW w:type="dxa" w:w="1504"/>
          </w:tcPr>
          <w:p>
            <w:pPr>
              <w:pStyle w:val="Compact"/>
              <w:jc w:val="left"/>
            </w:pPr>
            <w:r>
              <w:rPr>
                <w:rFonts w:ascii="Arial" w:hAnsi="Arial"/>
                <w:sz w:val="18"/>
              </w:rPr>
              <w:t xml:space="preserve">V (Subagent)</w:t>
            </w:r>
          </w:p>
        </w:tc>
      </w:tr>
      <w:tr>
        <w:trPr>
          <w:cantSplit w:val="true"/>
        </w:trPr>
        <w:tc>
          <w:tcPr>
            <w:tcW w:type="dxa" w:w="2619"/>
            <w:shd w:val="clear" w:color="auto" w:fill="EEF3F9"/>
          </w:tcPr>
          <w:p>
            <w:pPr>
              <w:pStyle w:val="Compact"/>
              <w:jc w:val="left"/>
            </w:pPr>
            <w:r>
              <w:rPr>
                <w:rFonts w:ascii="Arial" w:hAnsi="Arial"/>
                <w:sz w:val="18"/>
              </w:rPr>
              <w:t xml:space="preserve">Peña-González et al. (2022), PeerJ 10, e13059</w:t>
            </w:r>
          </w:p>
        </w:tc>
        <w:tc>
          <w:tcPr>
            <w:tcW w:type="dxa" w:w="3737"/>
            <w:shd w:val="clear" w:color="auto" w:fill="EEF3F9"/>
          </w:tcPr>
          <w:p>
            <w:pPr>
              <w:pStyle w:val="Compact"/>
              <w:jc w:val="left"/>
            </w:pPr>
            <w:r>
              <w:rPr>
                <w:rFonts w:ascii="Arial" w:hAnsi="Arial"/>
                <w:sz w:val="18"/>
              </w:rPr>
              <w:t xml:space="preserve">15 Spieler der spanischen CP-Fußball-Nationalmannschaft</w:t>
            </w:r>
          </w:p>
        </w:tc>
        <w:tc>
          <w:tcPr>
            <w:tcW w:type="dxa" w:w="3260"/>
            <w:shd w:val="clear" w:color="auto" w:fill="EEF3F9"/>
          </w:tcPr>
          <w:p>
            <w:pPr>
              <w:pStyle w:val="Compact"/>
              <w:jc w:val="left"/>
            </w:pPr>
            <w:r>
              <w:rPr>
                <w:rFonts w:ascii="Arial" w:hAnsi="Arial"/>
                <w:sz w:val="18"/>
              </w:rPr>
              <w:t xml:space="preserve">Gruppenvideoanrufe, 12 Wochen</w:t>
            </w:r>
          </w:p>
        </w:tc>
        <w:tc>
          <w:tcPr>
            <w:tcW w:type="dxa" w:w="3678"/>
            <w:shd w:val="clear" w:color="auto" w:fill="EEF3F9"/>
          </w:tcPr>
          <w:p>
            <w:pPr>
              <w:pStyle w:val="Compact"/>
              <w:jc w:val="left"/>
            </w:pPr>
            <w:r>
              <w:rPr>
                <w:rFonts w:ascii="Arial" w:hAnsi="Arial"/>
                <w:sz w:val="18"/>
              </w:rPr>
              <w:t xml:space="preserve">CMJ +4,19 cm, Sprint, Agilität und Dribbling unverändert</w:t>
            </w:r>
          </w:p>
        </w:tc>
        <w:tc>
          <w:tcPr>
            <w:tcW w:type="dxa" w:w="1504"/>
            <w:shd w:val="clear" w:color="auto" w:fill="EEF3F9"/>
          </w:tcPr>
          <w:p>
            <w:pPr>
              <w:pStyle w:val="Compact"/>
              <w:jc w:val="left"/>
            </w:pPr>
            <w:r>
              <w:rPr>
                <w:rFonts w:ascii="Arial" w:hAnsi="Arial"/>
                <w:sz w:val="18"/>
              </w:rPr>
              <w:t xml:space="preserve">V (Subagent)</w:t>
            </w:r>
          </w:p>
        </w:tc>
      </w:tr>
      <w:tr>
        <w:trPr>
          <w:cantSplit w:val="true"/>
        </w:trPr>
        <w:tc>
          <w:tcPr>
            <w:tcW w:type="dxa" w:w="2619"/>
          </w:tcPr>
          <w:p>
            <w:pPr>
              <w:pStyle w:val="Compact"/>
              <w:jc w:val="left"/>
            </w:pPr>
            <w:r>
              <w:rPr>
                <w:rFonts w:ascii="Arial" w:hAnsi="Arial"/>
                <w:sz w:val="18"/>
              </w:rPr>
              <w:t xml:space="preserve">Anderson et al. (2023), Int J Sports Sci Coach 18(2), 403–413</w:t>
            </w:r>
          </w:p>
        </w:tc>
        <w:tc>
          <w:tcPr>
            <w:tcW w:type="dxa" w:w="3737"/>
          </w:tcPr>
          <w:p>
            <w:pPr>
              <w:pStyle w:val="Compact"/>
              <w:jc w:val="left"/>
            </w:pPr>
            <w:r>
              <w:rPr>
                <w:rFonts w:ascii="Arial" w:hAnsi="Arial"/>
                <w:sz w:val="18"/>
              </w:rPr>
              <w:t xml:space="preserve">20 Profis der schottischen Premiership</w:t>
            </w:r>
          </w:p>
        </w:tc>
        <w:tc>
          <w:tcPr>
            <w:tcW w:type="dxa" w:w="3260"/>
          </w:tcPr>
          <w:p>
            <w:pPr>
              <w:pStyle w:val="Compact"/>
              <w:jc w:val="left"/>
            </w:pPr>
            <w:r>
              <w:rPr>
                <w:rFonts w:ascii="Arial" w:hAnsi="Arial"/>
                <w:sz w:val="18"/>
              </w:rPr>
              <w:t xml:space="preserve">Anleitung und Rückmeldung per Zoom, 13 Wochen</w:t>
            </w:r>
          </w:p>
        </w:tc>
        <w:tc>
          <w:tcPr>
            <w:tcW w:type="dxa" w:w="3678"/>
          </w:tcPr>
          <w:p>
            <w:pPr>
              <w:pStyle w:val="Compact"/>
              <w:jc w:val="left"/>
            </w:pPr>
            <w:r>
              <w:rPr>
                <w:rFonts w:ascii="Arial" w:hAnsi="Arial"/>
                <w:sz w:val="18"/>
              </w:rPr>
              <w:t xml:space="preserve">Körperzusammensetzung, CMJ, Hamstringkraft und 30-15 IFT erhalten</w:t>
            </w:r>
          </w:p>
        </w:tc>
        <w:tc>
          <w:tcPr>
            <w:tcW w:type="dxa" w:w="1504"/>
          </w:tcPr>
          <w:p>
            <w:pPr>
              <w:pStyle w:val="Compact"/>
              <w:jc w:val="left"/>
            </w:pPr>
            <w:r>
              <w:rPr>
                <w:rFonts w:ascii="Arial" w:hAnsi="Arial"/>
                <w:sz w:val="18"/>
              </w:rPr>
              <w:t xml:space="preserve">V (Subagent)</w:t>
            </w:r>
          </w:p>
        </w:tc>
      </w:tr>
      <w:tr>
        <w:trPr>
          <w:cantSplit w:val="true"/>
        </w:trPr>
        <w:tc>
          <w:tcPr>
            <w:tcW w:type="dxa" w:w="2619"/>
            <w:shd w:val="clear" w:color="auto" w:fill="EEF3F9"/>
          </w:tcPr>
          <w:p>
            <w:pPr>
              <w:pStyle w:val="Compact"/>
              <w:jc w:val="left"/>
            </w:pPr>
            <w:r>
              <w:rPr>
                <w:rFonts w:ascii="Arial" w:hAnsi="Arial"/>
                <w:sz w:val="18"/>
              </w:rPr>
              <w:t xml:space="preserve">Veeck et al. (2025), Infect Dis Clin Pract 33(1), online 2024</w:t>
            </w:r>
          </w:p>
        </w:tc>
        <w:tc>
          <w:tcPr>
            <w:tcW w:type="dxa" w:w="3737"/>
            <w:shd w:val="clear" w:color="auto" w:fill="EEF3F9"/>
          </w:tcPr>
          <w:p>
            <w:pPr>
              <w:pStyle w:val="Compact"/>
              <w:jc w:val="left"/>
            </w:pPr>
            <w:r>
              <w:rPr>
                <w:rFonts w:ascii="Arial" w:hAnsi="Arial"/>
                <w:sz w:val="18"/>
              </w:rPr>
              <w:t xml:space="preserve">16 U20-Spieler</w:t>
            </w:r>
          </w:p>
        </w:tc>
        <w:tc>
          <w:tcPr>
            <w:tcW w:type="dxa" w:w="3260"/>
            <w:shd w:val="clear" w:color="auto" w:fill="EEF3F9"/>
          </w:tcPr>
          <w:p>
            <w:pPr>
              <w:pStyle w:val="Compact"/>
              <w:jc w:val="left"/>
            </w:pPr>
            <w:r>
              <w:rPr>
                <w:rFonts w:ascii="Arial" w:hAnsi="Arial"/>
                <w:sz w:val="18"/>
              </w:rPr>
              <w:t xml:space="preserve">„online“, Form nicht prüfbar, 15 Wochen</w:t>
            </w:r>
          </w:p>
        </w:tc>
        <w:tc>
          <w:tcPr>
            <w:tcW w:type="dxa" w:w="3678"/>
            <w:shd w:val="clear" w:color="auto" w:fill="EEF3F9"/>
          </w:tcPr>
          <w:p>
            <w:pPr>
              <w:pStyle w:val="Compact"/>
              <w:jc w:val="left"/>
            </w:pPr>
            <w:r>
              <w:rPr>
                <w:rFonts w:ascii="Arial" w:hAnsi="Arial"/>
                <w:sz w:val="18"/>
              </w:rPr>
              <w:t xml:space="preserve">SJ +5,36 cm, CMJ +3,19 cm, Hamstringkraft und Yo-Yo IR1 unverändert</w:t>
            </w:r>
          </w:p>
        </w:tc>
        <w:tc>
          <w:tcPr>
            <w:tcW w:type="dxa" w:w="1504"/>
            <w:shd w:val="clear" w:color="auto" w:fill="EEF3F9"/>
          </w:tcPr>
          <w:p>
            <w:pPr>
              <w:pStyle w:val="Compact"/>
              <w:jc w:val="left"/>
            </w:pPr>
            <w:r>
              <w:rPr>
                <w:rFonts w:ascii="Arial" w:hAnsi="Arial"/>
                <w:sz w:val="18"/>
              </w:rPr>
              <w:t xml:space="preserve">A</w:t>
            </w:r>
          </w:p>
        </w:tc>
      </w:tr>
    </w:tbl>
    <w:p>
      <w:pPr>
        <w:pStyle w:val="BodyText"/>
      </w:pPr>
      <w:r>
        <w:rPr>
          <w:rFonts w:ascii="Arial" w:hAnsi="Arial"/>
        </w:rPr>
        <w:t xml:space="preserve">Weitere Lockdown-Studien beschreiben Heimtraining ohne Video oder ohne Vermittlungsweg (Grazioli et al., 2020 · Rampinini et al., 2021 · Parpa &amp; Michaelides, 2021 · Cohen et al., 2020 · Spyrou et al., 2021 · Sampson et al., 2021 · Pierros &amp; Spyrou, 2023 · Pedersen et al., 2021). Pucsok et al. (2021) steht auf der Nicht-aufnehmen-Liste (F17 § 6.5). Villaseca-Vicuña et al. (2022) untersuchten erwachsene Elitespielerinnen über fünf Monate mit „remotely guided sessions“ (A).</w:t>
      </w:r>
    </w:p>
    <w:bookmarkEnd w:id="25"/>
    <w:bookmarkStart w:id="26" w:name="grenzfälle-im-fußball"/>
    <w:p>
      <w:pPr>
        <w:pStyle w:val="Heading3"/>
      </w:pPr>
      <w:r>
        <w:rPr>
          <w:rFonts w:ascii="Arial" w:hAnsi="Arial"/>
        </w:rPr>
        <w:t xml:space="preserve">2.3 Grenzfälle im Fußball</w:t>
      </w:r>
    </w:p>
    <w:p>
      <w:pPr>
        <w:numPr>
          <w:ilvl w:val="0"/>
          <w:numId w:val="1003"/>
        </w:numPr>
        <w:pStyle w:val="Compact"/>
      </w:pPr>
      <w:r>
        <w:rPr>
          <w:bCs/>
          <w:rFonts w:ascii="Arial" w:hAnsi="Arial"/>
          <w:b/>
        </w:rPr>
        <w:t xml:space="preserve">Yan et al. (2024), Medicine 103(32), e39223:</w:t>
      </w:r>
      <w:r>
        <w:rPr>
          <w:rFonts w:ascii="Arial" w:hAnsi="Arial"/>
        </w:rPr>
        <w:t xml:space="preserve"> </w:t>
      </w:r>
      <w:r>
        <w:rPr>
          <w:rFonts w:ascii="Arial" w:hAnsi="Arial"/>
        </w:rPr>
        <w:t xml:space="preserve">46 Nachwuchsfußballer (15,7 und 16,1 J.) mit eingeschränkter Hüftbeweglichkeit, laut Titel randomisiert, zugeteilt nach gerader oder ungerader Registriernummer. Dehnen gegen Faszienrolle, beide Programme gefilmt und per Smartphone verteilt, 6 Wochen. Beweglichkeit und Hüftkraft verbessert, beim Single Hop eine Interaktion zugunsten der Faszienrolle, Triple Hop und Crossover Hop nur innerhalb der Gruppen verbessert, 6-m-Hop unverändert. Kein Vergleich ohne Video, kein Leistungstraining (V).</w:t>
      </w:r>
    </w:p>
    <w:p>
      <w:pPr>
        <w:numPr>
          <w:ilvl w:val="0"/>
          <w:numId w:val="1003"/>
        </w:numPr>
        <w:pStyle w:val="Compact"/>
      </w:pPr>
      <w:r>
        <w:rPr>
          <w:bCs/>
          <w:rFonts w:ascii="Arial" w:hAnsi="Arial"/>
          <w:b/>
        </w:rPr>
        <w:t xml:space="preserve">Qu et al. (2022), Healthcare 10(3), 412 [MDPI]:</w:t>
      </w:r>
      <w:r>
        <w:rPr>
          <w:rFonts w:ascii="Arial" w:hAnsi="Arial"/>
        </w:rPr>
        <w:t xml:space="preserve"> </w:t>
      </w:r>
      <w:r>
        <w:rPr>
          <w:rFonts w:ascii="Arial" w:hAnsi="Arial"/>
        </w:rPr>
        <w:t xml:space="preserve">Reha nach wiederholter Sprunggelenksdistorsion, 60 Spieler von 15 bis 18 J., Programm als Handyvideo zu Hause (30) gegen betreute Reha (30), Gruppenwahl durch die Spieler, 8 Wochen. Kraft (nur Eversion und Dorsalextension) und Y-Balance in beiden Gruppen verbessert, in der betreuten Gruppe früher. Kraft und FAOS nahmen laut Text in der betreuten Gruppe signifikant stärker zu. Strukturell nah, aber Reha (V, Gegenprüfung).</w:t>
      </w:r>
    </w:p>
    <w:p>
      <w:pPr>
        <w:numPr>
          <w:ilvl w:val="0"/>
          <w:numId w:val="1003"/>
        </w:numPr>
        <w:pStyle w:val="Compact"/>
      </w:pPr>
      <w:r>
        <w:rPr>
          <w:bCs/>
          <w:rFonts w:ascii="Arial" w:hAnsi="Arial"/>
          <w:b/>
        </w:rPr>
        <w:t xml:space="preserve">Ludwig et al. (2022), J Funct Morphol Kinesiol 7(4), 88 [MDPI]:</w:t>
      </w:r>
      <w:r>
        <w:rPr>
          <w:rFonts w:ascii="Arial" w:hAnsi="Arial"/>
        </w:rPr>
        <w:t xml:space="preserve"> </w:t>
      </w:r>
      <w:r>
        <w:rPr>
          <w:rFonts w:ascii="Arial" w:hAnsi="Arial"/>
        </w:rPr>
        <w:t xml:space="preserve">live über Zoom mit Korrektur in Echtzeit, 86 Spieler eines Nachwuchsleistungszentrums (U14 bis U19), 6 Wochen, Kontrollgruppe nachträglich gebildet, Zielgröße Haltung, keine Leistung (V, Subagent).</w:t>
      </w:r>
    </w:p>
    <w:p>
      <w:pPr>
        <w:numPr>
          <w:ilvl w:val="0"/>
          <w:numId w:val="1003"/>
        </w:numPr>
        <w:pStyle w:val="Compact"/>
      </w:pPr>
      <w:r>
        <w:rPr>
          <w:bCs/>
          <w:rFonts w:ascii="Arial" w:hAnsi="Arial"/>
          <w:b/>
        </w:rPr>
        <w:t xml:space="preserve">Zebis et al. (2019), J Sports Med 2019, 1415305:</w:t>
      </w:r>
      <w:r>
        <w:rPr>
          <w:rFonts w:ascii="Arial" w:hAnsi="Arial"/>
        </w:rPr>
        <w:t xml:space="preserve"> </w:t>
      </w:r>
      <w:r>
        <w:rPr>
          <w:rFonts w:ascii="Arial" w:hAnsi="Arial"/>
        </w:rPr>
        <w:t xml:space="preserve">einmalige Messung ohne Training. Bei komplexen Präventionsübungen war die Hamstring-Aktivierung mit App-Anleitung geringer als mit Physiotherapeut vor Ort (A).</w:t>
      </w:r>
    </w:p>
    <w:p>
      <w:pPr>
        <w:numPr>
          <w:ilvl w:val="0"/>
          <w:numId w:val="1003"/>
        </w:numPr>
        <w:pStyle w:val="Compact"/>
      </w:pPr>
      <w:r>
        <w:rPr>
          <w:bCs/>
          <w:rFonts w:ascii="Arial" w:hAnsi="Arial"/>
          <w:b/>
        </w:rPr>
        <w:t xml:space="preserve">Video als Bewegungsmodell in betreuten Einheiten:</w:t>
      </w:r>
      <w:r>
        <w:rPr>
          <w:rFonts w:ascii="Arial" w:hAnsi="Arial"/>
        </w:rPr>
        <w:t xml:space="preserve"> </w:t>
      </w:r>
      <w:r>
        <w:rPr>
          <w:rFonts w:ascii="Arial" w:hAnsi="Arial"/>
        </w:rPr>
        <w:t xml:space="preserve">Nijmeijer et al. (2024, 2026), Sidestep-Cutting bei talentierten Spielerinnen, 4 Wochen, Kinematik (A).</w:t>
      </w:r>
    </w:p>
    <w:p>
      <w:pPr>
        <w:numPr>
          <w:ilvl w:val="0"/>
          <w:numId w:val="1003"/>
        </w:numPr>
        <w:pStyle w:val="Compact"/>
      </w:pPr>
      <w:r>
        <w:rPr>
          <w:bCs/>
          <w:rFonts w:ascii="Arial" w:hAnsi="Arial"/>
          <w:b/>
        </w:rPr>
        <w:t xml:space="preserve">Website oder App nur für Trainer:</w:t>
      </w:r>
      <w:r>
        <w:rPr>
          <w:rFonts w:ascii="Arial" w:hAnsi="Arial"/>
        </w:rPr>
        <w:t xml:space="preserve"> </w:t>
      </w:r>
      <w:r>
        <w:rPr>
          <w:rFonts w:ascii="Arial" w:hAnsi="Arial"/>
        </w:rPr>
        <w:t xml:space="preserve">Steffen et al. (2013) und Lindblom et al. (2020), Training jeweils vom Trainer geleitet (Schritt 1).</w:t>
      </w:r>
    </w:p>
    <w:p>
      <w:pPr>
        <w:numPr>
          <w:ilvl w:val="0"/>
          <w:numId w:val="1003"/>
        </w:numPr>
        <w:pStyle w:val="Compact"/>
      </w:pPr>
      <w:r>
        <w:rPr>
          <w:bCs/>
          <w:rFonts w:ascii="Arial" w:hAnsi="Arial"/>
          <w:b/>
        </w:rPr>
        <w:t xml:space="preserve">Ohne Fußballstichprobe:</w:t>
      </w:r>
      <w:r>
        <w:rPr>
          <w:rFonts w:ascii="Arial" w:hAnsi="Arial"/>
        </w:rPr>
        <w:t xml:space="preserve"> </w:t>
      </w:r>
      <w:r>
        <w:rPr>
          <w:rFonts w:ascii="Arial" w:hAnsi="Arial"/>
        </w:rPr>
        <w:t xml:space="preserve">Behan et al. (2024), BMJ Open Sport Exerc Med 10(1), e001728: per Zoom überwachte Hamstring-Programme bei 20 aktiven 18- bis 25-Jährigen, 6 Wochen, volle Teilnahme, Surrogat statt Leistungstest (V, Subagent).</w:t>
      </w:r>
    </w:p>
    <w:p>
      <w:pPr>
        <w:numPr>
          <w:ilvl w:val="0"/>
          <w:numId w:val="1003"/>
        </w:numPr>
        <w:pStyle w:val="Compact"/>
      </w:pPr>
      <w:r>
        <w:rPr>
          <w:bCs/>
          <w:rFonts w:ascii="Arial" w:hAnsi="Arial"/>
          <w:b/>
        </w:rPr>
        <w:t xml:space="preserve">Video als Wahrnehmungstraining:</w:t>
      </w:r>
      <w:r>
        <w:rPr>
          <w:rFonts w:ascii="Arial" w:hAnsi="Arial"/>
        </w:rPr>
        <w:t xml:space="preserve"> </w:t>
      </w:r>
      <w:r>
        <w:rPr>
          <w:rFonts w:ascii="Arial" w:hAnsi="Arial"/>
        </w:rPr>
        <w:t xml:space="preserve">Nimmerichter et al. (2016), Gabbett et al. (2008), nicht im Sinn der Arbeit (Schritt 1 § 1).</w:t>
      </w:r>
    </w:p>
    <w:bookmarkEnd w:id="26"/>
    <w:bookmarkEnd w:id="27"/>
    <w:bookmarkStart w:id="31" w:name="andere-sportarten"/>
    <w:p>
      <w:pPr>
        <w:pStyle w:val="Heading2"/>
      </w:pPr>
      <w:r>
        <w:rPr>
          <w:rFonts w:ascii="Arial" w:hAnsi="Arial"/>
        </w:rPr>
        <w:t xml:space="preserve">3 Andere Sportarten</w:t>
      </w:r>
    </w:p>
    <w:bookmarkStart w:id="28" w:name="kontrollierte-studien-1"/>
    <w:p>
      <w:pPr>
        <w:pStyle w:val="Heading3"/>
      </w:pPr>
      <w:r>
        <w:rPr>
          <w:rFonts w:ascii="Arial" w:hAnsi="Arial"/>
        </w:rPr>
        <w:t xml:space="preserve">3.1 Kontrollierte Studien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657"/>
        <w:gridCol w:w="2161"/>
        <w:gridCol w:w="3441"/>
        <w:gridCol w:w="2754"/>
        <w:gridCol w:w="2349"/>
        <w:gridCol w:w="1092"/>
        <w:gridCol w:w="1343"/>
      </w:tblGrid>
      <w:tr>
        <w:trPr>
          <w:tblHeader w:val="true"/>
          <w:tblHeader w:val="true"/>
          <w:cantSplit w:val="true"/>
        </w:trPr>
        <w:tc>
          <w:tcPr>
            <w:tcW w:type="dxa" w:w="1657"/>
            <w:shd w:val="clear" w:color="auto" w:fill="D6E4F0"/>
          </w:tcPr>
          <w:p>
            <w:pPr>
              <w:pStyle w:val="Compact"/>
              <w:jc w:val="left"/>
            </w:pPr>
            <w:r>
              <w:rPr>
                <w:rFonts w:ascii="Arial" w:hAnsi="Arial"/>
                <w:b/>
                <w:sz w:val="18"/>
              </w:rPr>
              <w:t xml:space="preserve">Studie</w:t>
            </w:r>
          </w:p>
        </w:tc>
        <w:tc>
          <w:tcPr>
            <w:tcW w:type="dxa" w:w="2161"/>
            <w:shd w:val="clear" w:color="auto" w:fill="D6E4F0"/>
          </w:tcPr>
          <w:p>
            <w:pPr>
              <w:pStyle w:val="Compact"/>
              <w:jc w:val="left"/>
            </w:pPr>
            <w:r>
              <w:rPr>
                <w:rFonts w:ascii="Arial" w:hAnsi="Arial"/>
                <w:b/>
                <w:sz w:val="18"/>
              </w:rPr>
              <w:t xml:space="preserve">Design, Population</w:t>
            </w:r>
          </w:p>
        </w:tc>
        <w:tc>
          <w:tcPr>
            <w:tcW w:type="dxa" w:w="3441"/>
            <w:shd w:val="clear" w:color="auto" w:fill="D6E4F0"/>
          </w:tcPr>
          <w:p>
            <w:pPr>
              <w:pStyle w:val="Compact"/>
              <w:jc w:val="left"/>
            </w:pPr>
            <w:r>
              <w:rPr>
                <w:rFonts w:ascii="Arial" w:hAnsi="Arial"/>
                <w:b/>
                <w:sz w:val="18"/>
              </w:rPr>
              <w:t xml:space="preserve">Vermittlung, Inhalt, Dauer, Vergleich</w:t>
            </w:r>
          </w:p>
        </w:tc>
        <w:tc>
          <w:tcPr>
            <w:tcW w:type="dxa" w:w="2754"/>
            <w:shd w:val="clear" w:color="auto" w:fill="D6E4F0"/>
          </w:tcPr>
          <w:p>
            <w:pPr>
              <w:pStyle w:val="Compact"/>
              <w:jc w:val="left"/>
            </w:pPr>
            <w:r>
              <w:rPr>
                <w:rFonts w:ascii="Arial" w:hAnsi="Arial"/>
                <w:b/>
                <w:sz w:val="18"/>
              </w:rPr>
              <w:t xml:space="preserve">Leistung</w:t>
            </w:r>
          </w:p>
        </w:tc>
        <w:tc>
          <w:tcPr>
            <w:tcW w:type="dxa" w:w="2349"/>
            <w:shd w:val="clear" w:color="auto" w:fill="D6E4F0"/>
          </w:tcPr>
          <w:p>
            <w:pPr>
              <w:pStyle w:val="Compact"/>
              <w:jc w:val="left"/>
            </w:pPr>
            <w:r>
              <w:rPr>
                <w:rFonts w:ascii="Arial" w:hAnsi="Arial"/>
                <w:b/>
                <w:sz w:val="18"/>
              </w:rPr>
              <w:t xml:space="preserve">Adhärenz</w:t>
            </w:r>
          </w:p>
        </w:tc>
        <w:tc>
          <w:tcPr>
            <w:tcW w:type="dxa" w:w="1092"/>
            <w:shd w:val="clear" w:color="auto" w:fill="D6E4F0"/>
          </w:tcPr>
          <w:p>
            <w:pPr>
              <w:pStyle w:val="Compact"/>
              <w:jc w:val="left"/>
            </w:pPr>
            <w:r>
              <w:rPr>
                <w:rFonts w:ascii="Arial" w:hAnsi="Arial"/>
                <w:b/>
                <w:sz w:val="18"/>
              </w:rPr>
              <w:t xml:space="preserve">P·D·Z (Σ)</w:t>
            </w:r>
          </w:p>
        </w:tc>
        <w:tc>
          <w:tcPr>
            <w:tcW w:type="dxa" w:w="1343"/>
            <w:shd w:val="clear" w:color="auto" w:fill="D6E4F0"/>
          </w:tcPr>
          <w:p>
            <w:pPr>
              <w:pStyle w:val="Compact"/>
              <w:jc w:val="left"/>
            </w:pPr>
            <w:r>
              <w:rPr>
                <w:rFonts w:ascii="Arial" w:hAnsi="Arial"/>
                <w:b/>
                <w:sz w:val="18"/>
              </w:rPr>
              <w:t xml:space="preserve">Zugang</w:t>
            </w:r>
          </w:p>
        </w:tc>
      </w:tr>
      <w:tr>
        <w:trPr>
          <w:cantSplit w:val="true"/>
        </w:trPr>
        <w:tc>
          <w:tcPr>
            <w:tcW w:type="dxa" w:w="1657"/>
          </w:tcPr>
          <w:p>
            <w:pPr>
              <w:pStyle w:val="Compact"/>
              <w:jc w:val="left"/>
            </w:pPr>
            <w:r>
              <w:rPr>
                <w:rFonts w:ascii="Arial" w:hAnsi="Arial"/>
                <w:sz w:val="18"/>
              </w:rPr>
              <w:t xml:space="preserve">Klusemann et al. (2012)</w:t>
            </w:r>
          </w:p>
        </w:tc>
        <w:tc>
          <w:tcPr>
            <w:tcW w:type="dxa" w:w="2161"/>
          </w:tcPr>
          <w:p>
            <w:pPr>
              <w:pStyle w:val="Compact"/>
              <w:jc w:val="left"/>
            </w:pPr>
            <w:r>
              <w:rPr>
                <w:rFonts w:ascii="Arial" w:hAnsi="Arial"/>
                <w:sz w:val="18"/>
              </w:rPr>
              <w:t xml:space="preserve">§ 1.1</w:t>
            </w:r>
          </w:p>
        </w:tc>
        <w:tc>
          <w:tcPr>
            <w:tcW w:type="dxa" w:w="3441"/>
          </w:tcPr>
          <w:p>
            <w:pPr>
              <w:pStyle w:val="Compact"/>
              <w:jc w:val="left"/>
            </w:pPr>
            <w:r>
              <w:rPr>
                <w:rFonts w:ascii="Arial" w:hAnsi="Arial"/>
                <w:sz w:val="18"/>
              </w:rPr>
              <w:t xml:space="preserve">§ 1.1</w:t>
            </w:r>
          </w:p>
        </w:tc>
        <w:tc>
          <w:tcPr>
            <w:tcW w:type="dxa" w:w="2754"/>
          </w:tcPr>
          <w:p>
            <w:pPr>
              <w:pStyle w:val="Compact"/>
              <w:jc w:val="left"/>
            </w:pPr>
            <w:r>
              <w:rPr>
                <w:rFonts w:ascii="Arial" w:hAnsi="Arial"/>
                <w:sz w:val="18"/>
              </w:rPr>
              <w:t xml:space="preserve">§ 1.1</w:t>
            </w:r>
          </w:p>
        </w:tc>
        <w:tc>
          <w:tcPr>
            <w:tcW w:type="dxa" w:w="2349"/>
          </w:tcPr>
          <w:p>
            <w:pPr>
              <w:pStyle w:val="Compact"/>
              <w:jc w:val="left"/>
            </w:pPr>
            <w:r>
              <w:rPr>
                <w:rFonts w:ascii="Arial" w:hAnsi="Arial"/>
                <w:sz w:val="18"/>
              </w:rPr>
              <w:t xml:space="preserve">im Abstract nicht berichtet</w:t>
            </w:r>
          </w:p>
        </w:tc>
        <w:tc>
          <w:tcPr>
            <w:tcW w:type="dxa" w:w="1092"/>
          </w:tcPr>
          <w:p>
            <w:pPr>
              <w:pStyle w:val="Compact"/>
              <w:jc w:val="left"/>
            </w:pPr>
            <w:r>
              <w:rPr>
                <w:rFonts w:ascii="Arial" w:hAnsi="Arial"/>
                <w:sz w:val="18"/>
              </w:rPr>
              <w:t xml:space="preserve">2·1·0–1 (3–4)</w:t>
            </w:r>
          </w:p>
        </w:tc>
        <w:tc>
          <w:tcPr>
            <w:tcW w:type="dxa" w:w="1343"/>
          </w:tcPr>
          <w:p>
            <w:pPr>
              <w:pStyle w:val="Compact"/>
              <w:jc w:val="left"/>
            </w:pPr>
            <w:r>
              <w:rPr>
                <w:rFonts w:ascii="Arial" w:hAnsi="Arial"/>
                <w:sz w:val="18"/>
              </w:rPr>
              <w:t xml:space="preserve">A</w:t>
            </w:r>
          </w:p>
        </w:tc>
      </w:tr>
      <w:tr>
        <w:trPr>
          <w:cantSplit w:val="true"/>
        </w:trPr>
        <w:tc>
          <w:tcPr>
            <w:tcW w:type="dxa" w:w="1657"/>
            <w:shd w:val="clear" w:color="auto" w:fill="EEF3F9"/>
          </w:tcPr>
          <w:p>
            <w:pPr>
              <w:pStyle w:val="Compact"/>
              <w:jc w:val="left"/>
            </w:pPr>
            <w:r>
              <w:rPr>
                <w:rFonts w:ascii="Arial" w:hAnsi="Arial"/>
                <w:sz w:val="18"/>
              </w:rPr>
              <w:t xml:space="preserve">Rogers et al. (2020), Sports 8(4), 39 [MDPI]</w:t>
            </w:r>
          </w:p>
        </w:tc>
        <w:tc>
          <w:tcPr>
            <w:tcW w:type="dxa" w:w="2161"/>
            <w:shd w:val="clear" w:color="auto" w:fill="EEF3F9"/>
          </w:tcPr>
          <w:p>
            <w:pPr>
              <w:pStyle w:val="Compact"/>
              <w:jc w:val="left"/>
            </w:pPr>
            <w:r>
              <w:rPr>
                <w:rFonts w:ascii="Arial" w:hAnsi="Arial"/>
                <w:sz w:val="18"/>
              </w:rPr>
              <w:t xml:space="preserve">Pilotstudie, Paarbildung nach AIMS-Wert, nicht randomisiert · 39 Schulathleten (14,5 J., 19 m, 20 w), 22 mit Prä- und Post-Daten, online nur 8</w:t>
            </w:r>
          </w:p>
        </w:tc>
        <w:tc>
          <w:tcPr>
            <w:tcW w:type="dxa" w:w="3441"/>
            <w:shd w:val="clear" w:color="auto" w:fill="EEF3F9"/>
          </w:tcPr>
          <w:p>
            <w:pPr>
              <w:pStyle w:val="Compact"/>
              <w:jc w:val="left"/>
            </w:pPr>
            <w:r>
              <w:rPr>
                <w:rFonts w:ascii="Arial" w:hAnsi="Arial"/>
                <w:sz w:val="18"/>
              </w:rPr>
              <w:t xml:space="preserve">eigene Lernplattform mit Übungslisten und Videodemonstrationen, selbstgesteuert · integratives neuromuskuläres Training · 16 Wochen, 2 Einheiten je Woche (Dauer im Artikel 20 bis 30 und 25 bis 30 min) · online zwei Onlineeinheiten gegen hybrid mit einer Präsenz- und einer Onlineeinheit, keine Kontrolle ohne Training</w:t>
            </w:r>
          </w:p>
        </w:tc>
        <w:tc>
          <w:tcPr>
            <w:tcW w:type="dxa" w:w="2754"/>
            <w:shd w:val="clear" w:color="auto" w:fill="EEF3F9"/>
          </w:tcPr>
          <w:p>
            <w:pPr>
              <w:pStyle w:val="Compact"/>
              <w:jc w:val="left"/>
            </w:pPr>
            <w:r>
              <w:rPr>
                <w:rFonts w:ascii="Arial" w:hAnsi="Arial"/>
                <w:sz w:val="18"/>
              </w:rPr>
              <w:t xml:space="preserve">AIMS, Triple Hop, SEBT, Medizinballwurf, 40 m, CMJ nur beschreibend. Bei den Leistungstests kein erkennbarer Gruppenunterschied</w:t>
            </w:r>
          </w:p>
        </w:tc>
        <w:tc>
          <w:tcPr>
            <w:tcW w:type="dxa" w:w="2349"/>
            <w:shd w:val="clear" w:color="auto" w:fill="EEF3F9"/>
          </w:tcPr>
          <w:p>
            <w:pPr>
              <w:pStyle w:val="Compact"/>
              <w:jc w:val="left"/>
            </w:pPr>
            <w:r>
              <w:rPr>
                <w:rFonts w:ascii="Arial" w:hAnsi="Arial"/>
                <w:sz w:val="18"/>
              </w:rPr>
              <w:t xml:space="preserve">online 12 % (8 Athleten mit Prä und Post, 0 bis 11 von 32 Einheiten protokolliert), hybrid 60 % der 16 Präsenzeinheiten besucht</w:t>
            </w:r>
          </w:p>
        </w:tc>
        <w:tc>
          <w:tcPr>
            <w:tcW w:type="dxa" w:w="1092"/>
            <w:shd w:val="clear" w:color="auto" w:fill="EEF3F9"/>
          </w:tcPr>
          <w:p>
            <w:pPr>
              <w:pStyle w:val="Compact"/>
              <w:jc w:val="left"/>
            </w:pPr>
            <w:r>
              <w:rPr>
                <w:rFonts w:ascii="Arial" w:hAnsi="Arial"/>
                <w:sz w:val="18"/>
              </w:rPr>
              <w:t xml:space="preserve">2·2·0–1 (4–5)</w:t>
            </w:r>
          </w:p>
        </w:tc>
        <w:tc>
          <w:tcPr>
            <w:tcW w:type="dxa" w:w="1343"/>
            <w:shd w:val="clear" w:color="auto" w:fill="EEF3F9"/>
          </w:tcPr>
          <w:p>
            <w:pPr>
              <w:pStyle w:val="Compact"/>
              <w:jc w:val="left"/>
            </w:pPr>
            <w:r>
              <w:rPr>
                <w:rFonts w:ascii="Arial" w:hAnsi="Arial"/>
                <w:sz w:val="18"/>
              </w:rPr>
              <w:t xml:space="preserve">V</w:t>
            </w:r>
          </w:p>
        </w:tc>
      </w:tr>
      <w:tr>
        <w:trPr>
          <w:cantSplit w:val="true"/>
        </w:trPr>
        <w:tc>
          <w:tcPr>
            <w:tcW w:type="dxa" w:w="1657"/>
          </w:tcPr>
          <w:p>
            <w:pPr>
              <w:pStyle w:val="Compact"/>
              <w:jc w:val="left"/>
            </w:pPr>
            <w:r>
              <w:rPr>
                <w:rFonts w:ascii="Arial" w:hAnsi="Arial"/>
                <w:sz w:val="18"/>
              </w:rPr>
              <w:t xml:space="preserve">Kwapisz Dos Santos et al. (2025), Appl Sci 15(24), 13108 [MDPI], nicht in PubMed</w:t>
            </w:r>
          </w:p>
        </w:tc>
        <w:tc>
          <w:tcPr>
            <w:tcW w:type="dxa" w:w="2161"/>
          </w:tcPr>
          <w:p>
            <w:pPr>
              <w:pStyle w:val="Compact"/>
              <w:jc w:val="left"/>
            </w:pPr>
            <w:r>
              <w:rPr>
                <w:rFonts w:ascii="Arial" w:hAnsi="Arial"/>
                <w:sz w:val="18"/>
              </w:rPr>
              <w:t xml:space="preserve">randomisierte Pilotstudie mit aktiver Kontrolle · 28 männliche Handballer (2. nationale und 2. regionale Liga, 23,7 und 22,8 J.), ausgewertet 13 und 11</w:t>
            </w:r>
          </w:p>
        </w:tc>
        <w:tc>
          <w:tcPr>
            <w:tcW w:type="dxa" w:w="3441"/>
          </w:tcPr>
          <w:p>
            <w:pPr>
              <w:pStyle w:val="Compact"/>
              <w:jc w:val="left"/>
            </w:pPr>
            <w:r>
              <w:rPr>
                <w:rFonts w:ascii="Arial" w:hAnsi="Arial"/>
                <w:sz w:val="18"/>
              </w:rPr>
              <w:t xml:space="preserve">App Physitrack, Heimprogramm ohne Live-Kontakt, belegt ist ein Einführungsvideo zur App, wie die Übungen dargestellt wurden, bleibt offen · IG Plyometrie, KG allgemeine Kräftigung, beide per App · 8 Wochen neben dem Vereinstraining, Häufigkeit im zugänglichen Text nicht eindeutig</w:t>
            </w:r>
          </w:p>
        </w:tc>
        <w:tc>
          <w:tcPr>
            <w:tcW w:type="dxa" w:w="2754"/>
          </w:tcPr>
          <w:p>
            <w:pPr>
              <w:pStyle w:val="Compact"/>
              <w:jc w:val="left"/>
            </w:pPr>
            <w:r>
              <w:rPr>
                <w:rFonts w:ascii="Arial" w:hAnsi="Arial"/>
                <w:sz w:val="18"/>
              </w:rPr>
              <w:t xml:space="preserve">CMJ-Höhe IG 0,36 → 0,38 m (p = 0,037), KG 0,35 → 0,37 m (p = 0,008), Post-Werte im Gruppenvergleich p = 0,521</w:t>
            </w:r>
          </w:p>
        </w:tc>
        <w:tc>
          <w:tcPr>
            <w:tcW w:type="dxa" w:w="2349"/>
          </w:tcPr>
          <w:p>
            <w:pPr>
              <w:pStyle w:val="Compact"/>
              <w:jc w:val="left"/>
            </w:pPr>
            <w:r>
              <w:rPr>
                <w:rFonts w:ascii="Arial" w:hAnsi="Arial"/>
                <w:sz w:val="18"/>
              </w:rPr>
              <w:t xml:space="preserve">gewichteter Index aus Teilnahme, Compliance und Fragebögen: IG 52 %, KG 49 %, niedrigste Teilnahme in Woche 8 mit 23 %</w:t>
            </w:r>
          </w:p>
        </w:tc>
        <w:tc>
          <w:tcPr>
            <w:tcW w:type="dxa" w:w="1092"/>
          </w:tcPr>
          <w:p>
            <w:pPr>
              <w:pStyle w:val="Compact"/>
              <w:jc w:val="left"/>
            </w:pPr>
            <w:r>
              <w:rPr>
                <w:rFonts w:ascii="Arial" w:hAnsi="Arial"/>
                <w:sz w:val="18"/>
              </w:rPr>
              <w:t xml:space="preserve">2·0–1·1 (3–4)</w:t>
            </w:r>
          </w:p>
        </w:tc>
        <w:tc>
          <w:tcPr>
            <w:tcW w:type="dxa" w:w="1343"/>
          </w:tcPr>
          <w:p>
            <w:pPr>
              <w:pStyle w:val="Compact"/>
              <w:jc w:val="left"/>
            </w:pPr>
            <w:r>
              <w:rPr>
                <w:rFonts w:ascii="Arial" w:hAnsi="Arial"/>
                <w:sz w:val="18"/>
              </w:rPr>
              <w:t xml:space="preserve">E (Subagent)</w:t>
            </w:r>
          </w:p>
        </w:tc>
      </w:tr>
      <w:tr>
        <w:trPr>
          <w:cantSplit w:val="true"/>
        </w:trPr>
        <w:tc>
          <w:tcPr>
            <w:tcW w:type="dxa" w:w="1657"/>
            <w:shd w:val="clear" w:color="auto" w:fill="EEF3F9"/>
          </w:tcPr>
          <w:p>
            <w:pPr>
              <w:pStyle w:val="Compact"/>
              <w:jc w:val="left"/>
            </w:pPr>
            <w:r>
              <w:rPr>
                <w:rFonts w:ascii="Arial" w:hAnsi="Arial"/>
                <w:sz w:val="18"/>
              </w:rPr>
              <w:t xml:space="preserve">Gergüz &amp; Aras Bayram (2023), Complement Med Res 30(5), 431–439</w:t>
            </w:r>
          </w:p>
        </w:tc>
        <w:tc>
          <w:tcPr>
            <w:tcW w:type="dxa" w:w="2161"/>
            <w:shd w:val="clear" w:color="auto" w:fill="EEF3F9"/>
          </w:tcPr>
          <w:p>
            <w:pPr>
              <w:pStyle w:val="Compact"/>
              <w:jc w:val="left"/>
            </w:pPr>
            <w:r>
              <w:rPr>
                <w:rFonts w:ascii="Arial" w:hAnsi="Arial"/>
                <w:sz w:val="18"/>
              </w:rPr>
              <w:t xml:space="preserve">RCT · 40 Tennisspieler von 6 bis 18 J. (20 und 20)</w:t>
            </w:r>
          </w:p>
        </w:tc>
        <w:tc>
          <w:tcPr>
            <w:tcW w:type="dxa" w:w="3441"/>
            <w:shd w:val="clear" w:color="auto" w:fill="EEF3F9"/>
          </w:tcPr>
          <w:p>
            <w:pPr>
              <w:pStyle w:val="Compact"/>
              <w:jc w:val="left"/>
            </w:pPr>
            <w:r>
              <w:rPr>
                <w:rFonts w:ascii="Arial" w:hAnsi="Arial"/>
                <w:sz w:val="18"/>
              </w:rPr>
              <w:t xml:space="preserve">Yoga per Telerehabilitation, 2×/Woche, 8 Wochen, Form der Vermittlung im Abstract nicht beschrieben · KG Tennistraining und Information zur Rumpfregion</w:t>
            </w:r>
          </w:p>
        </w:tc>
        <w:tc>
          <w:tcPr>
            <w:tcW w:type="dxa" w:w="2754"/>
            <w:shd w:val="clear" w:color="auto" w:fill="EEF3F9"/>
          </w:tcPr>
          <w:p>
            <w:pPr>
              <w:pStyle w:val="Compact"/>
              <w:jc w:val="left"/>
            </w:pPr>
            <w:r>
              <w:rPr>
                <w:rFonts w:ascii="Arial" w:hAnsi="Arial"/>
                <w:sz w:val="18"/>
              </w:rPr>
              <w:t xml:space="preserve">Rumpfkraft und -stabilität, Beweglichkeit, Gleichgewicht und Stabilität der oberen Extremität in der Yogagruppe verbessert, in der KG mehrere Tests ebenfalls. Gruppenvergleich im Abstract nicht berichtet</w:t>
            </w:r>
          </w:p>
        </w:tc>
        <w:tc>
          <w:tcPr>
            <w:tcW w:type="dxa" w:w="2349"/>
            <w:shd w:val="clear" w:color="auto" w:fill="EEF3F9"/>
          </w:tcPr>
          <w:p>
            <w:pPr>
              <w:pStyle w:val="Compact"/>
              <w:jc w:val="left"/>
            </w:pPr>
            <w:r>
              <w:rPr>
                <w:rFonts w:ascii="Arial" w:hAnsi="Arial"/>
                <w:sz w:val="18"/>
              </w:rPr>
              <w:t xml:space="preserve">nicht prüfbar</w:t>
            </w:r>
          </w:p>
        </w:tc>
        <w:tc>
          <w:tcPr>
            <w:tcW w:type="dxa" w:w="1092"/>
            <w:shd w:val="clear" w:color="auto" w:fill="EEF3F9"/>
          </w:tcPr>
          <w:p>
            <w:pPr>
              <w:pStyle w:val="Compact"/>
              <w:jc w:val="left"/>
            </w:pPr>
            <w:r>
              <w:rPr>
                <w:rFonts w:ascii="Arial" w:hAnsi="Arial"/>
                <w:sz w:val="18"/>
              </w:rPr>
              <w:t xml:space="preserve">2·1·2 (5)</w:t>
            </w:r>
          </w:p>
        </w:tc>
        <w:tc>
          <w:tcPr>
            <w:tcW w:type="dxa" w:w="1343"/>
            <w:shd w:val="clear" w:color="auto" w:fill="EEF3F9"/>
          </w:tcPr>
          <w:p>
            <w:pPr>
              <w:pStyle w:val="Compact"/>
              <w:jc w:val="left"/>
            </w:pPr>
            <w:r>
              <w:rPr>
                <w:rFonts w:ascii="Arial" w:hAnsi="Arial"/>
                <w:sz w:val="18"/>
              </w:rPr>
              <w:t xml:space="preserve">A</w:t>
            </w:r>
          </w:p>
        </w:tc>
      </w:tr>
    </w:tbl>
    <w:bookmarkEnd w:id="28"/>
    <w:bookmarkStart w:id="29" w:name="ohne-kontrolle-kontext"/>
    <w:p>
      <w:pPr>
        <w:pStyle w:val="Heading3"/>
      </w:pPr>
      <w:r>
        <w:rPr>
          <w:rFonts w:ascii="Arial" w:hAnsi="Arial"/>
        </w:rPr>
        <w:t xml:space="preserve">3.2 Ohne Kontrolle (Kontext)</w:t>
      </w:r>
    </w:p>
    <w:p>
      <w:pPr>
        <w:pStyle w:val="FirstParagraph"/>
      </w:pPr>
      <w:r>
        <w:rPr>
          <w:rFonts w:ascii="Arial" w:hAnsi="Arial"/>
        </w:rPr>
        <w:t xml:space="preserve">Luna et al. (2021), Retos 41, 256–264: Elite-Nachwuchs im Basketball (U14 bis U18), Krafttraining live per Videoanruf, 12 Wochen, Abalakov-Sprung verbessert, V-Cut-Agilität schlechter (E, Subagent). · Evans und Gahreman (2023): sieben Nachwuchsschwimmer, digitale Einheiten mit Anleitungsvideos, 12 Wochen, Teilnahme am digitalen Teil 76 % (Schritt 1). · Iuliano et al. (2025, Healthcare 13(4), 354 [MDPI]) und Fucarino et al. (2024, Front Digit Health 6, 1496196): Programm TELEexe4ALL live oder aufgezeichnet, 8 Wochen, bei den Athleten ohne Leistungstest (V, Subagent). · Di Libero et al. (2024, Sports 12(12), 337 [MDPI]): Universitätsangehörige um 45 J., Google Meet, 100 Tage (E, Subagent).</w:t>
      </w:r>
    </w:p>
    <w:bookmarkEnd w:id="29"/>
    <w:bookmarkStart w:id="30" w:name="grenzfälle"/>
    <w:p>
      <w:pPr>
        <w:pStyle w:val="Heading3"/>
      </w:pPr>
      <w:r>
        <w:rPr>
          <w:rFonts w:ascii="Arial" w:hAnsi="Arial"/>
        </w:rPr>
        <w:t xml:space="preserve">3.3 Grenzfälle</w:t>
      </w:r>
    </w:p>
    <w:p>
      <w:pPr>
        <w:pStyle w:val="FirstParagraph"/>
      </w:pPr>
      <w:r>
        <w:rPr>
          <w:bCs/>
          <w:rFonts w:ascii="Arial" w:hAnsi="Arial"/>
          <w:b/>
        </w:rPr>
        <w:t xml:space="preserve">Wang, Tsai, Tu, Wu &amp; Chen (2025), Sport Sci Health 21(2), 969–978, doi 10.1007/s11332-025-01335-8:</w:t>
      </w:r>
      <w:r>
        <w:rPr>
          <w:rFonts w:ascii="Arial" w:hAnsi="Arial"/>
        </w:rPr>
        <w:t xml:space="preserve"> </w:t>
      </w:r>
      <w:r>
        <w:rPr>
          <w:rFonts w:ascii="Arial" w:hAnsi="Arial"/>
        </w:rPr>
        <w:t xml:space="preserve">zitiert Klusemann et al. (2012). Laut Abstract 20 Personen zufällig auf Trainerbetreuung und Onlinetraining verteilt, 8 Wochen, gemessen InBody, Sprung, 20 m, Bankdrücken und Kniebeuge. Kein Gruppenunterschied (p = 0,130 bis 0,460), in beiden Gruppen Sprung, Bankdrücken und Kniebeuge verbessert, der 20-m-Sprint nicht darunter. Keine Kontrolle ohne Programm. Alter, Geschlecht, Sportart und ob das Onlinetraining live oder aufgezeichnet war, stehen nur im kostenpflichtigen Volltext (E, Verlagsseite über die Gegenprüfung, Beschaffung § 9). · Møller et al. (2024), BJSM 58(20), 1205–1214: Umsetzungsstrategien eines Präventionsprogramms im Jugendhandball, online gegen online mit Unterstützung vor Ort, Endpunkte Adhärenz und Verletzungen, keine Leistungsgröße (A, Gegenprüfung). · Wilke et al. (2022), BJSM 56(12), 667–675: Livestream gegen Kontrolle, nur Aktivität und Wohlbefinden (A). · Kikuchi et al. (2021), IJSM: Zoom gegen Präsenz bei Erwachsenen um 43 J., Präsenz besser bei Chair Stand und Sit and Reach (A, Subagent). · Rishiraj et al. (2024): Rugby an Colleges, Online-Aufsicht nur in der Off-Season, 52 und 70 Wochen, ohne Kontrolle. · Edouard et al. (2021) und Pas et al. (2020): nur Verletzungen. · Kamran et al. (2025): nur über Consensus gefunden, Zuteilung unklar, Verlag nicht einzuordnen, nicht verwenden.</w:t>
      </w:r>
    </w:p>
    <w:bookmarkEnd w:id="30"/>
    <w:bookmarkEnd w:id="31"/>
    <w:bookmarkStart w:id="32" w:name="studierende-freizeitsportler-schüler"/>
    <w:p>
      <w:pPr>
        <w:pStyle w:val="Heading2"/>
      </w:pPr>
      <w:r>
        <w:rPr>
          <w:rFonts w:ascii="Arial" w:hAnsi="Arial"/>
        </w:rPr>
        <w:t xml:space="preserve">4 Studierende, Freizeitsportler, Schüler</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713"/>
        <w:gridCol w:w="2394"/>
        <w:gridCol w:w="3155"/>
        <w:gridCol w:w="2952"/>
        <w:gridCol w:w="2216"/>
        <w:gridCol w:w="800"/>
        <w:gridCol w:w="1566"/>
      </w:tblGrid>
      <w:tr>
        <w:trPr>
          <w:tblHeader w:val="true"/>
          <w:tblHeader w:val="true"/>
          <w:cantSplit w:val="true"/>
        </w:trPr>
        <w:tc>
          <w:tcPr>
            <w:tcW w:type="dxa" w:w="1713"/>
            <w:shd w:val="clear" w:color="auto" w:fill="D6E4F0"/>
          </w:tcPr>
          <w:p>
            <w:pPr>
              <w:pStyle w:val="Compact"/>
              <w:jc w:val="left"/>
            </w:pPr>
            <w:r>
              <w:rPr>
                <w:rFonts w:ascii="Arial" w:hAnsi="Arial"/>
                <w:b/>
                <w:sz w:val="18"/>
              </w:rPr>
              <w:t xml:space="preserve">Studie</w:t>
            </w:r>
          </w:p>
        </w:tc>
        <w:tc>
          <w:tcPr>
            <w:tcW w:type="dxa" w:w="2394"/>
            <w:shd w:val="clear" w:color="auto" w:fill="D6E4F0"/>
          </w:tcPr>
          <w:p>
            <w:pPr>
              <w:pStyle w:val="Compact"/>
              <w:jc w:val="left"/>
            </w:pPr>
            <w:r>
              <w:rPr>
                <w:rFonts w:ascii="Arial" w:hAnsi="Arial"/>
                <w:b/>
                <w:sz w:val="18"/>
              </w:rPr>
              <w:t xml:space="preserve">Design, Population</w:t>
            </w:r>
          </w:p>
        </w:tc>
        <w:tc>
          <w:tcPr>
            <w:tcW w:type="dxa" w:w="3155"/>
            <w:shd w:val="clear" w:color="auto" w:fill="D6E4F0"/>
          </w:tcPr>
          <w:p>
            <w:pPr>
              <w:pStyle w:val="Compact"/>
              <w:jc w:val="left"/>
            </w:pPr>
            <w:r>
              <w:rPr>
                <w:rFonts w:ascii="Arial" w:hAnsi="Arial"/>
                <w:b/>
                <w:sz w:val="18"/>
              </w:rPr>
              <w:t xml:space="preserve">Vermittlung, Inhalt, Dauer, Vergleich</w:t>
            </w:r>
          </w:p>
        </w:tc>
        <w:tc>
          <w:tcPr>
            <w:tcW w:type="dxa" w:w="2952"/>
            <w:shd w:val="clear" w:color="auto" w:fill="D6E4F0"/>
          </w:tcPr>
          <w:p>
            <w:pPr>
              <w:pStyle w:val="Compact"/>
              <w:jc w:val="left"/>
            </w:pPr>
            <w:r>
              <w:rPr>
                <w:rFonts w:ascii="Arial" w:hAnsi="Arial"/>
                <w:b/>
                <w:sz w:val="18"/>
              </w:rPr>
              <w:t xml:space="preserve">Leistung</w:t>
            </w:r>
          </w:p>
        </w:tc>
        <w:tc>
          <w:tcPr>
            <w:tcW w:type="dxa" w:w="2216"/>
            <w:shd w:val="clear" w:color="auto" w:fill="D6E4F0"/>
          </w:tcPr>
          <w:p>
            <w:pPr>
              <w:pStyle w:val="Compact"/>
              <w:jc w:val="left"/>
            </w:pPr>
            <w:r>
              <w:rPr>
                <w:rFonts w:ascii="Arial" w:hAnsi="Arial"/>
                <w:b/>
                <w:sz w:val="18"/>
              </w:rPr>
              <w:t xml:space="preserve">Adhärenz</w:t>
            </w:r>
          </w:p>
        </w:tc>
        <w:tc>
          <w:tcPr>
            <w:tcW w:type="dxa" w:w="800"/>
            <w:shd w:val="clear" w:color="auto" w:fill="D6E4F0"/>
          </w:tcPr>
          <w:p>
            <w:pPr>
              <w:pStyle w:val="Compact"/>
              <w:jc w:val="left"/>
            </w:pPr>
            <w:r>
              <w:rPr>
                <w:rFonts w:ascii="Arial" w:hAnsi="Arial"/>
                <w:b/>
                <w:sz w:val="18"/>
              </w:rPr>
              <w:t xml:space="preserve">P·D·Z (Σ)</w:t>
            </w:r>
          </w:p>
        </w:tc>
        <w:tc>
          <w:tcPr>
            <w:tcW w:type="dxa" w:w="1566"/>
            <w:shd w:val="clear" w:color="auto" w:fill="D6E4F0"/>
          </w:tcPr>
          <w:p>
            <w:pPr>
              <w:pStyle w:val="Compact"/>
              <w:jc w:val="left"/>
            </w:pPr>
            <w:r>
              <w:rPr>
                <w:rFonts w:ascii="Arial" w:hAnsi="Arial"/>
                <w:b/>
                <w:sz w:val="18"/>
              </w:rPr>
              <w:t xml:space="preserve">Zugang</w:t>
            </w:r>
          </w:p>
        </w:tc>
      </w:tr>
      <w:tr>
        <w:trPr>
          <w:cantSplit w:val="true"/>
        </w:trPr>
        <w:tc>
          <w:tcPr>
            <w:tcW w:type="dxa" w:w="1713"/>
          </w:tcPr>
          <w:p>
            <w:pPr>
              <w:pStyle w:val="Compact"/>
              <w:jc w:val="left"/>
            </w:pPr>
            <w:r>
              <w:rPr>
                <w:rFonts w:ascii="Arial" w:hAnsi="Arial"/>
                <w:sz w:val="18"/>
              </w:rPr>
              <w:t xml:space="preserve">García-Suárez et al. (2022), IJERPH 19(21), 13897 [MDPI]</w:t>
            </w:r>
          </w:p>
        </w:tc>
        <w:tc>
          <w:tcPr>
            <w:tcW w:type="dxa" w:w="2394"/>
          </w:tcPr>
          <w:p>
            <w:pPr>
              <w:pStyle w:val="Compact"/>
              <w:jc w:val="left"/>
            </w:pPr>
            <w:r>
              <w:rPr>
                <w:rFonts w:ascii="Arial" w:hAnsi="Arial"/>
                <w:sz w:val="18"/>
              </w:rPr>
              <w:t xml:space="preserve">RCT mit einfacher Randomisierung · 27 Sportstudierende im zweiten Studienjahr (Methodik 20,8 ± 0,9 J., Abstract 21,9 ± 2,4 J.), ausgewertet 20 (HIIT-14 8, HIIT-21 6, KG 6)</w:t>
            </w:r>
          </w:p>
        </w:tc>
        <w:tc>
          <w:tcPr>
            <w:tcW w:type="dxa" w:w="3155"/>
          </w:tcPr>
          <w:p>
            <w:pPr>
              <w:pStyle w:val="Compact"/>
              <w:jc w:val="left"/>
            </w:pPr>
            <w:r>
              <w:rPr>
                <w:rFonts w:ascii="Arial" w:hAnsi="Arial"/>
                <w:sz w:val="18"/>
              </w:rPr>
              <w:t xml:space="preserve">aufgezeichnetes Video von Fitnesstrainern, Ganzkörper-HIIT zu Hause ohne Geräte, 14 oder 21 min, 3×/Woche, 8 Wochen · KG ohne Programm</w:t>
            </w:r>
          </w:p>
        </w:tc>
        <w:tc>
          <w:tcPr>
            <w:tcW w:type="dxa" w:w="2952"/>
          </w:tcPr>
          <w:p>
            <w:pPr>
              <w:pStyle w:val="Compact"/>
              <w:jc w:val="left"/>
            </w:pPr>
            <w:r>
              <w:rPr>
                <w:rFonts w:ascii="Arial" w:hAnsi="Arial"/>
                <w:sz w:val="18"/>
              </w:rPr>
              <w:t xml:space="preserve">maximale Liegestütze: HIIT-14 24,8 → 36,1 (Interaktion p = 0,009), HIIT-21 21,2 → 29,8 (p = 0,071), Gruppeneffekt gegenüber der KG nicht signifikant (p = 0,819 und 0,450). Der Abstract meldet Unterschiede zur KG, der Ergebnisteil stützt das nicht</w:t>
            </w:r>
          </w:p>
        </w:tc>
        <w:tc>
          <w:tcPr>
            <w:tcW w:type="dxa" w:w="2216"/>
          </w:tcPr>
          <w:p>
            <w:pPr>
              <w:pStyle w:val="Compact"/>
              <w:jc w:val="left"/>
            </w:pPr>
            <w:r>
              <w:rPr>
                <w:rFonts w:ascii="Arial" w:hAnsi="Arial"/>
                <w:sz w:val="18"/>
              </w:rPr>
              <w:t xml:space="preserve">Trainingsprotokoll zu 91,4 % geführt</w:t>
            </w:r>
          </w:p>
        </w:tc>
        <w:tc>
          <w:tcPr>
            <w:tcW w:type="dxa" w:w="800"/>
          </w:tcPr>
          <w:p>
            <w:pPr>
              <w:pStyle w:val="Compact"/>
              <w:jc w:val="left"/>
            </w:pPr>
            <w:r>
              <w:rPr>
                <w:rFonts w:ascii="Arial" w:hAnsi="Arial"/>
                <w:sz w:val="18"/>
              </w:rPr>
              <w:t xml:space="preserve">2·1·2 (5)</w:t>
            </w:r>
          </w:p>
        </w:tc>
        <w:tc>
          <w:tcPr>
            <w:tcW w:type="dxa" w:w="1566"/>
          </w:tcPr>
          <w:p>
            <w:pPr>
              <w:pStyle w:val="Compact"/>
              <w:jc w:val="left"/>
            </w:pPr>
            <w:r>
              <w:rPr>
                <w:rFonts w:ascii="Arial" w:hAnsi="Arial"/>
                <w:sz w:val="18"/>
              </w:rPr>
              <w:t xml:space="preserve">V</w:t>
            </w:r>
          </w:p>
        </w:tc>
      </w:tr>
      <w:tr>
        <w:trPr>
          <w:cantSplit w:val="true"/>
        </w:trPr>
        <w:tc>
          <w:tcPr>
            <w:tcW w:type="dxa" w:w="1713"/>
            <w:shd w:val="clear" w:color="auto" w:fill="EEF3F9"/>
          </w:tcPr>
          <w:p>
            <w:pPr>
              <w:pStyle w:val="Compact"/>
              <w:jc w:val="left"/>
            </w:pPr>
            <w:r>
              <w:rPr>
                <w:rFonts w:ascii="Arial" w:hAnsi="Arial"/>
                <w:sz w:val="18"/>
              </w:rPr>
              <w:t xml:space="preserve">Daveri et al. (2022), Sports 10(11), 170 [MDPI]</w:t>
            </w:r>
          </w:p>
        </w:tc>
        <w:tc>
          <w:tcPr>
            <w:tcW w:type="dxa" w:w="2394"/>
            <w:shd w:val="clear" w:color="auto" w:fill="EEF3F9"/>
          </w:tcPr>
          <w:p>
            <w:pPr>
              <w:pStyle w:val="Compact"/>
              <w:jc w:val="left"/>
            </w:pPr>
            <w:r>
              <w:rPr>
                <w:rFonts w:ascii="Arial" w:hAnsi="Arial"/>
                <w:sz w:val="18"/>
              </w:rPr>
              <w:t xml:space="preserve">drei Gruppen „following the model for randomized studies“, Zuteilung nicht näher beschrieben · 21 Männer (23,1 J.), keine Wettkampfsportler, je 7</w:t>
            </w:r>
          </w:p>
        </w:tc>
        <w:tc>
          <w:tcPr>
            <w:tcW w:type="dxa" w:w="3155"/>
            <w:shd w:val="clear" w:color="auto" w:fill="EEF3F9"/>
          </w:tcPr>
          <w:p>
            <w:pPr>
              <w:pStyle w:val="Compact"/>
              <w:jc w:val="left"/>
            </w:pPr>
            <w:r>
              <w:rPr>
                <w:rFonts w:ascii="Arial" w:hAnsi="Arial"/>
                <w:sz w:val="18"/>
              </w:rPr>
              <w:t xml:space="preserve">live gestreamt mit Trainer gegen aufgezeichnetes Video ohne Aufsicht gegen schriftliches Programm · Körpergewichtskräftigung · 15 Einheiten in 5 Wochen</w:t>
            </w:r>
          </w:p>
        </w:tc>
        <w:tc>
          <w:tcPr>
            <w:tcW w:type="dxa" w:w="2952"/>
            <w:shd w:val="clear" w:color="auto" w:fill="EEF3F9"/>
          </w:tcPr>
          <w:p>
            <w:pPr>
              <w:pStyle w:val="Compact"/>
              <w:jc w:val="left"/>
            </w:pPr>
            <w:r>
              <w:rPr>
                <w:rFonts w:ascii="Arial" w:hAnsi="Arial"/>
                <w:sz w:val="18"/>
              </w:rPr>
              <w:t xml:space="preserve">Muskelfitness in allen drei Gruppen verbessert. Ruhepuls und Ruffier-Index nur in der Livegruppe verbessert. Kein Unterschied der Formen ausdrücklich nur bei Taillenumfang, Sit and Reach, Schulterinnenrotation, Einbeinstand und IPAQ</w:t>
            </w:r>
          </w:p>
        </w:tc>
        <w:tc>
          <w:tcPr>
            <w:tcW w:type="dxa" w:w="2216"/>
            <w:shd w:val="clear" w:color="auto" w:fill="EEF3F9"/>
          </w:tcPr>
          <w:p>
            <w:pPr>
              <w:pStyle w:val="Compact"/>
              <w:jc w:val="left"/>
            </w:pPr>
            <w:r>
              <w:rPr>
                <w:rFonts w:ascii="Arial" w:hAnsi="Arial"/>
                <w:sz w:val="18"/>
              </w:rPr>
              <w:t xml:space="preserve">Adhärenz live 93,3 %, Video 86 %, schriftlich 74 %, bei Video und Schrift per Selbstauskunft</w:t>
            </w:r>
          </w:p>
        </w:tc>
        <w:tc>
          <w:tcPr>
            <w:tcW w:type="dxa" w:w="800"/>
            <w:shd w:val="clear" w:color="auto" w:fill="EEF3F9"/>
          </w:tcPr>
          <w:p>
            <w:pPr>
              <w:pStyle w:val="Compact"/>
              <w:jc w:val="left"/>
            </w:pPr>
            <w:r>
              <w:rPr>
                <w:rFonts w:ascii="Arial" w:hAnsi="Arial"/>
                <w:sz w:val="18"/>
              </w:rPr>
              <w:t xml:space="preserve">2·1·2 (5)</w:t>
            </w:r>
          </w:p>
        </w:tc>
        <w:tc>
          <w:tcPr>
            <w:tcW w:type="dxa" w:w="1566"/>
            <w:shd w:val="clear" w:color="auto" w:fill="EEF3F9"/>
          </w:tcPr>
          <w:p>
            <w:pPr>
              <w:pStyle w:val="Compact"/>
              <w:jc w:val="left"/>
            </w:pPr>
            <w:r>
              <w:rPr>
                <w:rFonts w:ascii="Arial" w:hAnsi="Arial"/>
                <w:sz w:val="18"/>
              </w:rPr>
              <w:t xml:space="preserve">V (Subagent, Gegenprüfung)</w:t>
            </w:r>
          </w:p>
        </w:tc>
      </w:tr>
      <w:tr>
        <w:trPr>
          <w:cantSplit w:val="true"/>
        </w:trPr>
        <w:tc>
          <w:tcPr>
            <w:tcW w:type="dxa" w:w="1713"/>
          </w:tcPr>
          <w:p>
            <w:pPr>
              <w:pStyle w:val="Compact"/>
              <w:jc w:val="left"/>
            </w:pPr>
            <w:r>
              <w:rPr>
                <w:rFonts w:ascii="Arial" w:hAnsi="Arial"/>
                <w:sz w:val="18"/>
              </w:rPr>
              <w:t xml:space="preserve">Gavanda et al. (2025), JSCR 39(11), 1129–1137</w:t>
            </w:r>
          </w:p>
        </w:tc>
        <w:tc>
          <w:tcPr>
            <w:tcW w:type="dxa" w:w="2394"/>
          </w:tcPr>
          <w:p>
            <w:pPr>
              <w:pStyle w:val="Compact"/>
              <w:jc w:val="left"/>
            </w:pPr>
            <w:r>
              <w:rPr>
                <w:rFonts w:ascii="Arial" w:hAnsi="Arial"/>
                <w:sz w:val="18"/>
              </w:rPr>
              <w:t xml:space="preserve">RCT · 112 krafttrainierte Freizeitsportler (18 bis 58 J., 48 % Frauen), ausgewertet nur mit mindestens 85 % der Einheiten: 79 (Präsenz 15, App 39, PDF 25)</w:t>
            </w:r>
          </w:p>
        </w:tc>
        <w:tc>
          <w:tcPr>
            <w:tcW w:type="dxa" w:w="3155"/>
          </w:tcPr>
          <w:p>
            <w:pPr>
              <w:pStyle w:val="Compact"/>
              <w:jc w:val="left"/>
            </w:pPr>
            <w:r>
              <w:rPr>
                <w:rFonts w:ascii="Arial" w:hAnsi="Arial"/>
                <w:sz w:val="18"/>
              </w:rPr>
              <w:t xml:space="preserve">Präsenzbetreuung (1:1 bis 1:4) gegen App mit Technikvideos, Teilnahmekontrolle und zeitversetzter Videorückmeldung gegen PDF-Plan · Ganzkörper-Krafttraining, 10 Wochen, 3×/Woche</w:t>
            </w:r>
          </w:p>
        </w:tc>
        <w:tc>
          <w:tcPr>
            <w:tcW w:type="dxa" w:w="2952"/>
          </w:tcPr>
          <w:p>
            <w:pPr>
              <w:pStyle w:val="Compact"/>
              <w:jc w:val="left"/>
            </w:pPr>
            <w:r>
              <w:rPr>
                <w:rFonts w:ascii="Arial" w:hAnsi="Arial"/>
                <w:sz w:val="18"/>
              </w:rPr>
              <w:t xml:space="preserve">Kniebeuge-1RM Präsenz +26,6 ± 6,5 kg, App +19,2 ± 11,0, PDF +19,4 ± 11,7, Präsenz mehr als App (p = 0,018) und PDF (p = 0,044). Bankdrücken in allen Gruppen verbessert, ohne Gruppenunterschied</w:t>
            </w:r>
          </w:p>
        </w:tc>
        <w:tc>
          <w:tcPr>
            <w:tcW w:type="dxa" w:w="2216"/>
          </w:tcPr>
          <w:p>
            <w:pPr>
              <w:pStyle w:val="Compact"/>
              <w:jc w:val="left"/>
            </w:pPr>
            <w:r>
              <w:rPr>
                <w:rFonts w:ascii="Arial" w:hAnsi="Arial"/>
                <w:sz w:val="18"/>
              </w:rPr>
              <w:t xml:space="preserve">mindestens 85 % der Einheiten erreichten Präsenz 88,2 % (15 von 17), App 81,2 % (39 von 48), PDF 52,2 % (25 von 47)</w:t>
            </w:r>
          </w:p>
        </w:tc>
        <w:tc>
          <w:tcPr>
            <w:tcW w:type="dxa" w:w="800"/>
          </w:tcPr>
          <w:p>
            <w:pPr>
              <w:pStyle w:val="Compact"/>
              <w:jc w:val="left"/>
            </w:pPr>
            <w:r>
              <w:rPr>
                <w:rFonts w:ascii="Arial" w:hAnsi="Arial"/>
                <w:sz w:val="18"/>
              </w:rPr>
              <w:t xml:space="preserve">2·2·2 (6)</w:t>
            </w:r>
          </w:p>
        </w:tc>
        <w:tc>
          <w:tcPr>
            <w:tcW w:type="dxa" w:w="1566"/>
          </w:tcPr>
          <w:p>
            <w:pPr>
              <w:pStyle w:val="Compact"/>
              <w:jc w:val="left"/>
            </w:pPr>
            <w:r>
              <w:rPr>
                <w:rFonts w:ascii="Arial" w:hAnsi="Arial"/>
                <w:sz w:val="18"/>
              </w:rPr>
              <w:t xml:space="preserve">V</w:t>
            </w:r>
          </w:p>
        </w:tc>
      </w:tr>
      <w:tr>
        <w:trPr>
          <w:cantSplit w:val="true"/>
        </w:trPr>
        <w:tc>
          <w:tcPr>
            <w:tcW w:type="dxa" w:w="1713"/>
            <w:shd w:val="clear" w:color="auto" w:fill="EEF3F9"/>
          </w:tcPr>
          <w:p>
            <w:pPr>
              <w:pStyle w:val="Compact"/>
              <w:jc w:val="left"/>
            </w:pPr>
            <w:r>
              <w:rPr>
                <w:rFonts w:ascii="Arial" w:hAnsi="Arial"/>
                <w:sz w:val="18"/>
              </w:rPr>
              <w:t xml:space="preserve">McNamara et al. (2008), JSCR 22(4), 1164–1168</w:t>
            </w:r>
          </w:p>
        </w:tc>
        <w:tc>
          <w:tcPr>
            <w:tcW w:type="dxa" w:w="2394"/>
            <w:shd w:val="clear" w:color="auto" w:fill="EEF3F9"/>
          </w:tcPr>
          <w:p>
            <w:pPr>
              <w:pStyle w:val="Compact"/>
              <w:jc w:val="left"/>
            </w:pPr>
            <w:r>
              <w:rPr>
                <w:rFonts w:ascii="Arial" w:hAnsi="Arial"/>
                <w:sz w:val="18"/>
              </w:rPr>
              <w:t xml:space="preserve">randomisiert, drei Universitätskurse · 79 Studierende (traditionell 27, hybrid 25, online 27)</w:t>
            </w:r>
          </w:p>
        </w:tc>
        <w:tc>
          <w:tcPr>
            <w:tcW w:type="dxa" w:w="3155"/>
            <w:shd w:val="clear" w:color="auto" w:fill="EEF3F9"/>
          </w:tcPr>
          <w:p>
            <w:pPr>
              <w:pStyle w:val="Compact"/>
              <w:jc w:val="left"/>
            </w:pPr>
            <w:r>
              <w:rPr>
                <w:rFonts w:ascii="Arial" w:hAnsi="Arial"/>
                <w:sz w:val="18"/>
              </w:rPr>
              <w:t xml:space="preserve">Videodemonstrationen im Internet, Training selbstständig in einem beliebigen Studio, 16 Wochen · gegen Präsenz- und Hybridkurs</w:t>
            </w:r>
          </w:p>
        </w:tc>
        <w:tc>
          <w:tcPr>
            <w:tcW w:type="dxa" w:w="2952"/>
            <w:shd w:val="clear" w:color="auto" w:fill="EEF3F9"/>
          </w:tcPr>
          <w:p>
            <w:pPr>
              <w:pStyle w:val="Compact"/>
              <w:jc w:val="left"/>
            </w:pPr>
            <w:r>
              <w:rPr>
                <w:rFonts w:ascii="Arial" w:hAnsi="Arial"/>
                <w:sz w:val="18"/>
              </w:rPr>
              <w:t xml:space="preserve">Online-Gruppe bei Bankdrücken und Kniebeuge signifikant niedriger (p &lt; 0,05), Wissen in allen Gruppen verbessert</w:t>
            </w:r>
          </w:p>
        </w:tc>
        <w:tc>
          <w:tcPr>
            <w:tcW w:type="dxa" w:w="2216"/>
            <w:shd w:val="clear" w:color="auto" w:fill="EEF3F9"/>
          </w:tcPr>
          <w:p>
            <w:pPr>
              <w:pStyle w:val="Compact"/>
              <w:jc w:val="left"/>
            </w:pPr>
            <w:r>
              <w:rPr>
                <w:rFonts w:ascii="Arial" w:hAnsi="Arial"/>
                <w:sz w:val="18"/>
              </w:rPr>
              <w:t xml:space="preserve">Selbstprotokoll ohne Rate, Genauigkeit nach den Autoren fraglich</w:t>
            </w:r>
          </w:p>
        </w:tc>
        <w:tc>
          <w:tcPr>
            <w:tcW w:type="dxa" w:w="800"/>
            <w:shd w:val="clear" w:color="auto" w:fill="EEF3F9"/>
          </w:tcPr>
          <w:p>
            <w:pPr>
              <w:pStyle w:val="Compact"/>
              <w:jc w:val="left"/>
            </w:pPr>
            <w:r>
              <w:rPr>
                <w:rFonts w:ascii="Arial" w:hAnsi="Arial"/>
                <w:sz w:val="18"/>
              </w:rPr>
              <w:t xml:space="preserve">2·2·2 (6)</w:t>
            </w:r>
          </w:p>
        </w:tc>
        <w:tc>
          <w:tcPr>
            <w:tcW w:type="dxa" w:w="1566"/>
            <w:shd w:val="clear" w:color="auto" w:fill="EEF3F9"/>
          </w:tcPr>
          <w:p>
            <w:pPr>
              <w:pStyle w:val="Compact"/>
              <w:jc w:val="left"/>
            </w:pPr>
            <w:r>
              <w:rPr>
                <w:rFonts w:ascii="Arial" w:hAnsi="Arial"/>
                <w:sz w:val="18"/>
              </w:rPr>
              <w:t xml:space="preserve">A</w:t>
            </w:r>
          </w:p>
        </w:tc>
      </w:tr>
      <w:tr>
        <w:trPr>
          <w:cantSplit w:val="true"/>
        </w:trPr>
        <w:tc>
          <w:tcPr>
            <w:tcW w:type="dxa" w:w="1713"/>
          </w:tcPr>
          <w:p>
            <w:pPr>
              <w:pStyle w:val="Compact"/>
              <w:jc w:val="left"/>
            </w:pPr>
            <w:r>
              <w:rPr>
                <w:rFonts w:ascii="Arial" w:hAnsi="Arial"/>
                <w:sz w:val="18"/>
              </w:rPr>
              <w:t xml:space="preserve">Lee, Noh &amp; An (2021), IJERPH 18(19), 10305 [MDPI]</w:t>
            </w:r>
          </w:p>
        </w:tc>
        <w:tc>
          <w:tcPr>
            <w:tcW w:type="dxa" w:w="2394"/>
          </w:tcPr>
          <w:p>
            <w:pPr>
              <w:pStyle w:val="Compact"/>
              <w:jc w:val="left"/>
            </w:pPr>
            <w:r>
              <w:rPr>
                <w:rFonts w:ascii="Arial" w:hAnsi="Arial"/>
                <w:sz w:val="18"/>
              </w:rPr>
              <w:t xml:space="preserve">RCT · Mittelschüler im Lockdown, 60 Freiwillige, ausgewertet je 24 (15,8 und 15,9 J.), der Abstract nennt 54</w:t>
            </w:r>
          </w:p>
        </w:tc>
        <w:tc>
          <w:tcPr>
            <w:tcW w:type="dxa" w:w="3155"/>
          </w:tcPr>
          <w:p>
            <w:pPr>
              <w:pStyle w:val="Compact"/>
              <w:jc w:val="left"/>
            </w:pPr>
            <w:r>
              <w:rPr>
                <w:rFonts w:ascii="Arial" w:hAnsi="Arial"/>
                <w:sz w:val="18"/>
              </w:rPr>
              <w:t xml:space="preserve">live per Zoom angeleitetes Tabata-Training gegen aufgezeichnete Videolektionen des Sportunterrichts (je drei Wochen Volleyball und Basketball, zwei Wochen Tabata, zwei Wochen Schulsicherheit) · 10 Wochen, 2 × 40 min</w:t>
            </w:r>
          </w:p>
        </w:tc>
        <w:tc>
          <w:tcPr>
            <w:tcW w:type="dxa" w:w="2952"/>
          </w:tcPr>
          <w:p>
            <w:pPr>
              <w:pStyle w:val="Compact"/>
              <w:jc w:val="left"/>
            </w:pPr>
            <w:r>
              <w:rPr>
                <w:rFonts w:ascii="Arial" w:hAnsi="Arial"/>
                <w:sz w:val="18"/>
              </w:rPr>
              <w:t xml:space="preserve">Interaktion zugunsten der Livegruppe bei Muskelmasse, Dorsalextension, Hüftabduktion, -flexion, -extension und -außenrotation, Knieflexion und -extension und dem Y-Balance-Gesamtwert. Ausdauer, Beweglichkeit und Sit-ups ohne Interaktion. Inhalte verschieden, kein reiner Vergleich der Vermittlungsform</w:t>
            </w:r>
          </w:p>
        </w:tc>
        <w:tc>
          <w:tcPr>
            <w:tcW w:type="dxa" w:w="2216"/>
          </w:tcPr>
          <w:p>
            <w:pPr>
              <w:pStyle w:val="Compact"/>
              <w:jc w:val="left"/>
            </w:pPr>
            <w:r>
              <w:rPr>
                <w:rFonts w:ascii="Arial" w:hAnsi="Arial"/>
                <w:sz w:val="18"/>
              </w:rPr>
              <w:t xml:space="preserve">nicht berichtet</w:t>
            </w:r>
          </w:p>
        </w:tc>
        <w:tc>
          <w:tcPr>
            <w:tcW w:type="dxa" w:w="800"/>
          </w:tcPr>
          <w:p>
            <w:pPr>
              <w:pStyle w:val="Compact"/>
              <w:jc w:val="left"/>
            </w:pPr>
            <w:r>
              <w:rPr>
                <w:rFonts w:ascii="Arial" w:hAnsi="Arial"/>
                <w:sz w:val="18"/>
              </w:rPr>
              <w:t xml:space="preserve">2·1·2 (5)</w:t>
            </w:r>
          </w:p>
        </w:tc>
        <w:tc>
          <w:tcPr>
            <w:tcW w:type="dxa" w:w="1566"/>
          </w:tcPr>
          <w:p>
            <w:pPr>
              <w:pStyle w:val="Compact"/>
              <w:jc w:val="left"/>
            </w:pPr>
            <w:r>
              <w:rPr>
                <w:rFonts w:ascii="Arial" w:hAnsi="Arial"/>
                <w:sz w:val="18"/>
              </w:rPr>
              <w:t xml:space="preserve">V</w:t>
            </w:r>
          </w:p>
        </w:tc>
      </w:tr>
      <w:tr>
        <w:trPr>
          <w:cantSplit w:val="true"/>
        </w:trPr>
        <w:tc>
          <w:tcPr>
            <w:tcW w:type="dxa" w:w="1713"/>
            <w:shd w:val="clear" w:color="auto" w:fill="EEF3F9"/>
          </w:tcPr>
          <w:p>
            <w:pPr>
              <w:pStyle w:val="Compact"/>
              <w:jc w:val="left"/>
            </w:pPr>
            <w:r>
              <w:rPr>
                <w:rFonts w:ascii="Arial" w:hAnsi="Arial"/>
                <w:sz w:val="18"/>
              </w:rPr>
              <w:t xml:space="preserve">Bulca et al. (2022), Percept Mot Skills 129(3), 932–945</w:t>
            </w:r>
          </w:p>
        </w:tc>
        <w:tc>
          <w:tcPr>
            <w:tcW w:type="dxa" w:w="2394"/>
            <w:shd w:val="clear" w:color="auto" w:fill="EEF3F9"/>
          </w:tcPr>
          <w:p>
            <w:pPr>
              <w:pStyle w:val="Compact"/>
              <w:jc w:val="left"/>
            </w:pPr>
            <w:r>
              <w:rPr>
                <w:rFonts w:ascii="Arial" w:hAnsi="Arial"/>
                <w:sz w:val="18"/>
              </w:rPr>
              <w:t xml:space="preserve">kontrolliert · 62 Fünftklässler in Ankara (Video 28, KG 34)</w:t>
            </w:r>
          </w:p>
        </w:tc>
        <w:tc>
          <w:tcPr>
            <w:tcW w:type="dxa" w:w="3155"/>
            <w:shd w:val="clear" w:color="auto" w:fill="EEF3F9"/>
          </w:tcPr>
          <w:p>
            <w:pPr>
              <w:pStyle w:val="Compact"/>
              <w:jc w:val="left"/>
            </w:pPr>
            <w:r>
              <w:rPr>
                <w:rFonts w:ascii="Arial" w:hAnsi="Arial"/>
                <w:sz w:val="18"/>
              </w:rPr>
              <w:t xml:space="preserve">kurze Bewegungsvideos (Brain Breaks) im Sportunterricht 1×/Woche und zu Hause 3×/Woche, 8 Wochen · KG regulärer Sportunterricht</w:t>
            </w:r>
          </w:p>
        </w:tc>
        <w:tc>
          <w:tcPr>
            <w:tcW w:type="dxa" w:w="2952"/>
            <w:shd w:val="clear" w:color="auto" w:fill="EEF3F9"/>
          </w:tcPr>
          <w:p>
            <w:pPr>
              <w:pStyle w:val="Compact"/>
              <w:jc w:val="left"/>
            </w:pPr>
            <w:r>
              <w:rPr>
                <w:rFonts w:ascii="Arial" w:hAnsi="Arial"/>
                <w:sz w:val="18"/>
              </w:rPr>
              <w:t xml:space="preserve">Fitnessgram und Fitnesswissen in der Videogruppe stärker verbessert, im Abstract ohne Einzeltests und Zahlen</w:t>
            </w:r>
          </w:p>
        </w:tc>
        <w:tc>
          <w:tcPr>
            <w:tcW w:type="dxa" w:w="2216"/>
            <w:shd w:val="clear" w:color="auto" w:fill="EEF3F9"/>
          </w:tcPr>
          <w:p>
            <w:pPr>
              <w:pStyle w:val="Compact"/>
              <w:jc w:val="left"/>
            </w:pPr>
            <w:r>
              <w:rPr>
                <w:rFonts w:ascii="Arial" w:hAnsi="Arial"/>
                <w:sz w:val="18"/>
              </w:rPr>
              <w:t xml:space="preserve">nicht berichtet</w:t>
            </w:r>
          </w:p>
        </w:tc>
        <w:tc>
          <w:tcPr>
            <w:tcW w:type="dxa" w:w="800"/>
            <w:shd w:val="clear" w:color="auto" w:fill="EEF3F9"/>
          </w:tcPr>
          <w:p>
            <w:pPr>
              <w:pStyle w:val="Compact"/>
              <w:jc w:val="left"/>
            </w:pPr>
            <w:r>
              <w:rPr>
                <w:rFonts w:ascii="Arial" w:hAnsi="Arial"/>
                <w:sz w:val="18"/>
              </w:rPr>
              <w:t xml:space="preserve">2·1·2 (5)</w:t>
            </w:r>
          </w:p>
        </w:tc>
        <w:tc>
          <w:tcPr>
            <w:tcW w:type="dxa" w:w="1566"/>
            <w:shd w:val="clear" w:color="auto" w:fill="EEF3F9"/>
          </w:tcPr>
          <w:p>
            <w:pPr>
              <w:pStyle w:val="Compact"/>
              <w:jc w:val="left"/>
            </w:pPr>
            <w:r>
              <w:rPr>
                <w:rFonts w:ascii="Arial" w:hAnsi="Arial"/>
                <w:sz w:val="18"/>
              </w:rPr>
              <w:t xml:space="preserve">A</w:t>
            </w:r>
          </w:p>
        </w:tc>
      </w:tr>
    </w:tbl>
    <w:p>
      <w:pPr>
        <w:pStyle w:val="BodyText"/>
      </w:pPr>
      <w:r>
        <w:rPr>
          <w:bCs/>
          <w:rFonts w:ascii="Arial" w:hAnsi="Arial"/>
          <w:b/>
        </w:rPr>
        <w:t xml:space="preserve">Grenzfälle:</w:t>
      </w:r>
      <w:r>
        <w:rPr>
          <w:rFonts w:ascii="Arial" w:hAnsi="Arial"/>
        </w:rPr>
        <w:t xml:space="preserve"> </w:t>
      </w:r>
      <w:r>
        <w:rPr>
          <w:rFonts w:ascii="Arial" w:hAnsi="Arial"/>
        </w:rPr>
        <w:t xml:space="preserve">Liang und Wang (2026), PLoS One 21(3), e0345759: App-gestützter Hochschulsport mit Aufgaben, Tutorials und Protokoll gegen regulären Unterricht, 90 Studierende in zwei Klassen, 10 Wochen, 50 m und Standweitsprung als Normpunkte. Videodemonstrationen nennt nur die Diskussion, nicht der Methodenteil (V). · Magliato et al. (2025, online 2024), J Sport Rehabil 34(3), 271–277: App mit Video-, Text- und Audioanleitung, 20 aktive Erwachsene, 8 Wochen, Machbarkeit ohne Kontrolle. Adhärenz 57,2 % (absolvierte von 24 vorgesehenen Workouts bei den 15 Personen mit Follow-up), Retention 75 % (A). · Nam et al. (2024): App mit Echtzeitüberwachung beim Heimradfahren, keine Videoanleitung (A). · Wang, Jia et al. (2023), Front Psychol 14, 1182332: beide Arme per Video-App fernbetreut, Studierende ohne Sportstudium, keine Kontrolle (A, Subagent). · Ge et al. (2024), BMC Med Educ: Videokurs zusätzlich zum Hallentraining, Leistungsvergleich nicht berichtet (Subagent).</w:t>
      </w:r>
    </w:p>
    <w:bookmarkEnd w:id="32"/>
    <w:bookmarkStart w:id="36" w:name="Xbc984871f7dbcb6e2c4258194c0d0d440293aea"/>
    <w:p>
      <w:pPr>
        <w:pStyle w:val="Heading2"/>
      </w:pPr>
      <w:r>
        <w:rPr>
          <w:rFonts w:ascii="Arial" w:hAnsi="Arial"/>
        </w:rPr>
        <w:t xml:space="preserve">5 Was der Bestand zu Video gegen Präsenz sagt</w:t>
      </w:r>
    </w:p>
    <w:bookmarkStart w:id="33" w:name="leistung"/>
    <w:p>
      <w:pPr>
        <w:pStyle w:val="Heading3"/>
      </w:pPr>
      <w:r>
        <w:rPr>
          <w:rFonts w:ascii="Arial" w:hAnsi="Arial"/>
        </w:rPr>
        <w:t xml:space="preserve">5.1 Leistung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5004"/>
        <w:gridCol w:w="4440"/>
        <w:gridCol w:w="2701"/>
        <w:gridCol w:w="2652"/>
      </w:tblGrid>
      <w:tr>
        <w:trPr>
          <w:tblHeader w:val="true"/>
          <w:tblHeader w:val="true"/>
          <w:cantSplit w:val="true"/>
        </w:trPr>
        <w:tc>
          <w:tcPr>
            <w:tcW w:type="dxa" w:w="5004"/>
            <w:shd w:val="clear" w:color="auto" w:fill="D6E4F0"/>
          </w:tcPr>
          <w:p>
            <w:pPr>
              <w:pStyle w:val="Compact"/>
              <w:jc w:val="left"/>
            </w:pPr>
            <w:r>
              <w:rPr>
                <w:rFonts w:ascii="Arial" w:hAnsi="Arial"/>
                <w:b/>
                <w:sz w:val="18"/>
              </w:rPr>
              <w:t xml:space="preserve">Aussage</w:t>
            </w:r>
          </w:p>
        </w:tc>
        <w:tc>
          <w:tcPr>
            <w:tcW w:type="dxa" w:w="4440"/>
            <w:shd w:val="clear" w:color="auto" w:fill="D6E4F0"/>
          </w:tcPr>
          <w:p>
            <w:pPr>
              <w:pStyle w:val="Compact"/>
              <w:jc w:val="left"/>
            </w:pPr>
            <w:r>
              <w:rPr>
                <w:rFonts w:ascii="Arial" w:hAnsi="Arial"/>
                <w:b/>
                <w:sz w:val="18"/>
              </w:rPr>
              <w:t xml:space="preserve">Quellen</w:t>
            </w:r>
          </w:p>
        </w:tc>
        <w:tc>
          <w:tcPr>
            <w:tcW w:type="dxa" w:w="2701"/>
            <w:shd w:val="clear" w:color="auto" w:fill="D6E4F0"/>
          </w:tcPr>
          <w:p>
            <w:pPr>
              <w:pStyle w:val="Compact"/>
              <w:jc w:val="left"/>
            </w:pPr>
            <w:r>
              <w:rPr>
                <w:rFonts w:ascii="Arial" w:hAnsi="Arial"/>
                <w:b/>
                <w:sz w:val="18"/>
              </w:rPr>
              <w:t xml:space="preserve">Stufe nach F17 § 6.4</w:t>
            </w:r>
          </w:p>
        </w:tc>
        <w:tc>
          <w:tcPr>
            <w:tcW w:type="dxa" w:w="2652"/>
            <w:shd w:val="clear" w:color="auto" w:fill="D6E4F0"/>
          </w:tcPr>
          <w:p>
            <w:pPr>
              <w:pStyle w:val="Compact"/>
              <w:jc w:val="left"/>
            </w:pPr>
            <w:r>
              <w:rPr>
                <w:rFonts w:ascii="Arial" w:hAnsi="Arial"/>
                <w:b/>
                <w:sz w:val="18"/>
              </w:rPr>
              <w:t xml:space="preserve">Folge für eine Formulierung</w:t>
            </w:r>
          </w:p>
        </w:tc>
      </w:tr>
      <w:tr>
        <w:trPr>
          <w:cantSplit w:val="true"/>
        </w:trPr>
        <w:tc>
          <w:tcPr>
            <w:tcW w:type="dxa" w:w="5004"/>
          </w:tcPr>
          <w:p>
            <w:pPr>
              <w:pStyle w:val="Compact"/>
              <w:jc w:val="left"/>
            </w:pPr>
            <w:r>
              <w:rPr>
                <w:rFonts w:ascii="Arial" w:hAnsi="Arial"/>
                <w:sz w:val="18"/>
              </w:rPr>
              <w:t xml:space="preserve">Ein Programm per Video ohne Trainer vor Ort verbessert einfache Leistungstests gegenüber einer Kontrolle ohne Programm</w:t>
            </w:r>
          </w:p>
        </w:tc>
        <w:tc>
          <w:tcPr>
            <w:tcW w:type="dxa" w:w="4440"/>
          </w:tcPr>
          <w:p>
            <w:pPr>
              <w:pStyle w:val="Compact"/>
              <w:jc w:val="left"/>
            </w:pPr>
            <w:r>
              <w:rPr>
                <w:rFonts w:ascii="Arial" w:hAnsi="Arial"/>
                <w:sz w:val="18"/>
              </w:rPr>
              <w:t xml:space="preserve">Klusemann et al. (2012), Nachwuchsbasketball · Bulca et al. (2022), Schüler, nur Abstract. Gegenbefund: García-Suárez et al. (2022), Studierende, Gruppeneffekt nicht signifikant</w:t>
            </w:r>
          </w:p>
        </w:tc>
        <w:tc>
          <w:tcPr>
            <w:tcW w:type="dxa" w:w="2701"/>
          </w:tcPr>
          <w:p>
            <w:pPr>
              <w:pStyle w:val="Compact"/>
              <w:jc w:val="left"/>
            </w:pPr>
            <w:r>
              <w:rPr>
                <w:rFonts w:ascii="Arial" w:hAnsi="Arial"/>
                <w:sz w:val="18"/>
              </w:rPr>
              <w:t xml:space="preserve">zwei Einzelbefunde und ein Gegenbefund, Distanz ≥ 3</w:t>
            </w:r>
          </w:p>
        </w:tc>
        <w:tc>
          <w:tcPr>
            <w:tcW w:type="dxa" w:w="2652"/>
          </w:tcPr>
          <w:p>
            <w:pPr>
              <w:pStyle w:val="Compact"/>
              <w:jc w:val="left"/>
            </w:pPr>
            <w:r>
              <w:rPr>
                <w:rFonts w:ascii="Arial" w:hAnsi="Arial"/>
                <w:sz w:val="18"/>
              </w:rPr>
              <w:t xml:space="preserve">nur Kontext, Population und Trainingsform im Satz</w:t>
            </w:r>
          </w:p>
        </w:tc>
      </w:tr>
      <w:tr>
        <w:trPr>
          <w:cantSplit w:val="true"/>
        </w:trPr>
        <w:tc>
          <w:tcPr>
            <w:tcW w:type="dxa" w:w="5004"/>
            <w:shd w:val="clear" w:color="auto" w:fill="EEF3F9"/>
          </w:tcPr>
          <w:p>
            <w:pPr>
              <w:pStyle w:val="Compact"/>
              <w:jc w:val="left"/>
            </w:pPr>
            <w:r>
              <w:rPr>
                <w:rFonts w:ascii="Arial" w:hAnsi="Arial"/>
                <w:sz w:val="18"/>
              </w:rPr>
              <w:t xml:space="preserve">Video- oder Onlinevermittlung und Präsenz unterscheiden sich bei Sprung, Sprint oder Ausdauer nicht nachweisbar</w:t>
            </w:r>
          </w:p>
        </w:tc>
        <w:tc>
          <w:tcPr>
            <w:tcW w:type="dxa" w:w="4440"/>
            <w:shd w:val="clear" w:color="auto" w:fill="EEF3F9"/>
          </w:tcPr>
          <w:p>
            <w:pPr>
              <w:pStyle w:val="Compact"/>
              <w:jc w:val="left"/>
            </w:pPr>
            <w:r>
              <w:rPr>
                <w:rFonts w:ascii="Arial" w:hAnsi="Arial"/>
                <w:sz w:val="18"/>
              </w:rPr>
              <w:t xml:space="preserve">Klusemann et al. (2012) · Nuttouch et al. (2023) · Lippi et al. (2026) · Wang et al. (2025, nur Abstract)</w:t>
            </w:r>
          </w:p>
        </w:tc>
        <w:tc>
          <w:tcPr>
            <w:tcW w:type="dxa" w:w="2701"/>
            <w:shd w:val="clear" w:color="auto" w:fill="EEF3F9"/>
          </w:tcPr>
          <w:p>
            <w:pPr>
              <w:pStyle w:val="Compact"/>
              <w:jc w:val="left"/>
            </w:pPr>
            <w:r>
              <w:rPr>
                <w:rFonts w:ascii="Arial" w:hAnsi="Arial"/>
                <w:sz w:val="18"/>
              </w:rPr>
              <w:t xml:space="preserve">vier Primärstudien, kein Review, Distanz ≥ 3</w:t>
            </w:r>
          </w:p>
        </w:tc>
        <w:tc>
          <w:tcPr>
            <w:tcW w:type="dxa" w:w="2652"/>
            <w:shd w:val="clear" w:color="auto" w:fill="EEF3F9"/>
          </w:tcPr>
          <w:p>
            <w:pPr>
              <w:pStyle w:val="Compact"/>
              <w:jc w:val="left"/>
            </w:pPr>
            <w:r>
              <w:rPr>
                <w:rFonts w:ascii="Arial" w:hAnsi="Arial"/>
                <w:sz w:val="18"/>
              </w:rPr>
              <w:t xml:space="preserve">„kein Unterschied nachweisbar“, nicht „gleich wirksam“</w:t>
            </w:r>
          </w:p>
        </w:tc>
      </w:tr>
      <w:tr>
        <w:trPr>
          <w:cantSplit w:val="true"/>
        </w:trPr>
        <w:tc>
          <w:tcPr>
            <w:tcW w:type="dxa" w:w="5004"/>
          </w:tcPr>
          <w:p>
            <w:pPr>
              <w:pStyle w:val="Compact"/>
              <w:jc w:val="left"/>
            </w:pPr>
            <w:r>
              <w:rPr>
                <w:rFonts w:ascii="Arial" w:hAnsi="Arial"/>
                <w:sz w:val="18"/>
              </w:rPr>
              <w:t xml:space="preserve">Live, aufgezeichnet oder schriftlich vermittelt, verbessert sich die Kraftausdauer in allen drei Formen, Herz-Kreislauf-Größen nur live</w:t>
            </w:r>
          </w:p>
        </w:tc>
        <w:tc>
          <w:tcPr>
            <w:tcW w:type="dxa" w:w="4440"/>
          </w:tcPr>
          <w:p>
            <w:pPr>
              <w:pStyle w:val="Compact"/>
              <w:jc w:val="left"/>
            </w:pPr>
            <w:r>
              <w:rPr>
                <w:rFonts w:ascii="Arial" w:hAnsi="Arial"/>
                <w:sz w:val="18"/>
              </w:rPr>
              <w:t xml:space="preserve">Daveri et al. (2022), 21 Männer, fünf Wochen</w:t>
            </w:r>
          </w:p>
        </w:tc>
        <w:tc>
          <w:tcPr>
            <w:tcW w:type="dxa" w:w="2701"/>
          </w:tcPr>
          <w:p>
            <w:pPr>
              <w:pStyle w:val="Compact"/>
              <w:jc w:val="left"/>
            </w:pPr>
            <w:r>
              <w:rPr>
                <w:rFonts w:ascii="Arial" w:hAnsi="Arial"/>
                <w:sz w:val="18"/>
              </w:rPr>
              <w:t xml:space="preserve">Einzelbefund, Distanz 5</w:t>
            </w:r>
          </w:p>
        </w:tc>
        <w:tc>
          <w:tcPr>
            <w:tcW w:type="dxa" w:w="2652"/>
          </w:tcPr>
          <w:p>
            <w:pPr>
              <w:pStyle w:val="Compact"/>
              <w:jc w:val="left"/>
            </w:pPr>
            <w:r>
              <w:rPr>
                <w:rFonts w:ascii="Arial" w:hAnsi="Arial"/>
                <w:sz w:val="18"/>
              </w:rPr>
              <w:t xml:space="preserve">nur Kontext</w:t>
            </w:r>
          </w:p>
        </w:tc>
      </w:tr>
      <w:tr>
        <w:trPr>
          <w:cantSplit w:val="true"/>
        </w:trPr>
        <w:tc>
          <w:tcPr>
            <w:tcW w:type="dxa" w:w="5004"/>
            <w:shd w:val="clear" w:color="auto" w:fill="EEF3F9"/>
          </w:tcPr>
          <w:p>
            <w:pPr>
              <w:pStyle w:val="Compact"/>
              <w:jc w:val="left"/>
            </w:pPr>
            <w:r>
              <w:rPr>
                <w:rFonts w:ascii="Arial" w:hAnsi="Arial"/>
                <w:sz w:val="18"/>
              </w:rPr>
              <w:t xml:space="preserve">Präsenz oder Livebetreuung schneidet bei Maximalkraft, Bewegungsqualität oder Herz-Kreislauf-Größen besser ab</w:t>
            </w:r>
          </w:p>
        </w:tc>
        <w:tc>
          <w:tcPr>
            <w:tcW w:type="dxa" w:w="4440"/>
            <w:shd w:val="clear" w:color="auto" w:fill="EEF3F9"/>
          </w:tcPr>
          <w:p>
            <w:pPr>
              <w:pStyle w:val="Compact"/>
              <w:jc w:val="left"/>
            </w:pPr>
            <w:r>
              <w:rPr>
                <w:rFonts w:ascii="Arial" w:hAnsi="Arial"/>
                <w:sz w:val="18"/>
              </w:rPr>
              <w:t xml:space="preserve">Klusemann et al. (2012), FMS · Gavanda et al. (2025), Kniebeuge · McNamara et al. (2008) · Zebis et al. (2019), akut · Daveri et al. (2022), Ruhepuls</w:t>
            </w:r>
          </w:p>
        </w:tc>
        <w:tc>
          <w:tcPr>
            <w:tcW w:type="dxa" w:w="2701"/>
            <w:shd w:val="clear" w:color="auto" w:fill="EEF3F9"/>
          </w:tcPr>
          <w:p>
            <w:pPr>
              <w:pStyle w:val="Compact"/>
              <w:jc w:val="left"/>
            </w:pPr>
            <w:r>
              <w:rPr>
                <w:rFonts w:ascii="Arial" w:hAnsi="Arial"/>
                <w:sz w:val="18"/>
              </w:rPr>
              <w:t xml:space="preserve">Primärstudien, Distanz ≥ 3</w:t>
            </w:r>
          </w:p>
        </w:tc>
        <w:tc>
          <w:tcPr>
            <w:tcW w:type="dxa" w:w="2652"/>
            <w:shd w:val="clear" w:color="auto" w:fill="EEF3F9"/>
          </w:tcPr>
          <w:p>
            <w:pPr>
              <w:pStyle w:val="Compact"/>
              <w:jc w:val="left"/>
            </w:pPr>
            <w:r>
              <w:rPr>
                <w:rFonts w:ascii="Arial" w:hAnsi="Arial"/>
                <w:sz w:val="18"/>
              </w:rPr>
              <w:t xml:space="preserve">nur Kontext, Population nennen</w:t>
            </w:r>
          </w:p>
        </w:tc>
      </w:tr>
      <w:tr>
        <w:trPr>
          <w:cantSplit w:val="true"/>
        </w:trPr>
        <w:tc>
          <w:tcPr>
            <w:tcW w:type="dxa" w:w="5004"/>
          </w:tcPr>
          <w:p>
            <w:pPr>
              <w:pStyle w:val="Compact"/>
              <w:jc w:val="left"/>
            </w:pPr>
            <w:r>
              <w:rPr>
                <w:rFonts w:ascii="Arial" w:hAnsi="Arial"/>
                <w:sz w:val="18"/>
              </w:rPr>
              <w:t xml:space="preserve">Ein unbeaufsichtigtes Videoprogramm verbessert im Nachwuchsfußball Sprint, Richtungswechsel oder Standweitsprung</w:t>
            </w:r>
          </w:p>
        </w:tc>
        <w:tc>
          <w:tcPr>
            <w:tcW w:type="dxa" w:w="4440"/>
          </w:tcPr>
          <w:p>
            <w:pPr>
              <w:pStyle w:val="Compact"/>
              <w:jc w:val="left"/>
            </w:pPr>
            <w:r>
              <w:rPr>
                <w:rFonts w:ascii="Arial" w:hAnsi="Arial"/>
                <w:sz w:val="18"/>
              </w:rPr>
              <w:t xml:space="preserve">keine</w:t>
            </w:r>
          </w:p>
        </w:tc>
        <w:tc>
          <w:tcPr>
            <w:tcW w:type="dxa" w:w="2701"/>
          </w:tcPr>
          <w:p>
            <w:pPr>
              <w:pStyle w:val="Compact"/>
              <w:jc w:val="left"/>
            </w:pPr>
            <w:r>
              <w:rPr>
                <w:rFonts w:ascii="Arial" w:hAnsi="Arial"/>
                <w:sz w:val="18"/>
              </w:rPr>
              <w:t xml:space="preserve">nicht belegt</w:t>
            </w:r>
          </w:p>
        </w:tc>
        <w:tc>
          <w:tcPr>
            <w:tcW w:type="dxa" w:w="2652"/>
          </w:tcPr>
          <w:p>
            <w:pPr>
              <w:pStyle w:val="Compact"/>
              <w:jc w:val="left"/>
            </w:pPr>
            <w:r>
              <w:rPr>
                <w:rFonts w:ascii="Arial" w:hAnsi="Arial"/>
                <w:sz w:val="18"/>
              </w:rPr>
              <w:t xml:space="preserve">nicht schreiben</w:t>
            </w:r>
          </w:p>
        </w:tc>
      </w:tr>
    </w:tbl>
    <w:bookmarkEnd w:id="33"/>
    <w:bookmarkStart w:id="34" w:name="adhärenz-nach-vermittlungsform"/>
    <w:p>
      <w:pPr>
        <w:pStyle w:val="Heading3"/>
      </w:pPr>
      <w:r>
        <w:rPr>
          <w:rFonts w:ascii="Arial" w:hAnsi="Arial"/>
        </w:rPr>
        <w:t xml:space="preserve">5.2 Adhärenz nach Vermittlungsform</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290"/>
        <w:gridCol w:w="3844"/>
        <w:gridCol w:w="4841"/>
        <w:gridCol w:w="2822"/>
      </w:tblGrid>
      <w:tr>
        <w:trPr>
          <w:tblHeader w:val="true"/>
          <w:tblHeader w:val="true"/>
          <w:cantSplit w:val="true"/>
        </w:trPr>
        <w:tc>
          <w:tcPr>
            <w:tcW w:type="dxa" w:w="3290"/>
            <w:shd w:val="clear" w:color="auto" w:fill="D6E4F0"/>
          </w:tcPr>
          <w:p>
            <w:pPr>
              <w:pStyle w:val="Compact"/>
              <w:jc w:val="left"/>
            </w:pPr>
            <w:r>
              <w:rPr>
                <w:rFonts w:ascii="Arial" w:hAnsi="Arial"/>
                <w:b/>
                <w:sz w:val="18"/>
              </w:rPr>
              <w:t xml:space="preserve">Studie</w:t>
            </w:r>
          </w:p>
        </w:tc>
        <w:tc>
          <w:tcPr>
            <w:tcW w:type="dxa" w:w="3844"/>
            <w:shd w:val="clear" w:color="auto" w:fill="D6E4F0"/>
          </w:tcPr>
          <w:p>
            <w:pPr>
              <w:pStyle w:val="Compact"/>
              <w:jc w:val="left"/>
            </w:pPr>
            <w:r>
              <w:rPr>
                <w:rFonts w:ascii="Arial" w:hAnsi="Arial"/>
                <w:b/>
                <w:sz w:val="18"/>
              </w:rPr>
              <w:t xml:space="preserve">Vermittlung</w:t>
            </w:r>
          </w:p>
        </w:tc>
        <w:tc>
          <w:tcPr>
            <w:tcW w:type="dxa" w:w="4841"/>
            <w:shd w:val="clear" w:color="auto" w:fill="D6E4F0"/>
          </w:tcPr>
          <w:p>
            <w:pPr>
              <w:pStyle w:val="Compact"/>
              <w:jc w:val="left"/>
            </w:pPr>
            <w:r>
              <w:rPr>
                <w:rFonts w:ascii="Arial" w:hAnsi="Arial"/>
                <w:b/>
                <w:sz w:val="18"/>
              </w:rPr>
              <w:t xml:space="preserve">Maß</w:t>
            </w:r>
          </w:p>
        </w:tc>
        <w:tc>
          <w:tcPr>
            <w:tcW w:type="dxa" w:w="2822"/>
            <w:shd w:val="clear" w:color="auto" w:fill="D6E4F0"/>
          </w:tcPr>
          <w:p>
            <w:pPr>
              <w:pStyle w:val="Compact"/>
              <w:jc w:val="left"/>
            </w:pPr>
            <w:r>
              <w:rPr>
                <w:rFonts w:ascii="Arial" w:hAnsi="Arial"/>
                <w:b/>
                <w:sz w:val="18"/>
              </w:rPr>
              <w:t xml:space="preserve">Wert</w:t>
            </w:r>
          </w:p>
        </w:tc>
      </w:tr>
      <w:tr>
        <w:trPr>
          <w:cantSplit w:val="true"/>
        </w:trPr>
        <w:tc>
          <w:tcPr>
            <w:tcW w:type="dxa" w:w="3290"/>
          </w:tcPr>
          <w:p>
            <w:pPr>
              <w:pStyle w:val="Compact"/>
              <w:jc w:val="left"/>
            </w:pPr>
            <w:r>
              <w:rPr>
                <w:rFonts w:ascii="Arial" w:hAnsi="Arial"/>
                <w:sz w:val="18"/>
              </w:rPr>
              <w:t xml:space="preserve">Daveri et al. (2022)</w:t>
            </w:r>
          </w:p>
        </w:tc>
        <w:tc>
          <w:tcPr>
            <w:tcW w:type="dxa" w:w="3844"/>
          </w:tcPr>
          <w:p>
            <w:pPr>
              <w:pStyle w:val="Compact"/>
              <w:jc w:val="left"/>
            </w:pPr>
            <w:r>
              <w:rPr>
                <w:rFonts w:ascii="Arial" w:hAnsi="Arial"/>
                <w:sz w:val="18"/>
              </w:rPr>
              <w:t xml:space="preserve">live · aufgezeichnet · schriftlich</w:t>
            </w:r>
          </w:p>
        </w:tc>
        <w:tc>
          <w:tcPr>
            <w:tcW w:type="dxa" w:w="4841"/>
          </w:tcPr>
          <w:p>
            <w:pPr>
              <w:pStyle w:val="Compact"/>
              <w:jc w:val="left"/>
            </w:pPr>
            <w:r>
              <w:rPr>
                <w:rFonts w:ascii="Arial" w:hAnsi="Arial"/>
                <w:sz w:val="18"/>
              </w:rPr>
              <w:t xml:space="preserve">Adhärenz, bei Video und Schrift per Selbstauskunft</w:t>
            </w:r>
          </w:p>
        </w:tc>
        <w:tc>
          <w:tcPr>
            <w:tcW w:type="dxa" w:w="2822"/>
          </w:tcPr>
          <w:p>
            <w:pPr>
              <w:pStyle w:val="Compact"/>
              <w:jc w:val="left"/>
            </w:pPr>
            <w:r>
              <w:rPr>
                <w:rFonts w:ascii="Arial" w:hAnsi="Arial"/>
                <w:sz w:val="18"/>
              </w:rPr>
              <w:t xml:space="preserve">93,3 % · 86 % · 74 %</w:t>
            </w:r>
          </w:p>
        </w:tc>
      </w:tr>
      <w:tr>
        <w:trPr>
          <w:cantSplit w:val="true"/>
        </w:trPr>
        <w:tc>
          <w:tcPr>
            <w:tcW w:type="dxa" w:w="3290"/>
            <w:shd w:val="clear" w:color="auto" w:fill="EEF3F9"/>
          </w:tcPr>
          <w:p>
            <w:pPr>
              <w:pStyle w:val="Compact"/>
              <w:jc w:val="left"/>
            </w:pPr>
            <w:r>
              <w:rPr>
                <w:rFonts w:ascii="Arial" w:hAnsi="Arial"/>
                <w:sz w:val="18"/>
              </w:rPr>
              <w:t xml:space="preserve">Gavanda et al. (2025)</w:t>
            </w:r>
          </w:p>
        </w:tc>
        <w:tc>
          <w:tcPr>
            <w:tcW w:type="dxa" w:w="3844"/>
            <w:shd w:val="clear" w:color="auto" w:fill="EEF3F9"/>
          </w:tcPr>
          <w:p>
            <w:pPr>
              <w:pStyle w:val="Compact"/>
              <w:jc w:val="left"/>
            </w:pPr>
            <w:r>
              <w:rPr>
                <w:rFonts w:ascii="Arial" w:hAnsi="Arial"/>
                <w:sz w:val="18"/>
              </w:rPr>
              <w:t xml:space="preserve">Präsenz · App mit Videos · PDF</w:t>
            </w:r>
          </w:p>
        </w:tc>
        <w:tc>
          <w:tcPr>
            <w:tcW w:type="dxa" w:w="4841"/>
            <w:shd w:val="clear" w:color="auto" w:fill="EEF3F9"/>
          </w:tcPr>
          <w:p>
            <w:pPr>
              <w:pStyle w:val="Compact"/>
              <w:jc w:val="left"/>
            </w:pPr>
            <w:r>
              <w:rPr>
                <w:rFonts w:ascii="Arial" w:hAnsi="Arial"/>
                <w:sz w:val="18"/>
              </w:rPr>
              <w:t xml:space="preserve">Anteil mit mindestens 85 % der Einheiten</w:t>
            </w:r>
          </w:p>
        </w:tc>
        <w:tc>
          <w:tcPr>
            <w:tcW w:type="dxa" w:w="2822"/>
            <w:shd w:val="clear" w:color="auto" w:fill="EEF3F9"/>
          </w:tcPr>
          <w:p>
            <w:pPr>
              <w:pStyle w:val="Compact"/>
              <w:jc w:val="left"/>
            </w:pPr>
            <w:r>
              <w:rPr>
                <w:rFonts w:ascii="Arial" w:hAnsi="Arial"/>
                <w:sz w:val="18"/>
              </w:rPr>
              <w:t xml:space="preserve">88,2 % · 81,2 % · 52,2 %</w:t>
            </w:r>
          </w:p>
        </w:tc>
      </w:tr>
      <w:tr>
        <w:trPr>
          <w:cantSplit w:val="true"/>
        </w:trPr>
        <w:tc>
          <w:tcPr>
            <w:tcW w:type="dxa" w:w="3290"/>
          </w:tcPr>
          <w:p>
            <w:pPr>
              <w:pStyle w:val="Compact"/>
              <w:jc w:val="left"/>
            </w:pPr>
            <w:r>
              <w:rPr>
                <w:rFonts w:ascii="Arial" w:hAnsi="Arial"/>
                <w:sz w:val="18"/>
              </w:rPr>
              <w:t xml:space="preserve">García-Suárez et al. (2022)</w:t>
            </w:r>
          </w:p>
        </w:tc>
        <w:tc>
          <w:tcPr>
            <w:tcW w:type="dxa" w:w="3844"/>
          </w:tcPr>
          <w:p>
            <w:pPr>
              <w:pStyle w:val="Compact"/>
              <w:jc w:val="left"/>
            </w:pPr>
            <w:r>
              <w:rPr>
                <w:rFonts w:ascii="Arial" w:hAnsi="Arial"/>
                <w:sz w:val="18"/>
              </w:rPr>
              <w:t xml:space="preserve">aufgezeichnetes Video</w:t>
            </w:r>
          </w:p>
        </w:tc>
        <w:tc>
          <w:tcPr>
            <w:tcW w:type="dxa" w:w="4841"/>
          </w:tcPr>
          <w:p>
            <w:pPr>
              <w:pStyle w:val="Compact"/>
              <w:jc w:val="left"/>
            </w:pPr>
            <w:r>
              <w:rPr>
                <w:rFonts w:ascii="Arial" w:hAnsi="Arial"/>
                <w:sz w:val="18"/>
              </w:rPr>
              <w:t xml:space="preserve">geführtes Trainingsprotokoll</w:t>
            </w:r>
          </w:p>
        </w:tc>
        <w:tc>
          <w:tcPr>
            <w:tcW w:type="dxa" w:w="2822"/>
          </w:tcPr>
          <w:p>
            <w:pPr>
              <w:pStyle w:val="Compact"/>
              <w:jc w:val="left"/>
            </w:pPr>
            <w:r>
              <w:rPr>
                <w:rFonts w:ascii="Arial" w:hAnsi="Arial"/>
                <w:sz w:val="18"/>
              </w:rPr>
              <w:t xml:space="preserve">91,4 %</w:t>
            </w:r>
          </w:p>
        </w:tc>
      </w:tr>
      <w:tr>
        <w:trPr>
          <w:cantSplit w:val="true"/>
        </w:trPr>
        <w:tc>
          <w:tcPr>
            <w:tcW w:type="dxa" w:w="3290"/>
            <w:shd w:val="clear" w:color="auto" w:fill="EEF3F9"/>
          </w:tcPr>
          <w:p>
            <w:pPr>
              <w:pStyle w:val="Compact"/>
              <w:jc w:val="left"/>
            </w:pPr>
            <w:r>
              <w:rPr>
                <w:rFonts w:ascii="Arial" w:hAnsi="Arial"/>
                <w:sz w:val="18"/>
              </w:rPr>
              <w:t xml:space="preserve">Kwapisz Dos Santos et al. (2025)</w:t>
            </w:r>
          </w:p>
        </w:tc>
        <w:tc>
          <w:tcPr>
            <w:tcW w:type="dxa" w:w="3844"/>
            <w:shd w:val="clear" w:color="auto" w:fill="EEF3F9"/>
          </w:tcPr>
          <w:p>
            <w:pPr>
              <w:pStyle w:val="Compact"/>
              <w:jc w:val="left"/>
            </w:pPr>
            <w:r>
              <w:rPr>
                <w:rFonts w:ascii="Arial" w:hAnsi="Arial"/>
                <w:sz w:val="18"/>
              </w:rPr>
              <w:t xml:space="preserve">App-Heimprogramm</w:t>
            </w:r>
          </w:p>
        </w:tc>
        <w:tc>
          <w:tcPr>
            <w:tcW w:type="dxa" w:w="4841"/>
            <w:shd w:val="clear" w:color="auto" w:fill="EEF3F9"/>
          </w:tcPr>
          <w:p>
            <w:pPr>
              <w:pStyle w:val="Compact"/>
              <w:jc w:val="left"/>
            </w:pPr>
            <w:r>
              <w:rPr>
                <w:rFonts w:ascii="Arial" w:hAnsi="Arial"/>
                <w:sz w:val="18"/>
              </w:rPr>
              <w:t xml:space="preserve">gewichteter Index aus Teilnahme, Compliance und Fragebögen</w:t>
            </w:r>
          </w:p>
        </w:tc>
        <w:tc>
          <w:tcPr>
            <w:tcW w:type="dxa" w:w="2822"/>
            <w:shd w:val="clear" w:color="auto" w:fill="EEF3F9"/>
          </w:tcPr>
          <w:p>
            <w:pPr>
              <w:pStyle w:val="Compact"/>
              <w:jc w:val="left"/>
            </w:pPr>
            <w:r>
              <w:rPr>
                <w:rFonts w:ascii="Arial" w:hAnsi="Arial"/>
                <w:sz w:val="18"/>
              </w:rPr>
              <w:t xml:space="preserve">52 % und 49 %, Teilnahme in Woche 8 23 %</w:t>
            </w:r>
          </w:p>
        </w:tc>
      </w:tr>
      <w:tr>
        <w:trPr>
          <w:cantSplit w:val="true"/>
        </w:trPr>
        <w:tc>
          <w:tcPr>
            <w:tcW w:type="dxa" w:w="3290"/>
          </w:tcPr>
          <w:p>
            <w:pPr>
              <w:pStyle w:val="Compact"/>
              <w:jc w:val="left"/>
            </w:pPr>
            <w:r>
              <w:rPr>
                <w:rFonts w:ascii="Arial" w:hAnsi="Arial"/>
                <w:sz w:val="18"/>
              </w:rPr>
              <w:t xml:space="preserve">Magliato et al. (2025)</w:t>
            </w:r>
          </w:p>
        </w:tc>
        <w:tc>
          <w:tcPr>
            <w:tcW w:type="dxa" w:w="3844"/>
          </w:tcPr>
          <w:p>
            <w:pPr>
              <w:pStyle w:val="Compact"/>
              <w:jc w:val="left"/>
            </w:pPr>
            <w:r>
              <w:rPr>
                <w:rFonts w:ascii="Arial" w:hAnsi="Arial"/>
                <w:sz w:val="18"/>
              </w:rPr>
              <w:t xml:space="preserve">App mit Videos, Erwachsene, ohne Kontrolle</w:t>
            </w:r>
          </w:p>
        </w:tc>
        <w:tc>
          <w:tcPr>
            <w:tcW w:type="dxa" w:w="4841"/>
          </w:tcPr>
          <w:p>
            <w:pPr>
              <w:pStyle w:val="Compact"/>
              <w:jc w:val="left"/>
            </w:pPr>
            <w:r>
              <w:rPr>
                <w:rFonts w:ascii="Arial" w:hAnsi="Arial"/>
                <w:sz w:val="18"/>
              </w:rPr>
              <w:t xml:space="preserve">absolvierte von 24 Workouts, 15 Personen</w:t>
            </w:r>
          </w:p>
        </w:tc>
        <w:tc>
          <w:tcPr>
            <w:tcW w:type="dxa" w:w="2822"/>
          </w:tcPr>
          <w:p>
            <w:pPr>
              <w:pStyle w:val="Compact"/>
              <w:jc w:val="left"/>
            </w:pPr>
            <w:r>
              <w:rPr>
                <w:rFonts w:ascii="Arial" w:hAnsi="Arial"/>
                <w:sz w:val="18"/>
              </w:rPr>
              <w:t xml:space="preserve">57,2 % (16,7 bis 91,7)</w:t>
            </w:r>
          </w:p>
        </w:tc>
      </w:tr>
      <w:tr>
        <w:trPr>
          <w:cantSplit w:val="true"/>
        </w:trPr>
        <w:tc>
          <w:tcPr>
            <w:tcW w:type="dxa" w:w="3290"/>
            <w:shd w:val="clear" w:color="auto" w:fill="EEF3F9"/>
          </w:tcPr>
          <w:p>
            <w:pPr>
              <w:pStyle w:val="Compact"/>
              <w:jc w:val="left"/>
            </w:pPr>
            <w:r>
              <w:rPr>
                <w:rFonts w:ascii="Arial" w:hAnsi="Arial"/>
                <w:sz w:val="18"/>
              </w:rPr>
              <w:t xml:space="preserve">Rogers et al. (2020)</w:t>
            </w:r>
          </w:p>
        </w:tc>
        <w:tc>
          <w:tcPr>
            <w:tcW w:type="dxa" w:w="3844"/>
            <w:shd w:val="clear" w:color="auto" w:fill="EEF3F9"/>
          </w:tcPr>
          <w:p>
            <w:pPr>
              <w:pStyle w:val="Compact"/>
              <w:jc w:val="left"/>
            </w:pPr>
            <w:r>
              <w:rPr>
                <w:rFonts w:ascii="Arial" w:hAnsi="Arial"/>
                <w:sz w:val="18"/>
              </w:rPr>
              <w:t xml:space="preserve">Onlineplattform · hybrid</w:t>
            </w:r>
          </w:p>
        </w:tc>
        <w:tc>
          <w:tcPr>
            <w:tcW w:type="dxa" w:w="4841"/>
            <w:shd w:val="clear" w:color="auto" w:fill="EEF3F9"/>
          </w:tcPr>
          <w:p>
            <w:pPr>
              <w:pStyle w:val="Compact"/>
              <w:jc w:val="left"/>
            </w:pPr>
            <w:r>
              <w:rPr>
                <w:rFonts w:ascii="Arial" w:hAnsi="Arial"/>
                <w:sz w:val="18"/>
              </w:rPr>
              <w:t xml:space="preserve">protokollierte Onlineeinheiten · besuchte Präsenzeinheiten</w:t>
            </w:r>
          </w:p>
        </w:tc>
        <w:tc>
          <w:tcPr>
            <w:tcW w:type="dxa" w:w="2822"/>
            <w:shd w:val="clear" w:color="auto" w:fill="EEF3F9"/>
          </w:tcPr>
          <w:p>
            <w:pPr>
              <w:pStyle w:val="Compact"/>
              <w:jc w:val="left"/>
            </w:pPr>
            <w:r>
              <w:rPr>
                <w:rFonts w:ascii="Arial" w:hAnsi="Arial"/>
                <w:sz w:val="18"/>
              </w:rPr>
              <w:t xml:space="preserve">12 % · 60 % (Schritt 1)</w:t>
            </w:r>
          </w:p>
        </w:tc>
      </w:tr>
    </w:tbl>
    <w:p>
      <w:pPr>
        <w:pStyle w:val="BodyText"/>
      </w:pPr>
      <w:r>
        <w:rPr>
          <w:rFonts w:ascii="Arial" w:hAnsi="Arial"/>
        </w:rPr>
        <w:t xml:space="preserve">Die Werte messen Verschiedenes und taugen nur als Spanne mit Definition und Population (Schritt 1 § 3.4).</w:t>
      </w:r>
    </w:p>
    <w:bookmarkEnd w:id="34"/>
    <w:bookmarkStart w:id="35" w:name="einordnung"/>
    <w:p>
      <w:pPr>
        <w:pStyle w:val="Heading3"/>
      </w:pPr>
      <w:r>
        <w:rPr>
          <w:rFonts w:ascii="Arial" w:hAnsi="Arial"/>
        </w:rPr>
        <w:t xml:space="preserve">5.3 Einordnung</w:t>
      </w:r>
    </w:p>
    <w:p>
      <w:pPr>
        <w:pStyle w:val="FirstParagraph"/>
      </w:pPr>
      <w:r>
        <w:rPr>
          <w:rFonts w:ascii="Arial" w:hAnsi="Arial"/>
        </w:rPr>
        <w:t xml:space="preserve">Das Feld trennt zwei Fragen, die Klusemann et al. (2012) in einer Studie verbinden. Die erste ist, ob ein Videoprogramm gegenüber keinem Programm wirkt. Dazu gibt es bei Sportlern nur Klusemann et al. (2012), im Fußball in Teilen Wilson et al. (2021) mit fremder Zielgröße und Estupiñán Corredor und Agudelo Velásquez (2021) mit Liveanleitung und ohne Gruppenvergleich der Veränderung. Die zweite ist, ob Video so gut wirkt wie Präsenz. Dazu gibt es mehr, aber überwiegend bei Erwachsenen, Studierenden und mit Krafttraining. Für die eigene Arbeit zählt die erste Frage, weil die Kontrollgruppe das Heimprogramm nicht erhielt und dem Sommerprogramm ihres Vereins folgte. Dort bleibt die Lücke im Fußball offen.</w:t>
      </w:r>
    </w:p>
    <w:bookmarkEnd w:id="35"/>
    <w:bookmarkEnd w:id="36"/>
    <w:bookmarkStart w:id="42" w:name="pubmed-suchstrings"/>
    <w:p>
      <w:pPr>
        <w:pStyle w:val="Heading2"/>
      </w:pPr>
      <w:r>
        <w:rPr>
          <w:rFonts w:ascii="Arial" w:hAnsi="Arial"/>
        </w:rPr>
        <w:t xml:space="preserve">6 PubMed-Suchstrings</w:t>
      </w:r>
    </w:p>
    <w:bookmarkStart w:id="37" w:name="aufbau"/>
    <w:p>
      <w:pPr>
        <w:pStyle w:val="Heading3"/>
      </w:pPr>
      <w:r>
        <w:rPr>
          <w:rFonts w:ascii="Arial" w:hAnsi="Arial"/>
        </w:rPr>
        <w:t xml:space="preserve">6.1 Aufbau</w:t>
      </w:r>
    </w:p>
    <w:p>
      <w:pPr>
        <w:pStyle w:val="FirstParagraph"/>
      </w:pPr>
      <w:r>
        <w:rPr>
          <w:rFonts w:ascii="Arial" w:hAnsi="Arial"/>
        </w:rPr>
        <w:t xml:space="preserve">Vier Blöcke mit AND: Vermittlung, Sport, Training, Leistung. Freitext in Titel und Abstract ([tiab], Kürzung mit *), dazu MeSH. Gegenüber Schritt 1 ist der Vermittlungsblock der Kern und enthält kein Setting „zu Hause“ oder „unbeaufsichtigt“ mehr. Der Leistungsblock ist breiter (Kraft, Ausdauer, Gleichgewicht), weil Plyometrie nicht nötig ist.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482"/>
        <w:gridCol w:w="12315"/>
      </w:tblGrid>
      <w:tr>
        <w:trPr>
          <w:tblHeader w:val="true"/>
          <w:tblHeader w:val="true"/>
          <w:cantSplit w:val="true"/>
        </w:trPr>
        <w:tc>
          <w:tcPr>
            <w:tcW w:type="dxa" w:w="2482"/>
            <w:shd w:val="clear" w:color="auto" w:fill="D6E4F0"/>
          </w:tcPr>
          <w:p>
            <w:pPr>
              <w:pStyle w:val="Compact"/>
              <w:jc w:val="left"/>
            </w:pPr>
            <w:r>
              <w:rPr>
                <w:rFonts w:ascii="Arial" w:hAnsi="Arial"/>
                <w:b/>
                <w:sz w:val="18"/>
              </w:rPr>
              <w:t xml:space="preserve">Block</w:t>
            </w:r>
          </w:p>
        </w:tc>
        <w:tc>
          <w:tcPr>
            <w:tcW w:type="dxa" w:w="12315"/>
            <w:shd w:val="clear" w:color="auto" w:fill="D6E4F0"/>
          </w:tcPr>
          <w:p>
            <w:pPr>
              <w:pStyle w:val="Compact"/>
              <w:jc w:val="left"/>
            </w:pPr>
            <w:r>
              <w:rPr>
                <w:rFonts w:ascii="Arial" w:hAnsi="Arial"/>
                <w:b/>
                <w:sz w:val="18"/>
              </w:rPr>
              <w:t xml:space="preserve">Inhalt</w:t>
            </w:r>
          </w:p>
        </w:tc>
      </w:tr>
      <w:tr>
        <w:trPr>
          <w:cantSplit w:val="true"/>
        </w:trPr>
        <w:tc>
          <w:tcPr>
            <w:tcW w:type="dxa" w:w="2482"/>
          </w:tcPr>
          <w:p>
            <w:pPr>
              <w:pStyle w:val="Compact"/>
              <w:jc w:val="left"/>
            </w:pPr>
            <w:r>
              <w:rPr>
                <w:rFonts w:ascii="Arial" w:hAnsi="Arial"/>
                <w:sz w:val="18"/>
              </w:rPr>
              <w:t xml:space="preserve">V Vermittlung (66 Begriffe)</w:t>
            </w:r>
          </w:p>
        </w:tc>
        <w:tc>
          <w:tcPr>
            <w:tcW w:type="dxa" w:w="12315"/>
          </w:tcPr>
          <w:p>
            <w:pPr>
              <w:pStyle w:val="Compact"/>
              <w:jc w:val="left"/>
            </w:pPr>
            <w:r>
              <w:rPr>
                <w:rFonts w:ascii="Arial" w:hAnsi="Arial"/>
                <w:sz w:val="18"/>
              </w:rPr>
              <w:t xml:space="preserve">video-based, video-guided, video-delivered, video-assisted, video instruction*, instructional video*, video demonstration*, video tutorial*, exercise video*, training video*, workout video*, online video*, recorded video*, pre-recorded, YouTube, DVD, video conferenc*, video call*, Zoom, live stream*, online training, online exercise* … app-based, mobile app*, web-based, internet-based, mobile video*, mobile-based, smartphone-based, video training, telerehabilitation, telemonitor*, telehealth, remotely, WhatsApp</w:t>
            </w:r>
          </w:p>
        </w:tc>
      </w:tr>
      <w:tr>
        <w:trPr>
          <w:cantSplit w:val="true"/>
        </w:trPr>
        <w:tc>
          <w:tcPr>
            <w:tcW w:type="dxa" w:w="2482"/>
            <w:shd w:val="clear" w:color="auto" w:fill="EEF3F9"/>
          </w:tcPr>
          <w:p>
            <w:pPr>
              <w:pStyle w:val="Compact"/>
              <w:jc w:val="left"/>
            </w:pPr>
            <w:r>
              <w:rPr>
                <w:rFonts w:ascii="Arial" w:hAnsi="Arial"/>
                <w:sz w:val="18"/>
              </w:rPr>
              <w:t xml:space="preserve">S Sport</w:t>
            </w:r>
          </w:p>
        </w:tc>
        <w:tc>
          <w:tcPr>
            <w:tcW w:type="dxa" w:w="12315"/>
            <w:shd w:val="clear" w:color="auto" w:fill="EEF3F9"/>
          </w:tcPr>
          <w:p>
            <w:pPr>
              <w:pStyle w:val="Compact"/>
              <w:jc w:val="left"/>
            </w:pPr>
            <w:r>
              <w:rPr>
                <w:rFonts w:ascii="Arial" w:hAnsi="Arial"/>
                <w:sz w:val="18"/>
              </w:rPr>
              <w:t xml:space="preserve">athlete*, soccer, football*, futsal und elf weitere Sportarten, team sport*, youth sport*, sport* im Titel, MeSH Athletes, Soccer, Football, Youth Sports. Für String F nur soccer, football*, futsal, MeSH Soccer und Football</w:t>
            </w:r>
          </w:p>
        </w:tc>
      </w:tr>
      <w:tr>
        <w:trPr>
          <w:cantSplit w:val="true"/>
        </w:trPr>
        <w:tc>
          <w:tcPr>
            <w:tcW w:type="dxa" w:w="2482"/>
          </w:tcPr>
          <w:p>
            <w:pPr>
              <w:pStyle w:val="Compact"/>
              <w:jc w:val="left"/>
            </w:pPr>
            <w:r>
              <w:rPr>
                <w:rFonts w:ascii="Arial" w:hAnsi="Arial"/>
                <w:sz w:val="18"/>
              </w:rPr>
              <w:t xml:space="preserve">T Training</w:t>
            </w:r>
          </w:p>
        </w:tc>
        <w:tc>
          <w:tcPr>
            <w:tcW w:type="dxa" w:w="12315"/>
          </w:tcPr>
          <w:p>
            <w:pPr>
              <w:pStyle w:val="Compact"/>
              <w:jc w:val="left"/>
            </w:pPr>
            <w:r>
              <w:rPr>
                <w:rFonts w:ascii="Arial" w:hAnsi="Arial"/>
                <w:sz w:val="18"/>
              </w:rPr>
              <w:t xml:space="preserve">training, exercise*, program*, programme*, workout*, conditioning</w:t>
            </w:r>
          </w:p>
        </w:tc>
      </w:tr>
      <w:tr>
        <w:trPr>
          <w:cantSplit w:val="true"/>
        </w:trPr>
        <w:tc>
          <w:tcPr>
            <w:tcW w:type="dxa" w:w="2482"/>
            <w:shd w:val="clear" w:color="auto" w:fill="EEF3F9"/>
          </w:tcPr>
          <w:p>
            <w:pPr>
              <w:pStyle w:val="Compact"/>
              <w:jc w:val="left"/>
            </w:pPr>
            <w:r>
              <w:rPr>
                <w:rFonts w:ascii="Arial" w:hAnsi="Arial"/>
                <w:sz w:val="18"/>
              </w:rPr>
              <w:t xml:space="preserve">O Leistung</w:t>
            </w:r>
          </w:p>
        </w:tc>
        <w:tc>
          <w:tcPr>
            <w:tcW w:type="dxa" w:w="12315"/>
            <w:shd w:val="clear" w:color="auto" w:fill="EEF3F9"/>
          </w:tcPr>
          <w:p>
            <w:pPr>
              <w:pStyle w:val="Compact"/>
              <w:jc w:val="left"/>
            </w:pPr>
            <w:r>
              <w:rPr>
                <w:rFonts w:ascii="Arial" w:hAnsi="Arial"/>
                <w:sz w:val="18"/>
              </w:rPr>
              <w:t xml:space="preserve">sprint*, jump*, agility, change of direction, strength, power, physical performance, physical fitness, physical capacit*, fitness, endurance, aerobic capacity, Yo-Yo, balance, functional movement, MeSH Physical Fitness, Athletic Performance, Muscle Strength</w:t>
            </w:r>
          </w:p>
        </w:tc>
      </w:tr>
    </w:tbl>
    <w:bookmarkEnd w:id="37"/>
    <w:bookmarkStart w:id="38" w:name="string-f-fußball-76-treffer-01.10.2026"/>
    <w:p>
      <w:pPr>
        <w:pStyle w:val="Heading3"/>
      </w:pPr>
      <w:r>
        <w:rPr>
          <w:rFonts w:ascii="Arial" w:hAnsi="Arial"/>
        </w:rPr>
        <w:t xml:space="preserve">6.2 String F: Fußball (76 Treffer, 01.10.2026)</w:t>
      </w:r>
    </w:p>
    <w:p>
      <w:pPr>
        <w:pStyle w:val="SourceCode"/>
      </w:pPr>
      <w:r>
        <w:rPr>
          <w:rStyle w:val="VerbatimChar"/>
          <w:rFonts w:ascii="Arial" w:hAnsi="Arial"/>
          <w:sz w:val="16"/>
        </w:rPr>
        <w:t xml:space="preserve">("video-based"[tiab] OR "video-guided"[tiab] OR "video-delivered"[tiab] OR "video-assisted"[tiab] OR "video instruction*"[tiab] OR "instructional video*"[tiab] OR "video demonstration*"[tiab] OR "video tutorial*"[tiab] OR "exercise video*"[tiab] OR "training video*"[tiab] OR "workout video*"[tiab] OR "online video*"[tiab] OR "recorded video*"[tiab] OR "pre-recorded"[tiab] OR prerecorded[tiab] OR YouTube[tiab] OR DVD[tiab] OR "video conferenc*"[tiab] OR videoconferenc*[tiab] OR "video call*"[tiab] OR Zoom[tiab] OR "live stream*"[tiab] OR livestream*[tiab] OR "live online"[tiab] OR "online training"[tiab] OR "online exercise*"[tiab] OR "online program*"[tiab] OR "online class*"[tiab] OR "online session*"[tiab] OR "online coaching"[tiab] OR "online supervision"[tiab] OR "virtual training"[tiab] OR "virtual exercise*"[tiab] OR "virtual class*"[tiab] OR "virtual session*"[tiab] OR "virtually supervised"[tiab] OR "remotely supervised"[tiab] OR "remotely delivered"[tiab] OR "remote training"[tiab] OR "remote coaching"[tiab] OR "tele-exercise"[tiab] OR telecoaching[tiab] OR "tele-coaching"[tiab] OR "app-based"[tiab] OR "mobile app*"[tiab] OR "smartphone app*"[tiab] OR "web-based training"[tiab] OR "internet-based training"[tiab] OR "web-based"[tiab] OR "internet-based"[tiab] OR "online-based"[tiab] OR "mobile video*"[tiab] OR "mobile-based"[tiab] OR "smartphone-based"[tiab] OR "video training"[tiab] OR "video platform*"[tiab] OR "digital platform*"[tiab] OR digitally[tiab] OR telerehabilitation[tiab] OR "tele-rehabilitation"[tiab] OR telemonitor*[tiab] OR telehealth[tiab] OR "remote-based"[tiab] OR "remote based"[tiab] OR remotely[tiab] OR WhatsApp[tiab]) AND (soccer[tiab] OR football*[tiab] OR futsal[tiab] OR "Soccer"[Mesh] OR "Football"[Mesh]) AND (training[tiab] OR exercise*[tiab] OR program*[tiab] OR programme*[tiab] OR workout*[tiab] OR conditioning[tiab]) AND (sprint*[tiab] OR jump*[tiab] OR agility[tiab] OR "change of direction"[tiab] OR strength[tiab] OR power[tiab] OR "physical performance"[tiab] OR "physical fitness"[tiab] OR "physical capacit*"[tiab] OR fitness[tiab] OR endurance[tiab] OR "aerobic capacity"[tiab] OR "Yo-Yo"[tiab] OR balance[tiab] OR "functional movement"[tiab] OR "Physical Fitness"[Mesh] OR "Athletic Performance"[Mesh] OR "Muscle Strength"[Mesh])</w:t>
      </w:r>
    </w:p>
    <w:bookmarkEnd w:id="38"/>
    <w:bookmarkStart w:id="39" w:name="X30440acfae9e4e7278435eb018a1be92fe525eb"/>
    <w:p>
      <w:pPr>
        <w:pStyle w:val="Heading3"/>
      </w:pPr>
      <w:r>
        <w:rPr>
          <w:rFonts w:ascii="Arial" w:hAnsi="Arial"/>
        </w:rPr>
        <w:t xml:space="preserve">6.3 String A: alle Sportarten (303 Treffer, 01.10.2026)</w:t>
      </w:r>
    </w:p>
    <w:p>
      <w:pPr>
        <w:pStyle w:val="SourceCode"/>
      </w:pPr>
      <w:r>
        <w:rPr>
          <w:rStyle w:val="VerbatimChar"/>
          <w:rFonts w:ascii="Arial" w:hAnsi="Arial"/>
          <w:sz w:val="16"/>
        </w:rPr>
        <w:t xml:space="preserve">("video-based"[tiab] OR "video-guided"[tiab] OR "video-delivered"[tiab] OR "video-assisted"[tiab] OR "video instruction*"[tiab] OR "instructional video*"[tiab] OR "video demonstration*"[tiab] OR "video tutorial*"[tiab] OR "exercise video*"[tiab] OR "training video*"[tiab] OR "workout video*"[tiab] OR "online video*"[tiab] OR "recorded video*"[tiab] OR "pre-recorded"[tiab] OR prerecorded[tiab] OR YouTube[tiab] OR DVD[tiab] OR "video conferenc*"[tiab] OR videoconferenc*[tiab] OR "video call*"[tiab] OR Zoom[tiab] OR "live stream*"[tiab] OR livestream*[tiab] OR "live online"[tiab] OR "online training"[tiab] OR "online exercise*"[tiab] OR "online program*"[tiab] OR "online class*"[tiab] OR "online session*"[tiab] OR "online coaching"[tiab] OR "online supervision"[tiab] OR "virtual training"[tiab] OR "virtual exercise*"[tiab] OR "virtual class*"[tiab] OR "virtual session*"[tiab] OR "virtually supervised"[tiab] OR "remotely supervised"[tiab] OR "remotely delivered"[tiab] OR "remote training"[tiab] OR "remote coaching"[tiab] OR "tele-exercise"[tiab] OR telecoaching[tiab] OR "tele-coaching"[tiab] OR "app-based"[tiab] OR "mobile app*"[tiab] OR "smartphone app*"[tiab] OR "web-based training"[tiab] OR "internet-based training"[tiab] OR "web-based"[tiab] OR "internet-based"[tiab] OR "online-based"[tiab] OR "mobile video*"[tiab] OR "mobile-based"[tiab] OR "smartphone-based"[tiab] OR "video training"[tiab] OR "video platform*"[tiab] OR "digital platform*"[tiab] OR digitally[tiab] OR telerehabilitation[tiab] OR "tele-rehabilitation"[tiab] OR telemonitor*[tiab] OR telehealth[tiab] OR "remote-based"[tiab] OR "remote based"[tiab] OR remotely[tiab] OR WhatsApp[tiab]) AND (athlete*[tiab] OR soccer[tiab] OR football*[tiab] OR futsal[tiab] OR basketball[tiab] OR handball[tiab] OR rugby[tiab] OR volleyball[tiab] OR hockey[tiab] OR tennis[tiab] OR baseball[tiab] OR softball[tiab] OR netball[tiab] OR cricket[tiab] OR swimmer*[tiab] OR "team sport*"[tiab] OR "youth sport*"[tiab] OR sport*[ti] OR "Athletes"[Mesh] OR "Soccer"[Mesh] OR "Football"[Mesh] OR "Youth Sports"[Mesh]) AND (training[tiab] OR exercise*[tiab] OR program*[tiab] OR programme*[tiab] OR workout*[tiab] OR conditioning[tiab]) AND (sprint*[tiab] OR jump*[tiab] OR agility[tiab] OR "change of direction"[tiab] OR strength[tiab] OR power[tiab] OR "physical performance"[tiab] OR "physical fitness"[tiab] OR "physical capacit*"[tiab] OR fitness[tiab] OR endurance[tiab] OR "aerobic capacity"[tiab] OR "Yo-Yo"[tiab] OR balance[tiab] OR "functional movement"[tiab] OR "Physical Fitness"[Mesh] OR "Athletic Performance"[Mesh] OR "Muscle Strength"[Mesh])</w:t>
      </w:r>
    </w:p>
    <w:bookmarkEnd w:id="39"/>
    <w:bookmarkStart w:id="40" w:name="zusätze"/>
    <w:p>
      <w:pPr>
        <w:pStyle w:val="Heading3"/>
      </w:pPr>
      <w:r>
        <w:rPr>
          <w:rFonts w:ascii="Arial" w:hAnsi="Arial"/>
        </w:rPr>
        <w:t xml:space="preserve">6.4 Zusätze</w:t>
      </w:r>
    </w:p>
    <w:p>
      <w:pPr>
        <w:pStyle w:val="FirstParagraph"/>
      </w:pPr>
      <w:r>
        <w:rPr>
          <w:bCs/>
          <w:rFonts w:ascii="Arial" w:hAnsi="Arial"/>
          <w:b/>
        </w:rPr>
        <w:t xml:space="preserve">Designfilter</w:t>
      </w:r>
      <w:r>
        <w:rPr>
          <w:rFonts w:ascii="Arial" w:hAnsi="Arial"/>
        </w:rPr>
        <w:t xml:space="preserve">, an String F oder A mit AND anhängen (46 und 177 Treffer):</w:t>
      </w:r>
    </w:p>
    <w:p>
      <w:pPr>
        <w:pStyle w:val="SourceCode"/>
      </w:pPr>
      <w:r>
        <w:rPr>
          <w:rStyle w:val="VerbatimChar"/>
          <w:rFonts w:ascii="Arial" w:hAnsi="Arial"/>
          <w:sz w:val="16"/>
        </w:rPr>
        <w:t xml:space="preserve">(random*[tiab] OR control*[tiab] OR trial[tiab] OR compar*[tiab] OR "Randomized Controlled Trial"[pt] OR "Controlled Clinical Trial"[pt])</w:t>
      </w:r>
    </w:p>
    <w:p>
      <w:pPr>
        <w:pStyle w:val="FirstParagraph"/>
      </w:pPr>
      <w:r>
        <w:rPr>
          <w:bCs/>
          <w:rFonts w:ascii="Arial" w:hAnsi="Arial"/>
          <w:b/>
        </w:rPr>
        <w:t xml:space="preserve">Studierende und Freizeitsportler:</w:t>
      </w:r>
      <w:r>
        <w:rPr>
          <w:rFonts w:ascii="Arial" w:hAnsi="Arial"/>
        </w:rPr>
        <w:t xml:space="preserve"> </w:t>
      </w:r>
      <w:r>
        <w:rPr>
          <w:rFonts w:ascii="Arial" w:hAnsi="Arial"/>
        </w:rPr>
        <w:t xml:space="preserve">im Sportblock von String A mit OR ergänzen (760 Treffer, mit Designfilter 461, viel Rauschen aus Klinik und Lehre):</w:t>
      </w:r>
    </w:p>
    <w:p>
      <w:pPr>
        <w:pStyle w:val="SourceCode"/>
      </w:pPr>
      <w:r>
        <w:rPr>
          <w:rStyle w:val="VerbatimChar"/>
          <w:rFonts w:ascii="Arial" w:hAnsi="Arial"/>
          <w:sz w:val="16"/>
        </w:rPr>
        <w:t xml:space="preserve">(student*[tiab] OR "young adult*"[tiab] OR "young men"[tiab] OR "young males"[tiab] OR "physically active"[tiab] OR recreational*[tiab] OR "resistance-trained"[tiab] OR "physical education"[tiab])</w:t>
      </w:r>
    </w:p>
    <w:bookmarkEnd w:id="40"/>
    <w:bookmarkStart w:id="41" w:name="prüfung"/>
    <w:p>
      <w:pPr>
        <w:pStyle w:val="Heading3"/>
      </w:pPr>
      <w:r>
        <w:rPr>
          <w:rFonts w:ascii="Arial" w:hAnsi="Arial"/>
        </w:rPr>
        <w:t xml:space="preserve">6.5 Prüfung</w:t>
      </w:r>
    </w:p>
    <w:p>
      <w:pPr>
        <w:pStyle w:val="FirstParagraph"/>
      </w:pPr>
      <w:r>
        <w:rPr>
          <w:bCs/>
          <w:rFonts w:ascii="Arial" w:hAnsi="Arial"/>
          <w:b/>
        </w:rPr>
        <w:t xml:space="preserve">Geprüft am 01.10.2026</w:t>
      </w:r>
      <w:r>
        <w:rPr>
          <w:rFonts w:ascii="Arial" w:hAnsi="Arial"/>
        </w:rPr>
        <w:t xml:space="preserve"> </w:t>
      </w:r>
      <w:r>
        <w:rPr>
          <w:rFonts w:ascii="Arial" w:hAnsi="Arial"/>
        </w:rPr>
        <w:t xml:space="preserve">über die E-Utilities: keine Fehler- oder Phrasenwarnung, String F 2.306 und String A 2.622 Zeichen. Die Zahlen wachsen mit neuen Einträgen.</w:t>
      </w:r>
    </w:p>
    <w:p>
      <w:pPr>
        <w:pStyle w:val="BodyText"/>
      </w:pPr>
      <w:r>
        <w:rPr>
          <w:bCs/>
          <w:rFonts w:ascii="Arial" w:hAnsi="Arial"/>
          <w:b/>
        </w:rPr>
        <w:t xml:space="preserve">Prüfset</w:t>
      </w:r>
      <w:r>
        <w:rPr>
          <w:rFonts w:ascii="Arial" w:hAnsi="Arial"/>
        </w:rPr>
        <w:t xml:space="preserve"> </w:t>
      </w:r>
      <w:r>
        <w:rPr>
          <w:rFonts w:ascii="Arial" w:hAnsi="Arial"/>
        </w:rPr>
        <w:t xml:space="preserve">aus 25 bekannten Studien (14 aus dem Fußball, Liste in Anhang A). Es stammt aus dieser Recherche und ist deshalb nicht unabhängig. Es zeigt, welche bekannten Studien ein String verliert und warum:</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4217"/>
        <w:gridCol w:w="1843"/>
        <w:gridCol w:w="2784"/>
        <w:gridCol w:w="5952"/>
      </w:tblGrid>
      <w:tr>
        <w:trPr>
          <w:tblHeader w:val="true"/>
          <w:tblHeader w:val="true"/>
          <w:cantSplit w:val="true"/>
        </w:trPr>
        <w:tc>
          <w:tcPr>
            <w:tcW w:type="dxa" w:w="4217"/>
            <w:shd w:val="clear" w:color="auto" w:fill="D6E4F0"/>
          </w:tcPr>
          <w:p>
            <w:pPr>
              <w:pStyle w:val="Compact"/>
              <w:jc w:val="left"/>
            </w:pPr>
            <w:r>
              <w:rPr>
                <w:rFonts w:ascii="Arial" w:hAnsi="Arial"/>
                <w:b/>
                <w:sz w:val="18"/>
              </w:rPr>
              <w:t xml:space="preserve">Variante</w:t>
            </w:r>
          </w:p>
        </w:tc>
        <w:tc>
          <w:tcPr>
            <w:tcW w:type="dxa" w:w="1843"/>
            <w:shd w:val="clear" w:color="auto" w:fill="D6E4F0"/>
          </w:tcPr>
          <w:p>
            <w:pPr>
              <w:pStyle w:val="Compact"/>
              <w:jc w:val="right"/>
            </w:pPr>
            <w:r>
              <w:rPr>
                <w:rFonts w:ascii="Arial" w:hAnsi="Arial"/>
                <w:b/>
                <w:sz w:val="18"/>
              </w:rPr>
              <w:t xml:space="preserve">Treffer</w:t>
            </w:r>
          </w:p>
        </w:tc>
        <w:tc>
          <w:tcPr>
            <w:tcW w:type="dxa" w:w="2784"/>
            <w:shd w:val="clear" w:color="auto" w:fill="D6E4F0"/>
          </w:tcPr>
          <w:p>
            <w:pPr>
              <w:pStyle w:val="Compact"/>
              <w:jc w:val="left"/>
            </w:pPr>
            <w:r>
              <w:rPr>
                <w:rFonts w:ascii="Arial" w:hAnsi="Arial"/>
                <w:b/>
                <w:sz w:val="18"/>
              </w:rPr>
              <w:t xml:space="preserve">Prüfset erfasst</w:t>
            </w:r>
          </w:p>
        </w:tc>
        <w:tc>
          <w:tcPr>
            <w:tcW w:type="dxa" w:w="5952"/>
            <w:shd w:val="clear" w:color="auto" w:fill="D6E4F0"/>
          </w:tcPr>
          <w:p>
            <w:pPr>
              <w:pStyle w:val="Compact"/>
              <w:jc w:val="left"/>
            </w:pPr>
            <w:r>
              <w:rPr>
                <w:rFonts w:ascii="Arial" w:hAnsi="Arial"/>
                <w:b/>
                <w:sz w:val="18"/>
              </w:rPr>
              <w:t xml:space="preserve">fehlt</w:t>
            </w:r>
          </w:p>
        </w:tc>
      </w:tr>
      <w:tr>
        <w:trPr>
          <w:cantSplit w:val="true"/>
        </w:trPr>
        <w:tc>
          <w:tcPr>
            <w:tcW w:type="dxa" w:w="4217"/>
          </w:tcPr>
          <w:p>
            <w:pPr>
              <w:pStyle w:val="Compact"/>
              <w:jc w:val="left"/>
            </w:pPr>
            <w:r>
              <w:rPr>
                <w:rFonts w:ascii="Arial" w:hAnsi="Arial"/>
                <w:sz w:val="18"/>
              </w:rPr>
              <w:t xml:space="preserve">String F</w:t>
            </w:r>
          </w:p>
        </w:tc>
        <w:tc>
          <w:tcPr>
            <w:tcW w:type="dxa" w:w="1843"/>
          </w:tcPr>
          <w:p>
            <w:pPr>
              <w:pStyle w:val="Compact"/>
              <w:jc w:val="right"/>
            </w:pPr>
            <w:r>
              <w:rPr>
                <w:rFonts w:ascii="Arial" w:hAnsi="Arial"/>
                <w:sz w:val="18"/>
              </w:rPr>
              <w:t xml:space="preserve">76</w:t>
            </w:r>
          </w:p>
        </w:tc>
        <w:tc>
          <w:tcPr>
            <w:tcW w:type="dxa" w:w="2784"/>
          </w:tcPr>
          <w:p>
            <w:pPr>
              <w:pStyle w:val="Compact"/>
              <w:jc w:val="left"/>
            </w:pPr>
            <w:r>
              <w:rPr>
                <w:rFonts w:ascii="Arial" w:hAnsi="Arial"/>
                <w:sz w:val="18"/>
              </w:rPr>
              <w:t xml:space="preserve">10 von 14 Fußballstudien</w:t>
            </w:r>
          </w:p>
        </w:tc>
        <w:tc>
          <w:tcPr>
            <w:tcW w:type="dxa" w:w="5952"/>
          </w:tcPr>
          <w:p>
            <w:pPr>
              <w:pStyle w:val="Compact"/>
              <w:jc w:val="left"/>
            </w:pPr>
            <w:r>
              <w:rPr>
                <w:rFonts w:ascii="Arial" w:hAnsi="Arial"/>
                <w:sz w:val="18"/>
              </w:rPr>
              <w:t xml:space="preserve">Peña-González 2022 (kein Vermittlungsbegriff im Abstract), Ludwig 2022 (Haltung), Steffen 2013 (nur „website“), Lindblom 2020 (App nur im Volltext)</w:t>
            </w:r>
          </w:p>
        </w:tc>
      </w:tr>
      <w:tr>
        <w:trPr>
          <w:cantSplit w:val="true"/>
        </w:trPr>
        <w:tc>
          <w:tcPr>
            <w:tcW w:type="dxa" w:w="4217"/>
            <w:shd w:val="clear" w:color="auto" w:fill="EEF3F9"/>
          </w:tcPr>
          <w:p>
            <w:pPr>
              <w:pStyle w:val="Compact"/>
              <w:jc w:val="left"/>
            </w:pPr>
            <w:r>
              <w:rPr>
                <w:rFonts w:ascii="Arial" w:hAnsi="Arial"/>
                <w:sz w:val="18"/>
              </w:rPr>
              <w:t xml:space="preserve">String F mit Designfilter</w:t>
            </w:r>
          </w:p>
        </w:tc>
        <w:tc>
          <w:tcPr>
            <w:tcW w:type="dxa" w:w="1843"/>
            <w:shd w:val="clear" w:color="auto" w:fill="EEF3F9"/>
          </w:tcPr>
          <w:p>
            <w:pPr>
              <w:pStyle w:val="Compact"/>
              <w:jc w:val="right"/>
            </w:pPr>
            <w:r>
              <w:rPr>
                <w:rFonts w:ascii="Arial" w:hAnsi="Arial"/>
                <w:sz w:val="18"/>
              </w:rPr>
              <w:t xml:space="preserve">46</w:t>
            </w:r>
          </w:p>
        </w:tc>
        <w:tc>
          <w:tcPr>
            <w:tcW w:type="dxa" w:w="2784"/>
            <w:shd w:val="clear" w:color="auto" w:fill="EEF3F9"/>
          </w:tcPr>
          <w:p>
            <w:pPr>
              <w:pStyle w:val="Compact"/>
              <w:jc w:val="left"/>
            </w:pPr>
            <w:r>
              <w:rPr>
                <w:rFonts w:ascii="Arial" w:hAnsi="Arial"/>
                <w:sz w:val="18"/>
              </w:rPr>
              <w:t xml:space="preserve">8 von 14</w:t>
            </w:r>
          </w:p>
        </w:tc>
        <w:tc>
          <w:tcPr>
            <w:tcW w:type="dxa" w:w="5952"/>
            <w:shd w:val="clear" w:color="auto" w:fill="EEF3F9"/>
          </w:tcPr>
          <w:p>
            <w:pPr>
              <w:pStyle w:val="Compact"/>
              <w:jc w:val="left"/>
            </w:pPr>
            <w:r>
              <w:rPr>
                <w:rFonts w:ascii="Arial" w:hAnsi="Arial"/>
                <w:sz w:val="18"/>
              </w:rPr>
              <w:t xml:space="preserve">zusätzlich Dauty 2021, Qu 2022</w:t>
            </w:r>
          </w:p>
        </w:tc>
      </w:tr>
      <w:tr>
        <w:trPr>
          <w:cantSplit w:val="true"/>
        </w:trPr>
        <w:tc>
          <w:tcPr>
            <w:tcW w:type="dxa" w:w="4217"/>
          </w:tcPr>
          <w:p>
            <w:pPr>
              <w:pStyle w:val="Compact"/>
              <w:jc w:val="left"/>
            </w:pPr>
            <w:r>
              <w:rPr>
                <w:rFonts w:ascii="Arial" w:hAnsi="Arial"/>
                <w:sz w:val="18"/>
              </w:rPr>
              <w:t xml:space="preserve">String A</w:t>
            </w:r>
          </w:p>
        </w:tc>
        <w:tc>
          <w:tcPr>
            <w:tcW w:type="dxa" w:w="1843"/>
          </w:tcPr>
          <w:p>
            <w:pPr>
              <w:pStyle w:val="Compact"/>
              <w:jc w:val="right"/>
            </w:pPr>
            <w:r>
              <w:rPr>
                <w:rFonts w:ascii="Arial" w:hAnsi="Arial"/>
                <w:sz w:val="18"/>
              </w:rPr>
              <w:t xml:space="preserve">303</w:t>
            </w:r>
          </w:p>
        </w:tc>
        <w:tc>
          <w:tcPr>
            <w:tcW w:type="dxa" w:w="2784"/>
          </w:tcPr>
          <w:p>
            <w:pPr>
              <w:pStyle w:val="Compact"/>
              <w:jc w:val="left"/>
            </w:pPr>
            <w:r>
              <w:rPr>
                <w:rFonts w:ascii="Arial" w:hAnsi="Arial"/>
                <w:sz w:val="18"/>
              </w:rPr>
              <w:t xml:space="preserve">15 von 25</w:t>
            </w:r>
          </w:p>
        </w:tc>
        <w:tc>
          <w:tcPr>
            <w:tcW w:type="dxa" w:w="5952"/>
          </w:tcPr>
          <w:p>
            <w:pPr>
              <w:pStyle w:val="Compact"/>
              <w:jc w:val="left"/>
            </w:pPr>
            <w:r>
              <w:rPr>
                <w:rFonts w:ascii="Arial" w:hAnsi="Arial"/>
                <w:sz w:val="18"/>
              </w:rPr>
              <w:t xml:space="preserve">García-Suárez, Daveri, Gavanda, McNamara (keine Sportler), Peña-González, Ludwig, Behan, Edouard (keine Leistungsgröße oder kein Sportler), Steffen, Lindblom</w:t>
            </w:r>
          </w:p>
        </w:tc>
      </w:tr>
      <w:tr>
        <w:trPr>
          <w:cantSplit w:val="true"/>
        </w:trPr>
        <w:tc>
          <w:tcPr>
            <w:tcW w:type="dxa" w:w="4217"/>
            <w:shd w:val="clear" w:color="auto" w:fill="EEF3F9"/>
          </w:tcPr>
          <w:p>
            <w:pPr>
              <w:pStyle w:val="Compact"/>
              <w:jc w:val="left"/>
            </w:pPr>
            <w:r>
              <w:rPr>
                <w:rFonts w:ascii="Arial" w:hAnsi="Arial"/>
                <w:sz w:val="18"/>
              </w:rPr>
              <w:t xml:space="preserve">String A mit Designfilter</w:t>
            </w:r>
          </w:p>
        </w:tc>
        <w:tc>
          <w:tcPr>
            <w:tcW w:type="dxa" w:w="1843"/>
            <w:shd w:val="clear" w:color="auto" w:fill="EEF3F9"/>
          </w:tcPr>
          <w:p>
            <w:pPr>
              <w:pStyle w:val="Compact"/>
              <w:jc w:val="right"/>
            </w:pPr>
            <w:r>
              <w:rPr>
                <w:rFonts w:ascii="Arial" w:hAnsi="Arial"/>
                <w:sz w:val="18"/>
              </w:rPr>
              <w:t xml:space="preserve">177</w:t>
            </w:r>
          </w:p>
        </w:tc>
        <w:tc>
          <w:tcPr>
            <w:tcW w:type="dxa" w:w="2784"/>
            <w:shd w:val="clear" w:color="auto" w:fill="EEF3F9"/>
          </w:tcPr>
          <w:p>
            <w:pPr>
              <w:pStyle w:val="Compact"/>
              <w:jc w:val="left"/>
            </w:pPr>
            <w:r>
              <w:rPr>
                <w:rFonts w:ascii="Arial" w:hAnsi="Arial"/>
                <w:sz w:val="18"/>
              </w:rPr>
              <w:t xml:space="preserve">11 von 25</w:t>
            </w:r>
          </w:p>
        </w:tc>
        <w:tc>
          <w:tcPr>
            <w:tcW w:type="dxa" w:w="5952"/>
            <w:shd w:val="clear" w:color="auto" w:fill="EEF3F9"/>
          </w:tcPr>
          <w:p>
            <w:pPr>
              <w:pStyle w:val="Compact"/>
              <w:jc w:val="left"/>
            </w:pPr>
            <w:r>
              <w:rPr>
                <w:rFonts w:ascii="Arial" w:hAnsi="Arial"/>
                <w:sz w:val="18"/>
              </w:rPr>
              <w:t xml:space="preserve">zusätzlich Dauty, Qu, Iuliano, Fucarino</w:t>
            </w:r>
          </w:p>
        </w:tc>
      </w:tr>
      <w:tr>
        <w:trPr>
          <w:cantSplit w:val="true"/>
        </w:trPr>
        <w:tc>
          <w:tcPr>
            <w:tcW w:type="dxa" w:w="4217"/>
          </w:tcPr>
          <w:p>
            <w:pPr>
              <w:pStyle w:val="Compact"/>
              <w:jc w:val="left"/>
            </w:pPr>
            <w:r>
              <w:rPr>
                <w:rFonts w:ascii="Arial" w:hAnsi="Arial"/>
                <w:sz w:val="18"/>
              </w:rPr>
              <w:t xml:space="preserve">String A mit Studierenden und Freizeitsportlern</w:t>
            </w:r>
          </w:p>
        </w:tc>
        <w:tc>
          <w:tcPr>
            <w:tcW w:type="dxa" w:w="1843"/>
          </w:tcPr>
          <w:p>
            <w:pPr>
              <w:pStyle w:val="Compact"/>
              <w:jc w:val="right"/>
            </w:pPr>
            <w:r>
              <w:rPr>
                <w:rFonts w:ascii="Arial" w:hAnsi="Arial"/>
                <w:sz w:val="18"/>
              </w:rPr>
              <w:t xml:space="preserve">760</w:t>
            </w:r>
          </w:p>
        </w:tc>
        <w:tc>
          <w:tcPr>
            <w:tcW w:type="dxa" w:w="2784"/>
          </w:tcPr>
          <w:p>
            <w:pPr>
              <w:pStyle w:val="Compact"/>
              <w:jc w:val="left"/>
            </w:pPr>
            <w:r>
              <w:rPr>
                <w:rFonts w:ascii="Arial" w:hAnsi="Arial"/>
                <w:sz w:val="18"/>
              </w:rPr>
              <w:t xml:space="preserve">17 von 25</w:t>
            </w:r>
          </w:p>
        </w:tc>
        <w:tc>
          <w:tcPr>
            <w:tcW w:type="dxa" w:w="5952"/>
          </w:tcPr>
          <w:p>
            <w:pPr>
              <w:pStyle w:val="Compact"/>
              <w:jc w:val="left"/>
            </w:pPr>
            <w:r>
              <w:rPr>
                <w:rFonts w:ascii="Arial" w:hAnsi="Arial"/>
                <w:sz w:val="18"/>
              </w:rPr>
              <w:t xml:space="preserve">Daveri und Gavanda bleiben außen</w:t>
            </w:r>
          </w:p>
        </w:tc>
      </w:tr>
      <w:tr>
        <w:trPr>
          <w:cantSplit w:val="true"/>
        </w:trPr>
        <w:tc>
          <w:tcPr>
            <w:tcW w:type="dxa" w:w="4217"/>
            <w:shd w:val="clear" w:color="auto" w:fill="EEF3F9"/>
          </w:tcPr>
          <w:p>
            <w:pPr>
              <w:pStyle w:val="Compact"/>
              <w:jc w:val="left"/>
            </w:pPr>
            <w:r>
              <w:rPr>
                <w:rFonts w:ascii="Arial" w:hAnsi="Arial"/>
                <w:sz w:val="18"/>
              </w:rPr>
              <w:t xml:space="preserve">erste Fassung des Vermittlungsblocks (48 Begriffe), Fußball</w:t>
            </w:r>
          </w:p>
        </w:tc>
        <w:tc>
          <w:tcPr>
            <w:tcW w:type="dxa" w:w="1843"/>
            <w:shd w:val="clear" w:color="auto" w:fill="EEF3F9"/>
          </w:tcPr>
          <w:p>
            <w:pPr>
              <w:pStyle w:val="Compact"/>
              <w:jc w:val="right"/>
            </w:pPr>
            <w:r>
              <w:rPr>
                <w:rFonts w:ascii="Arial" w:hAnsi="Arial"/>
                <w:sz w:val="18"/>
              </w:rPr>
              <w:t xml:space="preserve">53</w:t>
            </w:r>
          </w:p>
        </w:tc>
        <w:tc>
          <w:tcPr>
            <w:tcW w:type="dxa" w:w="2784"/>
            <w:shd w:val="clear" w:color="auto" w:fill="EEF3F9"/>
          </w:tcPr>
          <w:p>
            <w:pPr>
              <w:pStyle w:val="Compact"/>
              <w:jc w:val="left"/>
            </w:pPr>
            <w:r>
              <w:rPr>
                <w:rFonts w:ascii="Arial" w:hAnsi="Arial"/>
                <w:sz w:val="18"/>
              </w:rPr>
              <w:t xml:space="preserve">3 von 14</w:t>
            </w:r>
          </w:p>
        </w:tc>
        <w:tc>
          <w:tcPr>
            <w:tcW w:type="dxa" w:w="5952"/>
            <w:shd w:val="clear" w:color="auto" w:fill="EEF3F9"/>
          </w:tcPr>
          <w:p>
            <w:pPr>
              <w:pStyle w:val="Compact"/>
              <w:jc w:val="left"/>
            </w:pPr>
            <w:r>
              <w:rPr>
                <w:rFonts w:ascii="Arial" w:hAnsi="Arial"/>
                <w:sz w:val="18"/>
              </w:rPr>
              <w:t xml:space="preserve">Grund für die 18 Ergänzungen</w:t>
            </w:r>
          </w:p>
        </w:tc>
      </w:tr>
      <w:tr>
        <w:trPr>
          <w:cantSplit w:val="true"/>
        </w:trPr>
        <w:tc>
          <w:tcPr>
            <w:tcW w:type="dxa" w:w="4217"/>
          </w:tcPr>
          <w:p>
            <w:pPr>
              <w:pStyle w:val="Compact"/>
              <w:jc w:val="left"/>
            </w:pPr>
            <w:r>
              <w:rPr>
                <w:rFonts w:ascii="Arial" w:hAnsi="Arial"/>
                <w:sz w:val="18"/>
              </w:rPr>
              <w:t xml:space="preserve">erste Fassung, alle Sportarten</w:t>
            </w:r>
          </w:p>
        </w:tc>
        <w:tc>
          <w:tcPr>
            <w:tcW w:type="dxa" w:w="1843"/>
          </w:tcPr>
          <w:p>
            <w:pPr>
              <w:pStyle w:val="Compact"/>
              <w:jc w:val="right"/>
            </w:pPr>
            <w:r>
              <w:rPr>
                <w:rFonts w:ascii="Arial" w:hAnsi="Arial"/>
                <w:sz w:val="18"/>
              </w:rPr>
              <w:t xml:space="preserve">193</w:t>
            </w:r>
          </w:p>
        </w:tc>
        <w:tc>
          <w:tcPr>
            <w:tcW w:type="dxa" w:w="2784"/>
          </w:tcPr>
          <w:p>
            <w:pPr>
              <w:pStyle w:val="Compact"/>
              <w:jc w:val="left"/>
            </w:pPr>
            <w:r>
              <w:rPr>
                <w:rFonts w:ascii="Arial" w:hAnsi="Arial"/>
                <w:sz w:val="18"/>
              </w:rPr>
              <w:t xml:space="preserve">7 von 25</w:t>
            </w:r>
          </w:p>
        </w:tc>
        <w:tc>
          <w:tcPr>
            <w:tcW w:type="dxa" w:w="5952"/>
          </w:tcPr>
          <w:p>
            <w:pPr>
              <w:pStyle w:val="Compact"/>
            </w:pPr>
          </w:p>
        </w:tc>
      </w:tr>
    </w:tbl>
    <w:p>
      <w:pPr>
        <w:pStyle w:val="BodyText"/>
      </w:pPr>
      <w:r>
        <w:rPr>
          <w:bCs/>
          <w:rFonts w:ascii="Arial" w:hAnsi="Arial"/>
          <w:b/>
        </w:rPr>
        <w:t xml:space="preserve">Sichtung:</w:t>
      </w:r>
      <w:r>
        <w:rPr>
          <w:rFonts w:ascii="Arial" w:hAnsi="Arial"/>
        </w:rPr>
        <w:t xml:space="preserve"> </w:t>
      </w:r>
      <w:r>
        <w:rPr>
          <w:rFonts w:ascii="Arial" w:hAnsi="Arial"/>
        </w:rPr>
        <w:t xml:space="preserve">String F vollständig nach Titel, bei Kandidaten am Abstract, Urteil je Treffer in der CSV im Skriptordner. Von 76 Treffern sind 5 kontrollierte Studien (§ 2.1 und Grenzfälle), 4 unkontrollierte mit Videobegleitung, der Rest Messmethodik, Epidemiologie, Videoanalyse von Spielen oder Wahrnehmungstraining. String A: erste Fassung (193) und Titelsuche (307) nach Titel gesichtet, die 107 Neuzugänge der zweiten Fassung ebenso, von den 457 zusätzlichen Treffern der Variante mit Studierenden 108 nach Stichwortfilter.</w:t>
      </w:r>
    </w:p>
    <w:p>
      <w:pPr>
        <w:pStyle w:val="BodyText"/>
      </w:pPr>
      <w:r>
        <w:rPr>
          <w:bCs/>
          <w:rFonts w:ascii="Arial" w:hAnsi="Arial"/>
          <w:b/>
        </w:rPr>
        <w:t xml:space="preserve">Nutzung:</w:t>
      </w:r>
    </w:p>
    <w:p>
      <w:pPr>
        <w:numPr>
          <w:ilvl w:val="0"/>
          <w:numId w:val="1004"/>
        </w:numPr>
        <w:pStyle w:val="Compact"/>
      </w:pPr>
      <w:r>
        <w:rPr>
          <w:rFonts w:ascii="Arial" w:hAnsi="Arial"/>
        </w:rPr>
        <w:t xml:space="preserve">In PubMed unter „Advanced“ einfügen, unter „Details“ prüfen, dass keine Phrase als „not found“ gemeldet wird.</w:t>
      </w:r>
    </w:p>
    <w:p>
      <w:pPr>
        <w:numPr>
          <w:ilvl w:val="0"/>
          <w:numId w:val="1004"/>
        </w:numPr>
        <w:pStyle w:val="Compact"/>
      </w:pPr>
      <w:r>
        <w:rPr>
          <w:rFonts w:ascii="Arial" w:hAnsi="Arial"/>
        </w:rPr>
        <w:t xml:space="preserve">Für kontrollierte Studien den Designfilter anhängen. Er verliert unkontrollierte Studien und Studien, die ihr Design im Abstract nicht benennen.</w:t>
      </w:r>
    </w:p>
    <w:p>
      <w:pPr>
        <w:numPr>
          <w:ilvl w:val="0"/>
          <w:numId w:val="1004"/>
        </w:numPr>
        <w:pStyle w:val="Compact"/>
      </w:pPr>
      <w:r>
        <w:rPr>
          <w:rFonts w:ascii="Arial" w:hAnsi="Arial"/>
        </w:rPr>
        <w:t xml:space="preserve">Mit den Strings aus Schritt 1 verbinden, wenn das Setting „zu Hause“ oder „unbeaufsichtigt“ mitgesucht werden soll:</w:t>
      </w:r>
      <w:r>
        <w:rPr>
          <w:rFonts w:ascii="Arial" w:hAnsi="Arial"/>
        </w:rPr>
        <w:t xml:space="preserve"> </w:t>
      </w:r>
      <w:r>
        <w:rPr>
          <w:rStyle w:val="VerbatimChar"/>
          <w:rFonts w:ascii="Arial" w:hAnsi="Arial"/>
          <w:sz w:val="16"/>
        </w:rPr>
        <w:t xml:space="preserve">(String F) OR (String 1 aus Schritt 1)</w:t>
      </w:r>
      <w:r>
        <w:rPr>
          <w:rFonts w:ascii="Arial" w:hAnsi="Arial"/>
        </w:rPr>
        <w:t xml:space="preserve">.</w:t>
      </w:r>
    </w:p>
    <w:p>
      <w:pPr>
        <w:numPr>
          <w:ilvl w:val="0"/>
          <w:numId w:val="1004"/>
        </w:numPr>
        <w:pStyle w:val="Compact"/>
      </w:pPr>
      <w:r>
        <w:rPr>
          <w:rFonts w:ascii="Arial" w:hAnsi="Arial"/>
        </w:rPr>
        <w:t xml:space="preserve">Die Genauigkeit ist gering. „web-based“, „remotely“ und „Zoom“ ziehen Messmethodik und Befragungen. Das ist der Preis dafür, dass Wilson et al. (2021), Yan et al. (2024), Lippi et al. (2026) und Dauty et al. (2021) erfasst werden.</w:t>
      </w:r>
    </w:p>
    <w:p>
      <w:pPr>
        <w:pStyle w:val="FirstParagraph"/>
      </w:pPr>
      <w:r>
        <w:rPr>
          <w:bCs/>
          <w:rFonts w:ascii="Arial" w:hAnsi="Arial"/>
          <w:b/>
        </w:rPr>
        <w:t xml:space="preserve">Grenzen der Strings:</w:t>
      </w:r>
      <w:r>
        <w:rPr>
          <w:rFonts w:ascii="Arial" w:hAnsi="Arial"/>
        </w:rPr>
        <w:t xml:space="preserve"> </w:t>
      </w:r>
      <w:r>
        <w:rPr>
          <w:rFonts w:ascii="Arial" w:hAnsi="Arial"/>
        </w:rPr>
        <w:t xml:space="preserve">Studien außerhalb von PubMed (Estupiñán Corredor &amp; Agudelo Velásquez, 2021 · Nuttouch et al., 2023 · Kwapisz Dos Santos et al., 2025 · Wang et al., 2025) erreicht nur die Websuche. Der Vermittlungsweg steht oft nur im Methodenteil (Lindblom et al., 2020). SPORTDiscus ist hier nicht zugänglich.</w:t>
      </w:r>
    </w:p>
    <w:bookmarkEnd w:id="41"/>
    <w:bookmarkEnd w:id="42"/>
    <w:bookmarkStart w:id="45" w:name="gegenprüfung"/>
    <w:p>
      <w:pPr>
        <w:pStyle w:val="Heading2"/>
      </w:pPr>
      <w:r>
        <w:rPr>
          <w:rFonts w:ascii="Arial" w:hAnsi="Arial"/>
        </w:rPr>
        <w:t xml:space="preserve">7 Gegenprüfung</w:t>
      </w:r>
    </w:p>
    <w:p>
      <w:pPr>
        <w:pStyle w:val="FirstParagraph"/>
      </w:pPr>
      <w:r>
        <w:rPr>
          <w:rFonts w:ascii="Arial" w:hAnsi="Arial"/>
        </w:rPr>
        <w:t xml:space="preserve">Ein unabhängiger Subagent ohne Kenntnis dieses Befunds hat 21 Einzelaussagen und zwei Kernaussagen am Abstract und, wo frei, am Volltext geprüft und dazu eigene Suchen auf Englisch, Spanisch, Portugiesisch und Türkisch und eine Consensus-Frage (K25) gestellt. Ergebnis in</w:t>
      </w:r>
      <w:r>
        <w:rPr>
          <w:rFonts w:ascii="Arial" w:hAnsi="Arial"/>
        </w:rPr>
        <w:t xml:space="preserve"> </w:t>
      </w:r>
      <w:r>
        <w:rPr>
          <w:rStyle w:val="VerbatimChar"/>
          <w:rFonts w:ascii="Arial" w:hAnsi="Arial"/>
          <w:sz w:val="16"/>
        </w:rPr>
        <w:t xml:space="preserve">gegenpruefung_schritt2_2026-10-01.json</w:t>
      </w:r>
      <w:r>
        <w:rPr>
          <w:rFonts w:ascii="Arial" w:hAnsi="Arial"/>
        </w:rPr>
        <w:t xml:space="preserve"> </w:t>
      </w:r>
      <w:r>
        <w:rPr>
          <w:rFonts w:ascii="Arial" w:hAnsi="Arial"/>
        </w:rPr>
        <w:t xml:space="preserve">im Skriptordner.</w:t>
      </w:r>
    </w:p>
    <w:bookmarkStart w:id="43" w:name="einzelaussagen"/>
    <w:p>
      <w:pPr>
        <w:pStyle w:val="Heading3"/>
      </w:pPr>
      <w:r>
        <w:rPr>
          <w:rFonts w:ascii="Arial" w:hAnsi="Arial"/>
        </w:rPr>
        <w:t xml:space="preserve">7.1 Einzelaussagen</w:t>
      </w:r>
    </w:p>
    <w:p>
      <w:pPr>
        <w:pStyle w:val="FirstParagraph"/>
      </w:pPr>
      <w:r>
        <w:rPr>
          <w:rFonts w:ascii="Arial" w:hAnsi="Arial"/>
        </w:rPr>
        <w:t xml:space="preserve">12 von 21 bestätigt, 9 zu präzisieren, keine widerlegt. Übernommen: Estupiñán Corredor und Agudelo Velásquez (2021): Tätigkeit der KG nicht beschrieben, Inhalt Sprungprogramm statt Sprünge und Zirkel · Nuttouch et al. (2023): Geschlecht nicht ausdrücklich berichtet · Scoz et al. (2022): p &lt; 0,01 nur beim exzentrischen Drehmoment, partielle Eta-Quadrate über 1 · Rogers et al. (2020): Vergleichsgruppe hybrid, Bezugsmengen der Teilnahmewerte · Kwapisz Dos Santos et al. (2025): Familienname laut Crossref, Adhärenz als gewichteter Index, Häufigkeit nicht eindeutig, Gruppenvergleich nur der Post-Werte · Daveri et al. (2022): Adhärenzraten, „kein Unterschied“ nur für einzelne Größen ausdrücklich · Lee et al. (2021): Interaktionen nur für einzelne Kraftrichtungen und den Y-Balance-Gesamtwert, Videogruppe mit zwei Wochen Schulsicherheit · Qu et al. (2022): Kraft nur bei Eversion und Dorsalextension, betreut stärker, nicht nur früher · Magliato et al. (2025): Adhärenz und Retention getrennt. Zusätze zu bestätigten Aussagen: Lippi et al. (2026) steht in PubMed unter 2025, die Version of Record ist 2026 · García-Suárez et al. (2022) mit widersprüchlicher Altersangabe · Wilson et al. (2021): kein frei zugänglicher Beleg zu Videoanteil oder Adhärenz · Wang et al. (2025): Abstract über die Verlagsseite gefunden (§ 3.3).</w:t>
      </w:r>
    </w:p>
    <w:bookmarkEnd w:id="43"/>
    <w:bookmarkStart w:id="44" w:name="kernaussagen"/>
    <w:p>
      <w:pPr>
        <w:pStyle w:val="Heading3"/>
      </w:pPr>
      <w:r>
        <w:rPr>
          <w:rFonts w:ascii="Arial" w:hAnsi="Arial"/>
        </w:rPr>
        <w:t xml:space="preserve">7.2 Kernaussagen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5246"/>
        <w:gridCol w:w="5625"/>
        <w:gridCol w:w="3926"/>
      </w:tblGrid>
      <w:tr>
        <w:trPr>
          <w:tblHeader w:val="true"/>
          <w:tblHeader w:val="true"/>
          <w:cantSplit w:val="true"/>
        </w:trPr>
        <w:tc>
          <w:tcPr>
            <w:tcW w:type="dxa" w:w="5246"/>
            <w:shd w:val="clear" w:color="auto" w:fill="D6E4F0"/>
          </w:tcPr>
          <w:p>
            <w:pPr>
              <w:pStyle w:val="Compact"/>
              <w:jc w:val="left"/>
            </w:pPr>
            <w:r>
              <w:rPr>
                <w:rFonts w:ascii="Arial" w:hAnsi="Arial"/>
                <w:b/>
                <w:sz w:val="18"/>
              </w:rPr>
              <w:t xml:space="preserve">Aussage</w:t>
            </w:r>
          </w:p>
        </w:tc>
        <w:tc>
          <w:tcPr>
            <w:tcW w:type="dxa" w:w="5625"/>
            <w:shd w:val="clear" w:color="auto" w:fill="D6E4F0"/>
          </w:tcPr>
          <w:p>
            <w:pPr>
              <w:pStyle w:val="Compact"/>
              <w:jc w:val="left"/>
            </w:pPr>
            <w:r>
              <w:rPr>
                <w:rFonts w:ascii="Arial" w:hAnsi="Arial"/>
                <w:b/>
                <w:sz w:val="18"/>
              </w:rPr>
              <w:t xml:space="preserve">Urteil des Prüfers</w:t>
            </w:r>
          </w:p>
        </w:tc>
        <w:tc>
          <w:tcPr>
            <w:tcW w:type="dxa" w:w="3926"/>
            <w:shd w:val="clear" w:color="auto" w:fill="D6E4F0"/>
          </w:tcPr>
          <w:p>
            <w:pPr>
              <w:pStyle w:val="Compact"/>
              <w:jc w:val="left"/>
            </w:pPr>
            <w:r>
              <w:rPr>
                <w:rFonts w:ascii="Arial" w:hAnsi="Arial"/>
                <w:b/>
                <w:sz w:val="18"/>
              </w:rPr>
              <w:t xml:space="preserve">Folge</w:t>
            </w:r>
          </w:p>
        </w:tc>
      </w:tr>
      <w:tr>
        <w:trPr>
          <w:cantSplit w:val="true"/>
        </w:trPr>
        <w:tc>
          <w:tcPr>
            <w:tcW w:type="dxa" w:w="5246"/>
          </w:tcPr>
          <w:p>
            <w:pPr>
              <w:pStyle w:val="Compact"/>
              <w:jc w:val="left"/>
            </w:pPr>
            <w:r>
              <w:rPr>
                <w:rFonts w:ascii="Arial" w:hAnsi="Arial"/>
                <w:sz w:val="18"/>
              </w:rPr>
              <w:t xml:space="preserve">C22: Im Fußball keine kontrollierte Studie mit überwiegend videovermitteltem Programm, Kontrolle ohne Programm und Sprint-, Sprung- oder Richtungswechseltest</w:t>
            </w:r>
          </w:p>
        </w:tc>
        <w:tc>
          <w:tcPr>
            <w:tcW w:type="dxa" w:w="5625"/>
          </w:tcPr>
          <w:p>
            <w:pPr>
              <w:pStyle w:val="Compact"/>
              <w:jc w:val="left"/>
            </w:pPr>
            <w:r>
              <w:rPr>
                <w:rFonts w:ascii="Arial" w:hAnsi="Arial"/>
                <w:sz w:val="18"/>
              </w:rPr>
              <w:t xml:space="preserve">widerlegt durch die eigene Futsalstudie (Estupiñán Corredor &amp; Agudelo Velásquez, 2021). Sonst keine Studie mit allen Merkmalen, 16 nahe Studien mit dem jeweils fehlenden Merkmal in der JSON</w:t>
            </w:r>
          </w:p>
        </w:tc>
        <w:tc>
          <w:tcPr>
            <w:tcW w:type="dxa" w:w="3926"/>
          </w:tcPr>
          <w:p>
            <w:pPr>
              <w:pStyle w:val="Compact"/>
              <w:jc w:val="left"/>
            </w:pPr>
            <w:r>
              <w:rPr>
                <w:rFonts w:ascii="Arial" w:hAnsi="Arial"/>
                <w:sz w:val="18"/>
              </w:rPr>
              <w:t xml:space="preserve">§ 0 Nr. 1 neu gefasst: Es fehlt ein Gegenstück mit aufgezeichnetem, unbeaufsichtigtem Video, die Futsalstudie wird ausdrücklich genannt</w:t>
            </w:r>
          </w:p>
        </w:tc>
      </w:tr>
      <w:tr>
        <w:trPr>
          <w:cantSplit w:val="true"/>
        </w:trPr>
        <w:tc>
          <w:tcPr>
            <w:tcW w:type="dxa" w:w="5246"/>
            <w:shd w:val="clear" w:color="auto" w:fill="EEF3F9"/>
          </w:tcPr>
          <w:p>
            <w:pPr>
              <w:pStyle w:val="Compact"/>
              <w:jc w:val="left"/>
            </w:pPr>
            <w:r>
              <w:rPr>
                <w:rFonts w:ascii="Arial" w:hAnsi="Arial"/>
                <w:sz w:val="18"/>
              </w:rPr>
              <w:t xml:space="preserve">C23: Klusemann et al. (2012) ist die einzige randomisierte Studie bei Nachwuchssportlern mit Online-Video-, Betreuungs- und Kontrollarm</w:t>
            </w:r>
          </w:p>
        </w:tc>
        <w:tc>
          <w:tcPr>
            <w:tcW w:type="dxa" w:w="5625"/>
            <w:shd w:val="clear" w:color="auto" w:fill="EEF3F9"/>
          </w:tcPr>
          <w:p>
            <w:pPr>
              <w:pStyle w:val="Compact"/>
              <w:jc w:val="left"/>
            </w:pPr>
            <w:r>
              <w:rPr>
                <w:rFonts w:ascii="Arial" w:hAnsi="Arial"/>
                <w:sz w:val="18"/>
              </w:rPr>
              <w:t xml:space="preserve">nicht widerlegt, bleibt ein Ergebnis dieser Suche. Am nächsten Steffen et al. (2013) mit drei randomisierten Vermittlungsarmen der 11+, alle mit Programm, die Website nur für Trainer</w:t>
            </w:r>
          </w:p>
        </w:tc>
        <w:tc>
          <w:tcPr>
            <w:tcW w:type="dxa" w:w="3926"/>
            <w:shd w:val="clear" w:color="auto" w:fill="EEF3F9"/>
          </w:tcPr>
          <w:p>
            <w:pPr>
              <w:pStyle w:val="Compact"/>
              <w:jc w:val="left"/>
            </w:pPr>
            <w:r>
              <w:rPr>
                <w:rFonts w:ascii="Arial" w:hAnsi="Arial"/>
                <w:sz w:val="18"/>
              </w:rPr>
              <w:t xml:space="preserve">§ 0 Nr. 3 mit „nach dieser Suche“</w:t>
            </w:r>
          </w:p>
        </w:tc>
      </w:tr>
    </w:tbl>
    <w:bookmarkEnd w:id="44"/>
    <w:bookmarkEnd w:id="45"/>
    <w:bookmarkStart w:id="46" w:name="folgen-für-die-arbeit"/>
    <w:p>
      <w:pPr>
        <w:pStyle w:val="Heading2"/>
      </w:pPr>
      <w:r>
        <w:rPr>
          <w:rFonts w:ascii="Arial" w:hAnsi="Arial"/>
        </w:rPr>
        <w:t xml:space="preserve">8 Folgen für die Arbeit</w:t>
      </w:r>
    </w:p>
    <w:p>
      <w:pPr>
        <w:numPr>
          <w:ilvl w:val="0"/>
          <w:numId w:val="1005"/>
        </w:numPr>
        <w:pStyle w:val="Compact"/>
      </w:pPr>
      <w:r>
        <w:rPr>
          <w:bCs/>
          <w:rFonts w:ascii="Arial" w:hAnsi="Arial"/>
          <w:b/>
        </w:rPr>
        <w:t xml:space="preserve">Einleitung, Lücke</w:t>
      </w:r>
      <w:r>
        <w:rPr>
          <w:rFonts w:ascii="Arial" w:hAnsi="Arial"/>
        </w:rPr>
        <w:t xml:space="preserve"> </w:t>
      </w:r>
      <w:r>
        <w:rPr>
          <w:rFonts w:ascii="Arial" w:hAnsi="Arial"/>
        </w:rPr>
        <w:t xml:space="preserve">[PRÜFEN]: Die Lückenformel der Einleitung bleibt gestützt, weil sie ein unbeaufsichtigtes Heimprogramm in der Sommerpause bei Spielern des leistungsorientierten Breitensports um den Wachstumsgipfel nennt. Zwei Studien widerlegen weiter gefasste Formeln: Wilson et al. (2021) eine Formel wie „kein kontrolliertes webbasiertes Programm im Nachwuchsfußball“ und Estupiñán Corredor und Agudelo Velásquez (2021) eine Formel wie „keine kontrollierte Studie zu videovermitteltem Training im Fußball“. Live per Videokonferenz angeleitetes Training ist nicht unbeaufsichtigt. Die Lücke trägt nur als Kombination, wie F17 § 6.5 sie fasst.</w:t>
      </w:r>
    </w:p>
    <w:p>
      <w:pPr>
        <w:numPr>
          <w:ilvl w:val="0"/>
          <w:numId w:val="1005"/>
        </w:numPr>
        <w:pStyle w:val="Compact"/>
      </w:pPr>
      <w:r>
        <w:rPr>
          <w:bCs/>
          <w:rFonts w:ascii="Arial" w:hAnsi="Arial"/>
          <w:b/>
        </w:rPr>
        <w:t xml:space="preserve">Task 12a, 6.1</w:t>
      </w:r>
      <w:r>
        <w:rPr>
          <w:rFonts w:ascii="Arial" w:hAnsi="Arial"/>
        </w:rPr>
        <w:t xml:space="preserve"> </w:t>
      </w:r>
      <w:r>
        <w:rPr>
          <w:rFonts w:ascii="Arial" w:hAnsi="Arial"/>
        </w:rPr>
        <w:t xml:space="preserve">[DISKUTIEREN]: Klusemann et al. (2012) bleibt der nächste Wirksamkeitsvergleich, Wilson et al. (2021) der dem Design nach nächste im Fußball, Kwapisz Dos Santos et al. (2025) der nächste mit App-Heimplyometrie und einem Adhärenzindex um 50 %. Alle mit Distanz ≥ 3, nur Kontext, Population und Trainingsform im Satz.</w:t>
      </w:r>
    </w:p>
    <w:p>
      <w:pPr>
        <w:numPr>
          <w:ilvl w:val="0"/>
          <w:numId w:val="1005"/>
        </w:numPr>
        <w:pStyle w:val="Compact"/>
      </w:pPr>
      <w:r>
        <w:rPr>
          <w:bCs/>
          <w:rFonts w:ascii="Arial" w:hAnsi="Arial"/>
          <w:b/>
        </w:rPr>
        <w:t xml:space="preserve">Task 12b, 6.3 G3</w:t>
      </w:r>
      <w:r>
        <w:rPr>
          <w:rFonts w:ascii="Arial" w:hAnsi="Arial"/>
        </w:rPr>
        <w:t xml:space="preserve"> </w:t>
      </w:r>
      <w:r>
        <w:rPr>
          <w:rFonts w:ascii="Arial" w:hAnsi="Arial"/>
        </w:rPr>
        <w:t xml:space="preserve">[DISKUTIEREN]: Teilnahme nach Vermittlungsform (Daveri et al., 2022 · Gavanda et al., 2025) als Kontext für das eigene Format aufgezeichneter Videos ohne Aufsicht. Kein Satz zur Wirkung der eigenen WhatsApp-Gruppen oder Fortschrittskarten.</w:t>
      </w:r>
    </w:p>
    <w:p>
      <w:pPr>
        <w:numPr>
          <w:ilvl w:val="0"/>
          <w:numId w:val="1005"/>
        </w:numPr>
        <w:pStyle w:val="Compact"/>
      </w:pPr>
      <w:r>
        <w:rPr>
          <w:bCs/>
          <w:rFonts w:ascii="Arial" w:hAnsi="Arial"/>
          <w:b/>
        </w:rPr>
        <w:t xml:space="preserve">Task 13, Ausblick</w:t>
      </w:r>
      <w:r>
        <w:rPr>
          <w:rFonts w:ascii="Arial" w:hAnsi="Arial"/>
        </w:rPr>
        <w:t xml:space="preserve"> </w:t>
      </w:r>
      <w:r>
        <w:rPr>
          <w:rFonts w:ascii="Arial" w:hAnsi="Arial"/>
        </w:rPr>
        <w:t xml:space="preserve">[DISKUTIEREN]: Ein Design nach Klusemann et al. (2012) im Nachwuchsfußball, aufgezeichnetes Video gegen Livevideo gegen Präsenz und gegen eine Kontrolle ohne Programm, nur als Forschungsempfehlung.</w:t>
      </w:r>
    </w:p>
    <w:p>
      <w:pPr>
        <w:numPr>
          <w:ilvl w:val="0"/>
          <w:numId w:val="1005"/>
        </w:numPr>
        <w:pStyle w:val="Compact"/>
      </w:pPr>
      <w:r>
        <w:rPr>
          <w:bCs/>
          <w:rFonts w:ascii="Arial" w:hAnsi="Arial"/>
          <w:b/>
        </w:rPr>
        <w:t xml:space="preserve">Beschaffung (H15):</w:t>
      </w:r>
      <w:r>
        <w:rPr>
          <w:rFonts w:ascii="Arial" w:hAnsi="Arial"/>
        </w:rPr>
        <w:t xml:space="preserve"> </w:t>
      </w:r>
      <w:r>
        <w:rPr>
          <w:rFonts w:ascii="Arial" w:hAnsi="Arial"/>
        </w:rPr>
        <w:t xml:space="preserve">§ 9. Vor jeder Zitation T1-Steckbrief und T4-Prüfung, MDPI kennzeichnen.</w:t>
      </w:r>
    </w:p>
    <w:bookmarkEnd w:id="46"/>
    <w:bookmarkStart w:id="47" w:name="beschaffung-h15"/>
    <w:p>
      <w:pPr>
        <w:pStyle w:val="Heading2"/>
      </w:pPr>
      <w:r>
        <w:rPr>
          <w:rFonts w:ascii="Arial" w:hAnsi="Arial"/>
        </w:rPr>
        <w:t xml:space="preserve">9 Beschaffung (H15)</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737"/>
        <w:gridCol w:w="6829"/>
        <w:gridCol w:w="2558"/>
        <w:gridCol w:w="3673"/>
      </w:tblGrid>
      <w:tr>
        <w:trPr>
          <w:tblHeader w:val="true"/>
          <w:tblHeader w:val="true"/>
          <w:cantSplit w:val="true"/>
        </w:trPr>
        <w:tc>
          <w:tcPr>
            <w:tcW w:type="dxa" w:w="1737"/>
            <w:shd w:val="clear" w:color="auto" w:fill="D6E4F0"/>
          </w:tcPr>
          <w:p>
            <w:pPr>
              <w:pStyle w:val="Compact"/>
              <w:jc w:val="left"/>
            </w:pPr>
            <w:r>
              <w:rPr>
                <w:rFonts w:ascii="Arial" w:hAnsi="Arial"/>
                <w:b/>
                <w:sz w:val="18"/>
              </w:rPr>
              <w:t xml:space="preserve">Priorität</w:t>
            </w:r>
          </w:p>
        </w:tc>
        <w:tc>
          <w:tcPr>
            <w:tcW w:type="dxa" w:w="6829"/>
            <w:shd w:val="clear" w:color="auto" w:fill="D6E4F0"/>
          </w:tcPr>
          <w:p>
            <w:pPr>
              <w:pStyle w:val="Compact"/>
              <w:jc w:val="left"/>
            </w:pPr>
            <w:r>
              <w:rPr>
                <w:rFonts w:ascii="Arial" w:hAnsi="Arial"/>
                <w:b/>
                <w:sz w:val="18"/>
              </w:rPr>
              <w:t xml:space="preserve">Quelle</w:t>
            </w:r>
          </w:p>
        </w:tc>
        <w:tc>
          <w:tcPr>
            <w:tcW w:type="dxa" w:w="2558"/>
            <w:shd w:val="clear" w:color="auto" w:fill="D6E4F0"/>
          </w:tcPr>
          <w:p>
            <w:pPr>
              <w:pStyle w:val="Compact"/>
              <w:jc w:val="left"/>
            </w:pPr>
            <w:r>
              <w:rPr>
                <w:rFonts w:ascii="Arial" w:hAnsi="Arial"/>
                <w:b/>
                <w:sz w:val="18"/>
              </w:rPr>
              <w:t xml:space="preserve">Zugang</w:t>
            </w:r>
          </w:p>
        </w:tc>
        <w:tc>
          <w:tcPr>
            <w:tcW w:type="dxa" w:w="3673"/>
            <w:shd w:val="clear" w:color="auto" w:fill="D6E4F0"/>
          </w:tcPr>
          <w:p>
            <w:pPr>
              <w:pStyle w:val="Compact"/>
              <w:jc w:val="left"/>
            </w:pPr>
            <w:r>
              <w:rPr>
                <w:rFonts w:ascii="Arial" w:hAnsi="Arial"/>
                <w:b/>
                <w:sz w:val="18"/>
              </w:rPr>
              <w:t xml:space="preserve">wofür</w:t>
            </w:r>
          </w:p>
        </w:tc>
      </w:tr>
      <w:tr>
        <w:trPr>
          <w:cantSplit w:val="true"/>
        </w:trPr>
        <w:tc>
          <w:tcPr>
            <w:tcW w:type="dxa" w:w="1737"/>
          </w:tcPr>
          <w:p>
            <w:pPr>
              <w:pStyle w:val="Compact"/>
              <w:jc w:val="left"/>
            </w:pPr>
            <w:r>
              <w:rPr>
                <w:rFonts w:ascii="Arial" w:hAnsi="Arial"/>
                <w:sz w:val="18"/>
              </w:rPr>
              <w:t xml:space="preserve">1</w:t>
            </w:r>
          </w:p>
        </w:tc>
        <w:tc>
          <w:tcPr>
            <w:tcW w:type="dxa" w:w="6829"/>
          </w:tcPr>
          <w:p>
            <w:pPr>
              <w:pStyle w:val="Compact"/>
              <w:jc w:val="left"/>
            </w:pPr>
            <w:r>
              <w:rPr>
                <w:rFonts w:ascii="Arial" w:hAnsi="Arial"/>
                <w:sz w:val="18"/>
              </w:rPr>
              <w:t xml:space="preserve">Wang, Tsai, Tu, Wu &amp; Chen (2025), Sport Sci Health 21(2), 969–978, doi 10.1007/s11332-025-01335-8</w:t>
            </w:r>
          </w:p>
        </w:tc>
        <w:tc>
          <w:tcPr>
            <w:tcW w:type="dxa" w:w="2558"/>
          </w:tcPr>
          <w:p>
            <w:pPr>
              <w:pStyle w:val="Compact"/>
              <w:jc w:val="left"/>
            </w:pPr>
            <w:r>
              <w:rPr>
                <w:rFonts w:ascii="Arial" w:hAnsi="Arial"/>
                <w:sz w:val="18"/>
              </w:rPr>
              <w:t xml:space="preserve">DSHS (Springer)</w:t>
            </w:r>
          </w:p>
        </w:tc>
        <w:tc>
          <w:tcPr>
            <w:tcW w:type="dxa" w:w="3673"/>
          </w:tcPr>
          <w:p>
            <w:pPr>
              <w:pStyle w:val="Compact"/>
              <w:jc w:val="left"/>
            </w:pPr>
            <w:r>
              <w:rPr>
                <w:rFonts w:ascii="Arial" w:hAnsi="Arial"/>
                <w:sz w:val="18"/>
              </w:rPr>
              <w:t xml:space="preserve">Population und Vermittlungsform, Vergleich mit Klusemann et al. (2012)</w:t>
            </w:r>
          </w:p>
        </w:tc>
      </w:tr>
      <w:tr>
        <w:trPr>
          <w:cantSplit w:val="true"/>
        </w:trPr>
        <w:tc>
          <w:tcPr>
            <w:tcW w:type="dxa" w:w="1737"/>
            <w:shd w:val="clear" w:color="auto" w:fill="EEF3F9"/>
          </w:tcPr>
          <w:p>
            <w:pPr>
              <w:pStyle w:val="Compact"/>
              <w:jc w:val="left"/>
            </w:pPr>
            <w:r>
              <w:rPr>
                <w:rFonts w:ascii="Arial" w:hAnsi="Arial"/>
                <w:sz w:val="18"/>
              </w:rPr>
              <w:t xml:space="preserve">1</w:t>
            </w:r>
          </w:p>
        </w:tc>
        <w:tc>
          <w:tcPr>
            <w:tcW w:type="dxa" w:w="6829"/>
            <w:shd w:val="clear" w:color="auto" w:fill="EEF3F9"/>
          </w:tcPr>
          <w:p>
            <w:pPr>
              <w:pStyle w:val="Compact"/>
              <w:jc w:val="left"/>
            </w:pPr>
            <w:r>
              <w:rPr>
                <w:rFonts w:ascii="Arial" w:hAnsi="Arial"/>
                <w:sz w:val="18"/>
              </w:rPr>
              <w:t xml:space="preserve">Wilson et al. (2021), JSCR 35(4), 1149–1155, doi 10.1519/JSC.0000000000002907</w:t>
            </w:r>
          </w:p>
        </w:tc>
        <w:tc>
          <w:tcPr>
            <w:tcW w:type="dxa" w:w="2558"/>
            <w:shd w:val="clear" w:color="auto" w:fill="EEF3F9"/>
          </w:tcPr>
          <w:p>
            <w:pPr>
              <w:pStyle w:val="Compact"/>
              <w:jc w:val="left"/>
            </w:pPr>
            <w:r>
              <w:rPr>
                <w:rFonts w:ascii="Arial" w:hAnsi="Arial"/>
                <w:sz w:val="18"/>
              </w:rPr>
              <w:t xml:space="preserve">DSHS</w:t>
            </w:r>
          </w:p>
        </w:tc>
        <w:tc>
          <w:tcPr>
            <w:tcW w:type="dxa" w:w="3673"/>
            <w:shd w:val="clear" w:color="auto" w:fill="EEF3F9"/>
          </w:tcPr>
          <w:p>
            <w:pPr>
              <w:pStyle w:val="Compact"/>
              <w:jc w:val="left"/>
            </w:pPr>
            <w:r>
              <w:rPr>
                <w:rFonts w:ascii="Arial" w:hAnsi="Arial"/>
                <w:sz w:val="18"/>
              </w:rPr>
              <w:t xml:space="preserve">Videoanteil, Häufigkeit, Adhärenz, 12a</w:t>
            </w:r>
          </w:p>
        </w:tc>
      </w:tr>
      <w:tr>
        <w:trPr>
          <w:cantSplit w:val="true"/>
        </w:trPr>
        <w:tc>
          <w:tcPr>
            <w:tcW w:type="dxa" w:w="1737"/>
          </w:tcPr>
          <w:p>
            <w:pPr>
              <w:pStyle w:val="Compact"/>
              <w:jc w:val="left"/>
            </w:pPr>
            <w:r>
              <w:rPr>
                <w:rFonts w:ascii="Arial" w:hAnsi="Arial"/>
                <w:sz w:val="18"/>
              </w:rPr>
              <w:t xml:space="preserve">1</w:t>
            </w:r>
          </w:p>
        </w:tc>
        <w:tc>
          <w:tcPr>
            <w:tcW w:type="dxa" w:w="6829"/>
          </w:tcPr>
          <w:p>
            <w:pPr>
              <w:pStyle w:val="Compact"/>
              <w:jc w:val="left"/>
            </w:pPr>
            <w:r>
              <w:rPr>
                <w:rFonts w:ascii="Arial" w:hAnsi="Arial"/>
                <w:sz w:val="18"/>
              </w:rPr>
              <w:t xml:space="preserve">Klusemann et al. (2012), JSCR 26(10), 2677–2684, doi 10.1519/JSC.0b013e318241b021</w:t>
            </w:r>
          </w:p>
        </w:tc>
        <w:tc>
          <w:tcPr>
            <w:tcW w:type="dxa" w:w="2558"/>
          </w:tcPr>
          <w:p>
            <w:pPr>
              <w:pStyle w:val="Compact"/>
              <w:jc w:val="left"/>
            </w:pPr>
            <w:r>
              <w:rPr>
                <w:rFonts w:ascii="Arial" w:hAnsi="Arial"/>
                <w:sz w:val="18"/>
              </w:rPr>
              <w:t xml:space="preserve">DSHS, steht in H13 Priorität 1</w:t>
            </w:r>
          </w:p>
        </w:tc>
        <w:tc>
          <w:tcPr>
            <w:tcW w:type="dxa" w:w="3673"/>
          </w:tcPr>
          <w:p>
            <w:pPr>
              <w:pStyle w:val="Compact"/>
              <w:jc w:val="left"/>
            </w:pPr>
            <w:r>
              <w:rPr>
                <w:rFonts w:ascii="Arial" w:hAnsi="Arial"/>
                <w:sz w:val="18"/>
              </w:rPr>
              <w:t xml:space="preserve">Volltext für 12a, Adhärenz, Vergleich Video gegen betreut</w:t>
            </w:r>
          </w:p>
        </w:tc>
      </w:tr>
      <w:tr>
        <w:trPr>
          <w:cantSplit w:val="true"/>
        </w:trPr>
        <w:tc>
          <w:tcPr>
            <w:tcW w:type="dxa" w:w="1737"/>
            <w:shd w:val="clear" w:color="auto" w:fill="EEF3F9"/>
          </w:tcPr>
          <w:p>
            <w:pPr>
              <w:pStyle w:val="Compact"/>
              <w:jc w:val="left"/>
            </w:pPr>
            <w:r>
              <w:rPr>
                <w:rFonts w:ascii="Arial" w:hAnsi="Arial"/>
                <w:sz w:val="18"/>
              </w:rPr>
              <w:t xml:space="preserve">2</w:t>
            </w:r>
          </w:p>
        </w:tc>
        <w:tc>
          <w:tcPr>
            <w:tcW w:type="dxa" w:w="6829"/>
            <w:shd w:val="clear" w:color="auto" w:fill="EEF3F9"/>
          </w:tcPr>
          <w:p>
            <w:pPr>
              <w:pStyle w:val="Compact"/>
              <w:jc w:val="left"/>
            </w:pPr>
            <w:r>
              <w:rPr>
                <w:rFonts w:ascii="Arial" w:hAnsi="Arial"/>
                <w:sz w:val="18"/>
              </w:rPr>
              <w:t xml:space="preserve">Estupiñán Corredor &amp; Agudelo Velásquez (2021), VIREF 10(3), 49–65</w:t>
            </w:r>
          </w:p>
        </w:tc>
        <w:tc>
          <w:tcPr>
            <w:tcW w:type="dxa" w:w="2558"/>
            <w:shd w:val="clear" w:color="auto" w:fill="EEF3F9"/>
          </w:tcPr>
          <w:p>
            <w:pPr>
              <w:pStyle w:val="Compact"/>
              <w:jc w:val="left"/>
            </w:pPr>
            <w:r>
              <w:rPr>
                <w:rFonts w:ascii="Arial" w:hAnsi="Arial"/>
                <w:sz w:val="18"/>
              </w:rPr>
              <w:t xml:space="preserve">frei (Universidad de Antioquia)</w:t>
            </w:r>
          </w:p>
        </w:tc>
        <w:tc>
          <w:tcPr>
            <w:tcW w:type="dxa" w:w="3673"/>
            <w:shd w:val="clear" w:color="auto" w:fill="EEF3F9"/>
          </w:tcPr>
          <w:p>
            <w:pPr>
              <w:pStyle w:val="Compact"/>
              <w:jc w:val="left"/>
            </w:pPr>
            <w:r>
              <w:rPr>
                <w:rFonts w:ascii="Arial" w:hAnsi="Arial"/>
                <w:sz w:val="18"/>
              </w:rPr>
              <w:t xml:space="preserve">12a nur bei Bedarf</w:t>
            </w:r>
          </w:p>
        </w:tc>
      </w:tr>
      <w:tr>
        <w:trPr>
          <w:cantSplit w:val="true"/>
        </w:trPr>
        <w:tc>
          <w:tcPr>
            <w:tcW w:type="dxa" w:w="1737"/>
          </w:tcPr>
          <w:p>
            <w:pPr>
              <w:pStyle w:val="Compact"/>
              <w:jc w:val="left"/>
            </w:pPr>
            <w:r>
              <w:rPr>
                <w:rFonts w:ascii="Arial" w:hAnsi="Arial"/>
                <w:sz w:val="18"/>
              </w:rPr>
              <w:t xml:space="preserve">2</w:t>
            </w:r>
          </w:p>
        </w:tc>
        <w:tc>
          <w:tcPr>
            <w:tcW w:type="dxa" w:w="6829"/>
          </w:tcPr>
          <w:p>
            <w:pPr>
              <w:pStyle w:val="Compact"/>
              <w:jc w:val="left"/>
            </w:pPr>
            <w:r>
              <w:rPr>
                <w:rFonts w:ascii="Arial" w:hAnsi="Arial"/>
                <w:sz w:val="18"/>
              </w:rPr>
              <w:t xml:space="preserve">Kwapisz Dos Santos et al. (2025), doi 10.3390/app152413108</w:t>
            </w:r>
          </w:p>
        </w:tc>
        <w:tc>
          <w:tcPr>
            <w:tcW w:type="dxa" w:w="2558"/>
          </w:tcPr>
          <w:p>
            <w:pPr>
              <w:pStyle w:val="Compact"/>
              <w:jc w:val="left"/>
            </w:pPr>
            <w:r>
              <w:rPr>
                <w:rFonts w:ascii="Arial" w:hAnsi="Arial"/>
                <w:sz w:val="18"/>
              </w:rPr>
              <w:t xml:space="preserve">frei (MDPI), steht in H13 als Dos Santos et al.</w:t>
            </w:r>
          </w:p>
        </w:tc>
        <w:tc>
          <w:tcPr>
            <w:tcW w:type="dxa" w:w="3673"/>
          </w:tcPr>
          <w:p>
            <w:pPr>
              <w:pStyle w:val="Compact"/>
              <w:jc w:val="left"/>
            </w:pPr>
            <w:r>
              <w:rPr>
                <w:rFonts w:ascii="Arial" w:hAnsi="Arial"/>
                <w:sz w:val="18"/>
              </w:rPr>
              <w:t xml:space="preserve">12a, 12b, Autorenname am Original prüfen</w:t>
            </w:r>
          </w:p>
        </w:tc>
      </w:tr>
      <w:tr>
        <w:trPr>
          <w:cantSplit w:val="true"/>
        </w:trPr>
        <w:tc>
          <w:tcPr>
            <w:tcW w:type="dxa" w:w="1737"/>
            <w:shd w:val="clear" w:color="auto" w:fill="EEF3F9"/>
          </w:tcPr>
          <w:p>
            <w:pPr>
              <w:pStyle w:val="Compact"/>
              <w:jc w:val="left"/>
            </w:pPr>
            <w:r>
              <w:rPr>
                <w:rFonts w:ascii="Arial" w:hAnsi="Arial"/>
                <w:sz w:val="18"/>
              </w:rPr>
              <w:t xml:space="preserve">3</w:t>
            </w:r>
          </w:p>
        </w:tc>
        <w:tc>
          <w:tcPr>
            <w:tcW w:type="dxa" w:w="6829"/>
            <w:shd w:val="clear" w:color="auto" w:fill="EEF3F9"/>
          </w:tcPr>
          <w:p>
            <w:pPr>
              <w:pStyle w:val="Compact"/>
              <w:jc w:val="left"/>
            </w:pPr>
            <w:r>
              <w:rPr>
                <w:rFonts w:ascii="Arial" w:hAnsi="Arial"/>
                <w:sz w:val="18"/>
              </w:rPr>
              <w:t xml:space="preserve">Nuttouch et al. (2023), doi 10.17309/tmfv.2023.6.02 · Gergüz &amp; Aras Bayram (2023), doi 10.1159/000533848 · McNamara et al. (2008), doi 10.1519/JSC.0b013e31816eb4e0 · Bulca et al. (2022), doi 10.1177/00315125221088069</w:t>
            </w:r>
          </w:p>
        </w:tc>
        <w:tc>
          <w:tcPr>
            <w:tcW w:type="dxa" w:w="2558"/>
            <w:shd w:val="clear" w:color="auto" w:fill="EEF3F9"/>
          </w:tcPr>
          <w:p>
            <w:pPr>
              <w:pStyle w:val="Compact"/>
              <w:jc w:val="left"/>
            </w:pPr>
            <w:r>
              <w:rPr>
                <w:rFonts w:ascii="Arial" w:hAnsi="Arial"/>
                <w:sz w:val="18"/>
              </w:rPr>
              <w:t xml:space="preserve">frei · DSHS</w:t>
            </w:r>
          </w:p>
        </w:tc>
        <w:tc>
          <w:tcPr>
            <w:tcW w:type="dxa" w:w="3673"/>
            <w:shd w:val="clear" w:color="auto" w:fill="EEF3F9"/>
          </w:tcPr>
          <w:p>
            <w:pPr>
              <w:pStyle w:val="Compact"/>
              <w:jc w:val="left"/>
            </w:pPr>
            <w:r>
              <w:rPr>
                <w:rFonts w:ascii="Arial" w:hAnsi="Arial"/>
                <w:sz w:val="18"/>
              </w:rPr>
              <w:t xml:space="preserve">nur bei Bedarf</w:t>
            </w:r>
          </w:p>
        </w:tc>
      </w:tr>
      <w:tr>
        <w:trPr>
          <w:cantSplit w:val="true"/>
        </w:trPr>
        <w:tc>
          <w:tcPr>
            <w:tcW w:type="dxa" w:w="1737"/>
          </w:tcPr>
          <w:p>
            <w:pPr>
              <w:pStyle w:val="Compact"/>
              <w:jc w:val="left"/>
            </w:pPr>
            <w:r>
              <w:rPr>
                <w:rFonts w:ascii="Arial" w:hAnsi="Arial"/>
                <w:sz w:val="18"/>
              </w:rPr>
              <w:t xml:space="preserve">frei</w:t>
            </w:r>
          </w:p>
        </w:tc>
        <w:tc>
          <w:tcPr>
            <w:tcW w:type="dxa" w:w="6829"/>
          </w:tcPr>
          <w:p>
            <w:pPr>
              <w:pStyle w:val="Compact"/>
              <w:jc w:val="left"/>
            </w:pPr>
            <w:r>
              <w:rPr>
                <w:rFonts w:ascii="Arial" w:hAnsi="Arial"/>
                <w:sz w:val="18"/>
              </w:rPr>
              <w:t xml:space="preserve">Daveri et al. (2022, PMC9697893) · Gavanda et al. (2025, PMC12529976) · García-Suárez et al. (2022, PMC9657792) · Lee et al. (2021, PMC8507984) · Yan et al. (2024, PMC11315543)</w:t>
            </w:r>
          </w:p>
        </w:tc>
        <w:tc>
          <w:tcPr>
            <w:tcW w:type="dxa" w:w="2558"/>
          </w:tcPr>
          <w:p>
            <w:pPr>
              <w:pStyle w:val="Compact"/>
              <w:jc w:val="left"/>
            </w:pPr>
            <w:r>
              <w:rPr>
                <w:rFonts w:ascii="Arial" w:hAnsi="Arial"/>
                <w:sz w:val="18"/>
              </w:rPr>
              <w:t xml:space="preserve">PMC</w:t>
            </w:r>
          </w:p>
        </w:tc>
        <w:tc>
          <w:tcPr>
            <w:tcW w:type="dxa" w:w="3673"/>
          </w:tcPr>
          <w:p>
            <w:pPr>
              <w:pStyle w:val="Compact"/>
              <w:jc w:val="left"/>
            </w:pPr>
            <w:r>
              <w:rPr>
                <w:rFonts w:ascii="Arial" w:hAnsi="Arial"/>
                <w:sz w:val="18"/>
              </w:rPr>
              <w:t xml:space="preserve">ablegen, falls zitiert</w:t>
            </w:r>
          </w:p>
        </w:tc>
      </w:tr>
    </w:tbl>
    <w:bookmarkEnd w:id="47"/>
    <w:bookmarkStart w:id="48" w:name="grenzen-dieser-recherche"/>
    <w:p>
      <w:pPr>
        <w:pStyle w:val="Heading2"/>
      </w:pPr>
      <w:r>
        <w:rPr>
          <w:rFonts w:ascii="Arial" w:hAnsi="Arial"/>
        </w:rPr>
        <w:t xml:space="preserve">10 Grenzen dieser Recherche</w:t>
      </w:r>
    </w:p>
    <w:p>
      <w:pPr>
        <w:pStyle w:val="FirstParagraph"/>
      </w:pPr>
      <w:r>
        <w:rPr>
          <w:rFonts w:ascii="Arial" w:hAnsi="Arial"/>
        </w:rPr>
        <w:t xml:space="preserve">Nicht systematisch: PubMed mit zwei Strings und Varianten, Zitationssuche nur über OpenAlex und PubMed „Similar articles“, Websuche in acht Sprachen, keine Zweitsichtung, kein Flussdiagramm. Europe PMC, Semantic Scholar, die Artikelschnittstelle von DOAJ, Springer und ResearchGate wiesen Abrufe wegen Ratenbegrenzung ab, die Zitationssuche ist deshalb nicht vollständig. SPORTDiscus ist hier nicht zugänglich. Gesichtet wurden Titel, bei Kandidaten Abstracts, Volltexte nur, wo frei. Angaben mit Zugang A oder E sind vor einer Zitation am Volltext zu prüfen.</w:t>
      </w:r>
    </w:p>
    <w:p>
      <w:pPr>
        <w:pStyle w:val="BodyText"/>
      </w:pPr>
      <w:r>
        <w:rPr>
          <w:bCs/>
          <w:rFonts w:ascii="Arial" w:hAnsi="Arial"/>
          <w:b/>
        </w:rPr>
        <w:t xml:space="preserve">Berichtigt gegenüber Rev. 135 und 139:</w:t>
      </w:r>
      <w:r>
        <w:rPr>
          <w:rFonts w:ascii="Arial" w:hAnsi="Arial"/>
        </w:rPr>
        <w:t xml:space="preserve"> </w:t>
      </w:r>
      <w:r>
        <w:rPr>
          <w:rFonts w:ascii="Arial" w:hAnsi="Arial"/>
        </w:rPr>
        <w:t xml:space="preserve">Zitierjahre nach der Version of Record: Magliato et al. (2025, online 2024) statt 2024 · Veeck et al. (2025, online 2024) statt 2024. Kwapisz Dos Santos et al. (2025) statt Dos Santos et al. (2025), Familienname laut Crossref (Gegenprüfung), vor einer Zitation am Original prüfen.</w:t>
      </w:r>
    </w:p>
    <w:bookmarkEnd w:id="48"/>
    <w:bookmarkStart w:id="51" w:name="anhang-a-suchprotokoll-01.10.2026"/>
    <w:p>
      <w:pPr>
        <w:pStyle w:val="Heading2"/>
      </w:pPr>
      <w:r>
        <w:rPr>
          <w:rFonts w:ascii="Arial" w:hAnsi="Arial"/>
        </w:rPr>
        <w:t xml:space="preserve">Anhang A Suchprotokoll (01.10.2026)</w:t>
      </w:r>
    </w:p>
    <w:bookmarkStart w:id="49" w:name="a.1-pubmed"/>
    <w:p>
      <w:pPr>
        <w:pStyle w:val="Heading3"/>
      </w:pPr>
      <w:r>
        <w:rPr>
          <w:rFonts w:ascii="Arial" w:hAnsi="Arial"/>
        </w:rPr>
        <w:t xml:space="preserve">A.1 PubMed</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646"/>
        <w:gridCol w:w="4987"/>
        <w:gridCol w:w="2031"/>
        <w:gridCol w:w="2031"/>
        <w:gridCol w:w="4102"/>
      </w:tblGrid>
      <w:tr>
        <w:trPr>
          <w:tblHeader w:val="true"/>
          <w:tblHeader w:val="true"/>
          <w:cantSplit w:val="true"/>
        </w:trPr>
        <w:tc>
          <w:tcPr>
            <w:tcW w:type="dxa" w:w="1646"/>
            <w:shd w:val="clear" w:color="auto" w:fill="D6E4F0"/>
          </w:tcPr>
          <w:p>
            <w:pPr>
              <w:pStyle w:val="Compact"/>
              <w:jc w:val="left"/>
            </w:pPr>
            <w:r>
              <w:rPr>
                <w:rFonts w:ascii="Arial" w:hAnsi="Arial"/>
                <w:b/>
                <w:sz w:val="18"/>
              </w:rPr>
              <w:t xml:space="preserve">Nr.</w:t>
            </w:r>
          </w:p>
        </w:tc>
        <w:tc>
          <w:tcPr>
            <w:tcW w:type="dxa" w:w="4987"/>
            <w:shd w:val="clear" w:color="auto" w:fill="D6E4F0"/>
          </w:tcPr>
          <w:p>
            <w:pPr>
              <w:pStyle w:val="Compact"/>
              <w:jc w:val="left"/>
            </w:pPr>
            <w:r>
              <w:rPr>
                <w:rFonts w:ascii="Arial" w:hAnsi="Arial"/>
                <w:b/>
                <w:sz w:val="18"/>
              </w:rPr>
              <w:t xml:space="preserve">Abfrage</w:t>
            </w:r>
          </w:p>
        </w:tc>
        <w:tc>
          <w:tcPr>
            <w:tcW w:type="dxa" w:w="2031"/>
            <w:shd w:val="clear" w:color="auto" w:fill="D6E4F0"/>
          </w:tcPr>
          <w:p>
            <w:pPr>
              <w:pStyle w:val="Compact"/>
              <w:jc w:val="right"/>
            </w:pPr>
            <w:r>
              <w:rPr>
                <w:rFonts w:ascii="Arial" w:hAnsi="Arial"/>
                <w:b/>
                <w:sz w:val="18"/>
              </w:rPr>
              <w:t xml:space="preserve">Treffer</w:t>
            </w:r>
          </w:p>
        </w:tc>
        <w:tc>
          <w:tcPr>
            <w:tcW w:type="dxa" w:w="2031"/>
            <w:shd w:val="clear" w:color="auto" w:fill="D6E4F0"/>
          </w:tcPr>
          <w:p>
            <w:pPr>
              <w:pStyle w:val="Compact"/>
              <w:jc w:val="left"/>
            </w:pPr>
            <w:r>
              <w:rPr>
                <w:rFonts w:ascii="Arial" w:hAnsi="Arial"/>
                <w:b/>
                <w:sz w:val="18"/>
              </w:rPr>
              <w:t xml:space="preserve">Prüfset</w:t>
            </w:r>
          </w:p>
        </w:tc>
        <w:tc>
          <w:tcPr>
            <w:tcW w:type="dxa" w:w="4102"/>
            <w:shd w:val="clear" w:color="auto" w:fill="D6E4F0"/>
          </w:tcPr>
          <w:p>
            <w:pPr>
              <w:pStyle w:val="Compact"/>
              <w:jc w:val="left"/>
            </w:pPr>
            <w:r>
              <w:rPr>
                <w:rFonts w:ascii="Arial" w:hAnsi="Arial"/>
                <w:b/>
                <w:sz w:val="18"/>
              </w:rPr>
              <w:t xml:space="preserve">Sichtung</w:t>
            </w:r>
          </w:p>
        </w:tc>
      </w:tr>
      <w:tr>
        <w:trPr>
          <w:cantSplit w:val="true"/>
        </w:trPr>
        <w:tc>
          <w:tcPr>
            <w:tcW w:type="dxa" w:w="1646"/>
          </w:tcPr>
          <w:p>
            <w:pPr>
              <w:pStyle w:val="Compact"/>
              <w:jc w:val="left"/>
            </w:pPr>
            <w:r>
              <w:rPr>
                <w:rFonts w:ascii="Arial" w:hAnsi="Arial"/>
                <w:sz w:val="18"/>
              </w:rPr>
              <w:t xml:space="preserve">B1</w:t>
            </w:r>
          </w:p>
        </w:tc>
        <w:tc>
          <w:tcPr>
            <w:tcW w:type="dxa" w:w="4987"/>
          </w:tcPr>
          <w:p>
            <w:pPr>
              <w:pStyle w:val="Compact"/>
              <w:jc w:val="left"/>
            </w:pPr>
            <w:r>
              <w:rPr>
                <w:rFonts w:ascii="Arial" w:hAnsi="Arial"/>
                <w:sz w:val="18"/>
              </w:rPr>
              <w:t xml:space="preserve">erste Fassung, Vermittlungsblock mit 48 Begriffen, Fußball</w:t>
            </w:r>
          </w:p>
        </w:tc>
        <w:tc>
          <w:tcPr>
            <w:tcW w:type="dxa" w:w="2031"/>
          </w:tcPr>
          <w:p>
            <w:pPr>
              <w:pStyle w:val="Compact"/>
              <w:jc w:val="right"/>
            </w:pPr>
            <w:r>
              <w:rPr>
                <w:rFonts w:ascii="Arial" w:hAnsi="Arial"/>
                <w:sz w:val="18"/>
              </w:rPr>
              <w:t xml:space="preserve">53</w:t>
            </w:r>
          </w:p>
        </w:tc>
        <w:tc>
          <w:tcPr>
            <w:tcW w:type="dxa" w:w="2031"/>
          </w:tcPr>
          <w:p>
            <w:pPr>
              <w:pStyle w:val="Compact"/>
              <w:jc w:val="left"/>
            </w:pPr>
            <w:r>
              <w:rPr>
                <w:rFonts w:ascii="Arial" w:hAnsi="Arial"/>
                <w:sz w:val="18"/>
              </w:rPr>
              <w:t xml:space="preserve">3 von 14</w:t>
            </w:r>
          </w:p>
        </w:tc>
        <w:tc>
          <w:tcPr>
            <w:tcW w:type="dxa" w:w="4102"/>
          </w:tcPr>
          <w:p>
            <w:pPr>
              <w:pStyle w:val="Compact"/>
              <w:jc w:val="left"/>
            </w:pPr>
            <w:r>
              <w:rPr>
                <w:rFonts w:ascii="Arial" w:hAnsi="Arial"/>
                <w:sz w:val="18"/>
              </w:rPr>
              <w:t xml:space="preserve">Titel</w:t>
            </w:r>
          </w:p>
        </w:tc>
      </w:tr>
      <w:tr>
        <w:trPr>
          <w:cantSplit w:val="true"/>
        </w:trPr>
        <w:tc>
          <w:tcPr>
            <w:tcW w:type="dxa" w:w="1646"/>
            <w:shd w:val="clear" w:color="auto" w:fill="EEF3F9"/>
          </w:tcPr>
          <w:p>
            <w:pPr>
              <w:pStyle w:val="Compact"/>
              <w:jc w:val="left"/>
            </w:pPr>
            <w:r>
              <w:rPr>
                <w:rFonts w:ascii="Arial" w:hAnsi="Arial"/>
                <w:sz w:val="18"/>
              </w:rPr>
              <w:t xml:space="preserve">B2</w:t>
            </w:r>
          </w:p>
        </w:tc>
        <w:tc>
          <w:tcPr>
            <w:tcW w:type="dxa" w:w="4987"/>
            <w:shd w:val="clear" w:color="auto" w:fill="EEF3F9"/>
          </w:tcPr>
          <w:p>
            <w:pPr>
              <w:pStyle w:val="Compact"/>
              <w:jc w:val="left"/>
            </w:pPr>
            <w:r>
              <w:rPr>
                <w:rFonts w:ascii="Arial" w:hAnsi="Arial"/>
                <w:sz w:val="18"/>
              </w:rPr>
              <w:t xml:space="preserve">B1 mit Designfilter</w:t>
            </w:r>
          </w:p>
        </w:tc>
        <w:tc>
          <w:tcPr>
            <w:tcW w:type="dxa" w:w="2031"/>
            <w:shd w:val="clear" w:color="auto" w:fill="EEF3F9"/>
          </w:tcPr>
          <w:p>
            <w:pPr>
              <w:pStyle w:val="Compact"/>
              <w:jc w:val="right"/>
            </w:pPr>
            <w:r>
              <w:rPr>
                <w:rFonts w:ascii="Arial" w:hAnsi="Arial"/>
                <w:sz w:val="18"/>
              </w:rPr>
              <w:t xml:space="preserve">34</w:t>
            </w:r>
          </w:p>
        </w:tc>
        <w:tc>
          <w:tcPr>
            <w:tcW w:type="dxa" w:w="2031"/>
            <w:shd w:val="clear" w:color="auto" w:fill="EEF3F9"/>
          </w:tcPr>
          <w:p>
            <w:pPr>
              <w:pStyle w:val="Compact"/>
              <w:jc w:val="left"/>
            </w:pPr>
            <w:r>
              <w:rPr>
                <w:rFonts w:ascii="Arial" w:hAnsi="Arial"/>
                <w:sz w:val="18"/>
              </w:rPr>
              <w:t xml:space="preserve">3 von 14</w:t>
            </w:r>
          </w:p>
        </w:tc>
        <w:tc>
          <w:tcPr>
            <w:tcW w:type="dxa" w:w="4102"/>
            <w:shd w:val="clear" w:color="auto" w:fill="EEF3F9"/>
          </w:tcPr>
          <w:p>
            <w:pPr>
              <w:pStyle w:val="Compact"/>
              <w:jc w:val="left"/>
            </w:pPr>
            <w:r>
              <w:rPr>
                <w:rFonts w:ascii="Arial" w:hAnsi="Arial"/>
                <w:sz w:val="18"/>
              </w:rPr>
              <w:t xml:space="preserve">Titel</w:t>
            </w:r>
          </w:p>
        </w:tc>
      </w:tr>
      <w:tr>
        <w:trPr>
          <w:cantSplit w:val="true"/>
        </w:trPr>
        <w:tc>
          <w:tcPr>
            <w:tcW w:type="dxa" w:w="1646"/>
          </w:tcPr>
          <w:p>
            <w:pPr>
              <w:pStyle w:val="Compact"/>
              <w:jc w:val="left"/>
            </w:pPr>
            <w:r>
              <w:rPr>
                <w:rFonts w:ascii="Arial" w:hAnsi="Arial"/>
                <w:sz w:val="18"/>
              </w:rPr>
              <w:t xml:space="preserve">B3</w:t>
            </w:r>
          </w:p>
        </w:tc>
        <w:tc>
          <w:tcPr>
            <w:tcW w:type="dxa" w:w="4987"/>
          </w:tcPr>
          <w:p>
            <w:pPr>
              <w:pStyle w:val="Compact"/>
              <w:jc w:val="left"/>
            </w:pPr>
            <w:r>
              <w:rPr>
                <w:rFonts w:ascii="Arial" w:hAnsi="Arial"/>
                <w:sz w:val="18"/>
              </w:rPr>
              <w:t xml:space="preserve">erste Fassung, alle Sportarten</w:t>
            </w:r>
          </w:p>
        </w:tc>
        <w:tc>
          <w:tcPr>
            <w:tcW w:type="dxa" w:w="2031"/>
          </w:tcPr>
          <w:p>
            <w:pPr>
              <w:pStyle w:val="Compact"/>
              <w:jc w:val="right"/>
            </w:pPr>
            <w:r>
              <w:rPr>
                <w:rFonts w:ascii="Arial" w:hAnsi="Arial"/>
                <w:sz w:val="18"/>
              </w:rPr>
              <w:t xml:space="preserve">193</w:t>
            </w:r>
          </w:p>
        </w:tc>
        <w:tc>
          <w:tcPr>
            <w:tcW w:type="dxa" w:w="2031"/>
          </w:tcPr>
          <w:p>
            <w:pPr>
              <w:pStyle w:val="Compact"/>
              <w:jc w:val="left"/>
            </w:pPr>
            <w:r>
              <w:rPr>
                <w:rFonts w:ascii="Arial" w:hAnsi="Arial"/>
                <w:sz w:val="18"/>
              </w:rPr>
              <w:t xml:space="preserve">7 von 25</w:t>
            </w:r>
          </w:p>
        </w:tc>
        <w:tc>
          <w:tcPr>
            <w:tcW w:type="dxa" w:w="4102"/>
          </w:tcPr>
          <w:p>
            <w:pPr>
              <w:pStyle w:val="Compact"/>
              <w:jc w:val="left"/>
            </w:pPr>
            <w:r>
              <w:rPr>
                <w:rFonts w:ascii="Arial" w:hAnsi="Arial"/>
                <w:sz w:val="18"/>
              </w:rPr>
              <w:t xml:space="preserve">Titel, Kandidaten am Abstract</w:t>
            </w:r>
          </w:p>
        </w:tc>
      </w:tr>
      <w:tr>
        <w:trPr>
          <w:cantSplit w:val="true"/>
        </w:trPr>
        <w:tc>
          <w:tcPr>
            <w:tcW w:type="dxa" w:w="1646"/>
            <w:shd w:val="clear" w:color="auto" w:fill="EEF3F9"/>
          </w:tcPr>
          <w:p>
            <w:pPr>
              <w:pStyle w:val="Compact"/>
              <w:jc w:val="left"/>
            </w:pPr>
            <w:r>
              <w:rPr>
                <w:rFonts w:ascii="Arial" w:hAnsi="Arial"/>
                <w:sz w:val="18"/>
              </w:rPr>
              <w:t xml:space="preserve">B4</w:t>
            </w:r>
          </w:p>
        </w:tc>
        <w:tc>
          <w:tcPr>
            <w:tcW w:type="dxa" w:w="4987"/>
            <w:shd w:val="clear" w:color="auto" w:fill="EEF3F9"/>
          </w:tcPr>
          <w:p>
            <w:pPr>
              <w:pStyle w:val="Compact"/>
              <w:jc w:val="left"/>
            </w:pPr>
            <w:r>
              <w:rPr>
                <w:rFonts w:ascii="Arial" w:hAnsi="Arial"/>
                <w:sz w:val="18"/>
              </w:rPr>
              <w:t xml:space="preserve">B3 mit Designfilter</w:t>
            </w:r>
          </w:p>
        </w:tc>
        <w:tc>
          <w:tcPr>
            <w:tcW w:type="dxa" w:w="2031"/>
            <w:shd w:val="clear" w:color="auto" w:fill="EEF3F9"/>
          </w:tcPr>
          <w:p>
            <w:pPr>
              <w:pStyle w:val="Compact"/>
              <w:jc w:val="right"/>
            </w:pPr>
            <w:r>
              <w:rPr>
                <w:rFonts w:ascii="Arial" w:hAnsi="Arial"/>
                <w:sz w:val="18"/>
              </w:rPr>
              <w:t xml:space="preserve">126</w:t>
            </w:r>
          </w:p>
        </w:tc>
        <w:tc>
          <w:tcPr>
            <w:tcW w:type="dxa" w:w="2031"/>
            <w:shd w:val="clear" w:color="auto" w:fill="EEF3F9"/>
          </w:tcPr>
          <w:p>
            <w:pPr>
              <w:pStyle w:val="Compact"/>
              <w:jc w:val="left"/>
            </w:pPr>
            <w:r>
              <w:rPr>
                <w:rFonts w:ascii="Arial" w:hAnsi="Arial"/>
                <w:sz w:val="18"/>
              </w:rPr>
              <w:t xml:space="preserve">5 von 25</w:t>
            </w:r>
          </w:p>
        </w:tc>
        <w:tc>
          <w:tcPr>
            <w:tcW w:type="dxa" w:w="4102"/>
            <w:shd w:val="clear" w:color="auto" w:fill="EEF3F9"/>
          </w:tcPr>
          <w:p>
            <w:pPr>
              <w:pStyle w:val="Compact"/>
              <w:jc w:val="left"/>
            </w:pPr>
            <w:r>
              <w:rPr>
                <w:rFonts w:ascii="Arial" w:hAnsi="Arial"/>
                <w:sz w:val="18"/>
              </w:rPr>
              <w:t xml:space="preserve">in B3 enthalten</w:t>
            </w:r>
          </w:p>
        </w:tc>
      </w:tr>
      <w:tr>
        <w:trPr>
          <w:cantSplit w:val="true"/>
        </w:trPr>
        <w:tc>
          <w:tcPr>
            <w:tcW w:type="dxa" w:w="1646"/>
          </w:tcPr>
          <w:p>
            <w:pPr>
              <w:pStyle w:val="Compact"/>
              <w:jc w:val="left"/>
            </w:pPr>
            <w:r>
              <w:rPr>
                <w:rFonts w:ascii="Arial" w:hAnsi="Arial"/>
                <w:sz w:val="18"/>
              </w:rPr>
              <w:t xml:space="preserve">B5</w:t>
            </w:r>
          </w:p>
        </w:tc>
        <w:tc>
          <w:tcPr>
            <w:tcW w:type="dxa" w:w="4987"/>
          </w:tcPr>
          <w:p>
            <w:pPr>
              <w:pStyle w:val="Compact"/>
              <w:jc w:val="left"/>
            </w:pPr>
            <w:r>
              <w:rPr>
                <w:rFonts w:ascii="Arial" w:hAnsi="Arial"/>
                <w:sz w:val="18"/>
              </w:rPr>
              <w:t xml:space="preserve">Titelsuche: Vermittlung, Sport und Training im Titel</w:t>
            </w:r>
          </w:p>
        </w:tc>
        <w:tc>
          <w:tcPr>
            <w:tcW w:type="dxa" w:w="2031"/>
          </w:tcPr>
          <w:p>
            <w:pPr>
              <w:pStyle w:val="Compact"/>
              <w:jc w:val="right"/>
            </w:pPr>
            <w:r>
              <w:rPr>
                <w:rFonts w:ascii="Arial" w:hAnsi="Arial"/>
                <w:sz w:val="18"/>
              </w:rPr>
              <w:t xml:space="preserve">307</w:t>
            </w:r>
          </w:p>
        </w:tc>
        <w:tc>
          <w:tcPr>
            <w:tcW w:type="dxa" w:w="2031"/>
          </w:tcPr>
          <w:p>
            <w:pPr>
              <w:pStyle w:val="Compact"/>
            </w:pPr>
          </w:p>
        </w:tc>
        <w:tc>
          <w:tcPr>
            <w:tcW w:type="dxa" w:w="4102"/>
          </w:tcPr>
          <w:p>
            <w:pPr>
              <w:pStyle w:val="Compact"/>
              <w:jc w:val="left"/>
            </w:pPr>
            <w:r>
              <w:rPr>
                <w:rFonts w:ascii="Arial" w:hAnsi="Arial"/>
                <w:sz w:val="18"/>
              </w:rPr>
              <w:t xml:space="preserve">Titel, Kandidaten am Abstract</w:t>
            </w:r>
          </w:p>
        </w:tc>
      </w:tr>
      <w:tr>
        <w:trPr>
          <w:cantSplit w:val="true"/>
        </w:trPr>
        <w:tc>
          <w:tcPr>
            <w:tcW w:type="dxa" w:w="1646"/>
            <w:shd w:val="clear" w:color="auto" w:fill="EEF3F9"/>
          </w:tcPr>
          <w:p>
            <w:pPr>
              <w:pStyle w:val="Compact"/>
              <w:jc w:val="left"/>
            </w:pPr>
            <w:r>
              <w:rPr>
                <w:rFonts w:ascii="Arial" w:hAnsi="Arial"/>
                <w:sz w:val="18"/>
              </w:rPr>
              <w:t xml:space="preserve">B6</w:t>
            </w:r>
          </w:p>
        </w:tc>
        <w:tc>
          <w:tcPr>
            <w:tcW w:type="dxa" w:w="4987"/>
            <w:shd w:val="clear" w:color="auto" w:fill="EEF3F9"/>
          </w:tcPr>
          <w:p>
            <w:pPr>
              <w:pStyle w:val="Compact"/>
              <w:jc w:val="left"/>
            </w:pPr>
            <w:r>
              <w:rPr>
                <w:bCs/>
                <w:rFonts w:ascii="Arial" w:hAnsi="Arial"/>
                <w:b/>
                <w:sz w:val="18"/>
              </w:rPr>
              <w:t xml:space="preserve">String F</w:t>
            </w:r>
            <w:r>
              <w:rPr>
                <w:rFonts w:ascii="Arial" w:hAnsi="Arial"/>
                <w:sz w:val="18"/>
              </w:rPr>
              <w:t xml:space="preserve"> </w:t>
            </w:r>
            <w:r>
              <w:rPr>
                <w:rFonts w:ascii="Arial" w:hAnsi="Arial"/>
                <w:sz w:val="18"/>
              </w:rPr>
              <w:t xml:space="preserve">(Vermittlungsblock mit 66 Begriffen)</w:t>
            </w:r>
          </w:p>
        </w:tc>
        <w:tc>
          <w:tcPr>
            <w:tcW w:type="dxa" w:w="2031"/>
            <w:shd w:val="clear" w:color="auto" w:fill="EEF3F9"/>
          </w:tcPr>
          <w:p>
            <w:pPr>
              <w:pStyle w:val="Compact"/>
              <w:jc w:val="right"/>
            </w:pPr>
            <w:r>
              <w:rPr>
                <w:bCs/>
                <w:rFonts w:ascii="Arial" w:hAnsi="Arial"/>
                <w:b/>
                <w:sz w:val="18"/>
              </w:rPr>
              <w:t xml:space="preserve">76</w:t>
            </w:r>
          </w:p>
        </w:tc>
        <w:tc>
          <w:tcPr>
            <w:tcW w:type="dxa" w:w="2031"/>
            <w:shd w:val="clear" w:color="auto" w:fill="EEF3F9"/>
          </w:tcPr>
          <w:p>
            <w:pPr>
              <w:pStyle w:val="Compact"/>
              <w:jc w:val="left"/>
            </w:pPr>
            <w:r>
              <w:rPr>
                <w:rFonts w:ascii="Arial" w:hAnsi="Arial"/>
                <w:sz w:val="18"/>
              </w:rPr>
              <w:t xml:space="preserve">10 von 14</w:t>
            </w:r>
          </w:p>
        </w:tc>
        <w:tc>
          <w:tcPr>
            <w:tcW w:type="dxa" w:w="4102"/>
            <w:shd w:val="clear" w:color="auto" w:fill="EEF3F9"/>
          </w:tcPr>
          <w:p>
            <w:pPr>
              <w:pStyle w:val="Compact"/>
              <w:jc w:val="left"/>
            </w:pPr>
            <w:r>
              <w:rPr>
                <w:rFonts w:ascii="Arial" w:hAnsi="Arial"/>
                <w:sz w:val="18"/>
              </w:rPr>
              <w:t xml:space="preserve">Titel, Urteil je Treffer in der CSV</w:t>
            </w:r>
          </w:p>
        </w:tc>
      </w:tr>
      <w:tr>
        <w:trPr>
          <w:cantSplit w:val="true"/>
        </w:trPr>
        <w:tc>
          <w:tcPr>
            <w:tcW w:type="dxa" w:w="1646"/>
          </w:tcPr>
          <w:p>
            <w:pPr>
              <w:pStyle w:val="Compact"/>
              <w:jc w:val="left"/>
            </w:pPr>
            <w:r>
              <w:rPr>
                <w:rFonts w:ascii="Arial" w:hAnsi="Arial"/>
                <w:sz w:val="18"/>
              </w:rPr>
              <w:t xml:space="preserve">B7</w:t>
            </w:r>
          </w:p>
        </w:tc>
        <w:tc>
          <w:tcPr>
            <w:tcW w:type="dxa" w:w="4987"/>
          </w:tcPr>
          <w:p>
            <w:pPr>
              <w:pStyle w:val="Compact"/>
              <w:jc w:val="left"/>
            </w:pPr>
            <w:r>
              <w:rPr>
                <w:rFonts w:ascii="Arial" w:hAnsi="Arial"/>
                <w:sz w:val="18"/>
              </w:rPr>
              <w:t xml:space="preserve">B6 mit Designfilter</w:t>
            </w:r>
          </w:p>
        </w:tc>
        <w:tc>
          <w:tcPr>
            <w:tcW w:type="dxa" w:w="2031"/>
          </w:tcPr>
          <w:p>
            <w:pPr>
              <w:pStyle w:val="Compact"/>
              <w:jc w:val="right"/>
            </w:pPr>
            <w:r>
              <w:rPr>
                <w:rFonts w:ascii="Arial" w:hAnsi="Arial"/>
                <w:sz w:val="18"/>
              </w:rPr>
              <w:t xml:space="preserve">46</w:t>
            </w:r>
          </w:p>
        </w:tc>
        <w:tc>
          <w:tcPr>
            <w:tcW w:type="dxa" w:w="2031"/>
          </w:tcPr>
          <w:p>
            <w:pPr>
              <w:pStyle w:val="Compact"/>
              <w:jc w:val="left"/>
            </w:pPr>
            <w:r>
              <w:rPr>
                <w:rFonts w:ascii="Arial" w:hAnsi="Arial"/>
                <w:sz w:val="18"/>
              </w:rPr>
              <w:t xml:space="preserve">8 von 14</w:t>
            </w:r>
          </w:p>
        </w:tc>
        <w:tc>
          <w:tcPr>
            <w:tcW w:type="dxa" w:w="4102"/>
          </w:tcPr>
          <w:p>
            <w:pPr>
              <w:pStyle w:val="Compact"/>
              <w:jc w:val="left"/>
            </w:pPr>
            <w:r>
              <w:rPr>
                <w:rFonts w:ascii="Arial" w:hAnsi="Arial"/>
                <w:sz w:val="18"/>
              </w:rPr>
              <w:t xml:space="preserve">in B6 enthalten</w:t>
            </w:r>
          </w:p>
        </w:tc>
      </w:tr>
      <w:tr>
        <w:trPr>
          <w:cantSplit w:val="true"/>
        </w:trPr>
        <w:tc>
          <w:tcPr>
            <w:tcW w:type="dxa" w:w="1646"/>
            <w:shd w:val="clear" w:color="auto" w:fill="EEF3F9"/>
          </w:tcPr>
          <w:p>
            <w:pPr>
              <w:pStyle w:val="Compact"/>
              <w:jc w:val="left"/>
            </w:pPr>
            <w:r>
              <w:rPr>
                <w:rFonts w:ascii="Arial" w:hAnsi="Arial"/>
                <w:sz w:val="18"/>
              </w:rPr>
              <w:t xml:space="preserve">B8</w:t>
            </w:r>
          </w:p>
        </w:tc>
        <w:tc>
          <w:tcPr>
            <w:tcW w:type="dxa" w:w="4987"/>
            <w:shd w:val="clear" w:color="auto" w:fill="EEF3F9"/>
          </w:tcPr>
          <w:p>
            <w:pPr>
              <w:pStyle w:val="Compact"/>
              <w:jc w:val="left"/>
            </w:pPr>
            <w:r>
              <w:rPr>
                <w:bCs/>
                <w:rFonts w:ascii="Arial" w:hAnsi="Arial"/>
                <w:b/>
                <w:sz w:val="18"/>
              </w:rPr>
              <w:t xml:space="preserve">String A</w:t>
            </w:r>
          </w:p>
        </w:tc>
        <w:tc>
          <w:tcPr>
            <w:tcW w:type="dxa" w:w="2031"/>
            <w:shd w:val="clear" w:color="auto" w:fill="EEF3F9"/>
          </w:tcPr>
          <w:p>
            <w:pPr>
              <w:pStyle w:val="Compact"/>
              <w:jc w:val="right"/>
            </w:pPr>
            <w:r>
              <w:rPr>
                <w:bCs/>
                <w:rFonts w:ascii="Arial" w:hAnsi="Arial"/>
                <w:b/>
                <w:sz w:val="18"/>
              </w:rPr>
              <w:t xml:space="preserve">303</w:t>
            </w:r>
          </w:p>
        </w:tc>
        <w:tc>
          <w:tcPr>
            <w:tcW w:type="dxa" w:w="2031"/>
            <w:shd w:val="clear" w:color="auto" w:fill="EEF3F9"/>
          </w:tcPr>
          <w:p>
            <w:pPr>
              <w:pStyle w:val="Compact"/>
              <w:jc w:val="left"/>
            </w:pPr>
            <w:r>
              <w:rPr>
                <w:rFonts w:ascii="Arial" w:hAnsi="Arial"/>
                <w:sz w:val="18"/>
              </w:rPr>
              <w:t xml:space="preserve">15 von 25</w:t>
            </w:r>
          </w:p>
        </w:tc>
        <w:tc>
          <w:tcPr>
            <w:tcW w:type="dxa" w:w="4102"/>
            <w:shd w:val="clear" w:color="auto" w:fill="EEF3F9"/>
          </w:tcPr>
          <w:p>
            <w:pPr>
              <w:pStyle w:val="Compact"/>
              <w:jc w:val="left"/>
            </w:pPr>
            <w:r>
              <w:rPr>
                <w:rFonts w:ascii="Arial" w:hAnsi="Arial"/>
                <w:sz w:val="18"/>
              </w:rPr>
              <w:t xml:space="preserve">107 Neuzugänge gegenüber B3 und B5 nach Titel</w:t>
            </w:r>
          </w:p>
        </w:tc>
      </w:tr>
      <w:tr>
        <w:trPr>
          <w:cantSplit w:val="true"/>
        </w:trPr>
        <w:tc>
          <w:tcPr>
            <w:tcW w:type="dxa" w:w="1646"/>
          </w:tcPr>
          <w:p>
            <w:pPr>
              <w:pStyle w:val="Compact"/>
              <w:jc w:val="left"/>
            </w:pPr>
            <w:r>
              <w:rPr>
                <w:rFonts w:ascii="Arial" w:hAnsi="Arial"/>
                <w:sz w:val="18"/>
              </w:rPr>
              <w:t xml:space="preserve">B9</w:t>
            </w:r>
          </w:p>
        </w:tc>
        <w:tc>
          <w:tcPr>
            <w:tcW w:type="dxa" w:w="4987"/>
          </w:tcPr>
          <w:p>
            <w:pPr>
              <w:pStyle w:val="Compact"/>
              <w:jc w:val="left"/>
            </w:pPr>
            <w:r>
              <w:rPr>
                <w:rFonts w:ascii="Arial" w:hAnsi="Arial"/>
                <w:sz w:val="18"/>
              </w:rPr>
              <w:t xml:space="preserve">B8 mit Designfilter</w:t>
            </w:r>
          </w:p>
        </w:tc>
        <w:tc>
          <w:tcPr>
            <w:tcW w:type="dxa" w:w="2031"/>
          </w:tcPr>
          <w:p>
            <w:pPr>
              <w:pStyle w:val="Compact"/>
              <w:jc w:val="right"/>
            </w:pPr>
            <w:r>
              <w:rPr>
                <w:rFonts w:ascii="Arial" w:hAnsi="Arial"/>
                <w:sz w:val="18"/>
              </w:rPr>
              <w:t xml:space="preserve">177</w:t>
            </w:r>
          </w:p>
        </w:tc>
        <w:tc>
          <w:tcPr>
            <w:tcW w:type="dxa" w:w="2031"/>
          </w:tcPr>
          <w:p>
            <w:pPr>
              <w:pStyle w:val="Compact"/>
              <w:jc w:val="left"/>
            </w:pPr>
            <w:r>
              <w:rPr>
                <w:rFonts w:ascii="Arial" w:hAnsi="Arial"/>
                <w:sz w:val="18"/>
              </w:rPr>
              <w:t xml:space="preserve">11 von 25</w:t>
            </w:r>
          </w:p>
        </w:tc>
        <w:tc>
          <w:tcPr>
            <w:tcW w:type="dxa" w:w="4102"/>
          </w:tcPr>
          <w:p>
            <w:pPr>
              <w:pStyle w:val="Compact"/>
              <w:jc w:val="left"/>
            </w:pPr>
            <w:r>
              <w:rPr>
                <w:rFonts w:ascii="Arial" w:hAnsi="Arial"/>
                <w:sz w:val="18"/>
              </w:rPr>
              <w:t xml:space="preserve">in B8 enthalten</w:t>
            </w:r>
          </w:p>
        </w:tc>
      </w:tr>
      <w:tr>
        <w:trPr>
          <w:cantSplit w:val="true"/>
        </w:trPr>
        <w:tc>
          <w:tcPr>
            <w:tcW w:type="dxa" w:w="1646"/>
            <w:shd w:val="clear" w:color="auto" w:fill="EEF3F9"/>
          </w:tcPr>
          <w:p>
            <w:pPr>
              <w:pStyle w:val="Compact"/>
              <w:jc w:val="left"/>
            </w:pPr>
            <w:r>
              <w:rPr>
                <w:rFonts w:ascii="Arial" w:hAnsi="Arial"/>
                <w:sz w:val="18"/>
              </w:rPr>
              <w:t xml:space="preserve">B10</w:t>
            </w:r>
          </w:p>
        </w:tc>
        <w:tc>
          <w:tcPr>
            <w:tcW w:type="dxa" w:w="4987"/>
            <w:shd w:val="clear" w:color="auto" w:fill="EEF3F9"/>
          </w:tcPr>
          <w:p>
            <w:pPr>
              <w:pStyle w:val="Compact"/>
              <w:jc w:val="left"/>
            </w:pPr>
            <w:r>
              <w:rPr>
                <w:rFonts w:ascii="Arial" w:hAnsi="Arial"/>
                <w:sz w:val="18"/>
              </w:rPr>
              <w:t xml:space="preserve">String A mit Studierenden und Freizeitsportlern</w:t>
            </w:r>
          </w:p>
        </w:tc>
        <w:tc>
          <w:tcPr>
            <w:tcW w:type="dxa" w:w="2031"/>
            <w:shd w:val="clear" w:color="auto" w:fill="EEF3F9"/>
          </w:tcPr>
          <w:p>
            <w:pPr>
              <w:pStyle w:val="Compact"/>
              <w:jc w:val="right"/>
            </w:pPr>
            <w:r>
              <w:rPr>
                <w:rFonts w:ascii="Arial" w:hAnsi="Arial"/>
                <w:sz w:val="18"/>
              </w:rPr>
              <w:t xml:space="preserve">760</w:t>
            </w:r>
          </w:p>
        </w:tc>
        <w:tc>
          <w:tcPr>
            <w:tcW w:type="dxa" w:w="2031"/>
            <w:shd w:val="clear" w:color="auto" w:fill="EEF3F9"/>
          </w:tcPr>
          <w:p>
            <w:pPr>
              <w:pStyle w:val="Compact"/>
              <w:jc w:val="left"/>
            </w:pPr>
            <w:r>
              <w:rPr>
                <w:rFonts w:ascii="Arial" w:hAnsi="Arial"/>
                <w:sz w:val="18"/>
              </w:rPr>
              <w:t xml:space="preserve">17 von 25</w:t>
            </w:r>
          </w:p>
        </w:tc>
        <w:tc>
          <w:tcPr>
            <w:tcW w:type="dxa" w:w="4102"/>
            <w:shd w:val="clear" w:color="auto" w:fill="EEF3F9"/>
          </w:tcPr>
          <w:p>
            <w:pPr>
              <w:pStyle w:val="Compact"/>
              <w:jc w:val="left"/>
            </w:pPr>
            <w:r>
              <w:rPr>
                <w:rFonts w:ascii="Arial" w:hAnsi="Arial"/>
                <w:sz w:val="18"/>
              </w:rPr>
              <w:t xml:space="preserve">457 Zusatztreffer, 108 nach Stichwortfilter am Titel</w:t>
            </w:r>
          </w:p>
        </w:tc>
      </w:tr>
      <w:tr>
        <w:trPr>
          <w:cantSplit w:val="true"/>
        </w:trPr>
        <w:tc>
          <w:tcPr>
            <w:tcW w:type="dxa" w:w="1646"/>
          </w:tcPr>
          <w:p>
            <w:pPr>
              <w:pStyle w:val="Compact"/>
              <w:jc w:val="left"/>
            </w:pPr>
            <w:r>
              <w:rPr>
                <w:rFonts w:ascii="Arial" w:hAnsi="Arial"/>
                <w:sz w:val="18"/>
              </w:rPr>
              <w:t xml:space="preserve">B11</w:t>
            </w:r>
          </w:p>
        </w:tc>
        <w:tc>
          <w:tcPr>
            <w:tcW w:type="dxa" w:w="4987"/>
          </w:tcPr>
          <w:p>
            <w:pPr>
              <w:pStyle w:val="Compact"/>
              <w:jc w:val="left"/>
            </w:pPr>
            <w:r>
              <w:rPr>
                <w:rFonts w:ascii="Arial" w:hAnsi="Arial"/>
                <w:sz w:val="18"/>
              </w:rPr>
              <w:t xml:space="preserve">B10 mit Designfilter</w:t>
            </w:r>
          </w:p>
        </w:tc>
        <w:tc>
          <w:tcPr>
            <w:tcW w:type="dxa" w:w="2031"/>
          </w:tcPr>
          <w:p>
            <w:pPr>
              <w:pStyle w:val="Compact"/>
              <w:jc w:val="right"/>
            </w:pPr>
            <w:r>
              <w:rPr>
                <w:rFonts w:ascii="Arial" w:hAnsi="Arial"/>
                <w:sz w:val="18"/>
              </w:rPr>
              <w:t xml:space="preserve">461</w:t>
            </w:r>
          </w:p>
        </w:tc>
        <w:tc>
          <w:tcPr>
            <w:tcW w:type="dxa" w:w="2031"/>
          </w:tcPr>
          <w:p>
            <w:pPr>
              <w:pStyle w:val="Compact"/>
              <w:jc w:val="left"/>
            </w:pPr>
            <w:r>
              <w:rPr>
                <w:rFonts w:ascii="Arial" w:hAnsi="Arial"/>
                <w:sz w:val="18"/>
              </w:rPr>
              <w:t xml:space="preserve">13 von 25</w:t>
            </w:r>
          </w:p>
        </w:tc>
        <w:tc>
          <w:tcPr>
            <w:tcW w:type="dxa" w:w="4102"/>
          </w:tcPr>
          <w:p>
            <w:pPr>
              <w:pStyle w:val="Compact"/>
              <w:jc w:val="left"/>
            </w:pPr>
            <w:r>
              <w:rPr>
                <w:rFonts w:ascii="Arial" w:hAnsi="Arial"/>
                <w:sz w:val="18"/>
              </w:rPr>
              <w:t xml:space="preserve">in B10 enthalten</w:t>
            </w:r>
          </w:p>
        </w:tc>
      </w:tr>
      <w:tr>
        <w:trPr>
          <w:cantSplit w:val="true"/>
        </w:trPr>
        <w:tc>
          <w:tcPr>
            <w:tcW w:type="dxa" w:w="1646"/>
            <w:shd w:val="clear" w:color="auto" w:fill="EEF3F9"/>
          </w:tcPr>
          <w:p>
            <w:pPr>
              <w:pStyle w:val="Compact"/>
              <w:jc w:val="left"/>
            </w:pPr>
            <w:r>
              <w:rPr>
                <w:rFonts w:ascii="Arial" w:hAnsi="Arial"/>
                <w:sz w:val="18"/>
              </w:rPr>
              <w:t xml:space="preserve">B12</w:t>
            </w:r>
          </w:p>
        </w:tc>
        <w:tc>
          <w:tcPr>
            <w:tcW w:type="dxa" w:w="4987"/>
            <w:shd w:val="clear" w:color="auto" w:fill="EEF3F9"/>
          </w:tcPr>
          <w:p>
            <w:pPr>
              <w:pStyle w:val="Compact"/>
              <w:jc w:val="left"/>
            </w:pPr>
            <w:r>
              <w:rPr>
                <w:rFonts w:ascii="Arial" w:hAnsi="Arial"/>
                <w:sz w:val="18"/>
              </w:rPr>
              <w:t xml:space="preserve">PubMed „Similar articles“ zu Klusemann et al. (2012)</w:t>
            </w:r>
          </w:p>
        </w:tc>
        <w:tc>
          <w:tcPr>
            <w:tcW w:type="dxa" w:w="2031"/>
            <w:shd w:val="clear" w:color="auto" w:fill="EEF3F9"/>
          </w:tcPr>
          <w:p>
            <w:pPr>
              <w:pStyle w:val="Compact"/>
              <w:jc w:val="right"/>
            </w:pPr>
            <w:r>
              <w:rPr>
                <w:rFonts w:ascii="Arial" w:hAnsi="Arial"/>
                <w:sz w:val="18"/>
              </w:rPr>
              <w:t xml:space="preserve">rund 500</w:t>
            </w:r>
          </w:p>
        </w:tc>
        <w:tc>
          <w:tcPr>
            <w:tcW w:type="dxa" w:w="2031"/>
            <w:shd w:val="clear" w:color="auto" w:fill="EEF3F9"/>
          </w:tcPr>
          <w:p>
            <w:pPr>
              <w:pStyle w:val="Compact"/>
            </w:pPr>
          </w:p>
        </w:tc>
        <w:tc>
          <w:tcPr>
            <w:tcW w:type="dxa" w:w="4102"/>
            <w:shd w:val="clear" w:color="auto" w:fill="EEF3F9"/>
          </w:tcPr>
          <w:p>
            <w:pPr>
              <w:pStyle w:val="Compact"/>
              <w:jc w:val="left"/>
            </w:pPr>
            <w:r>
              <w:rPr>
                <w:rFonts w:ascii="Arial" w:hAnsi="Arial"/>
                <w:sz w:val="18"/>
              </w:rPr>
              <w:t xml:space="preserve">280 per Skript (Subagent)</w:t>
            </w:r>
          </w:p>
        </w:tc>
      </w:tr>
    </w:tbl>
    <w:p>
      <w:pPr>
        <w:pStyle w:val="BodyText"/>
      </w:pPr>
      <w:r>
        <w:rPr>
          <w:bCs/>
          <w:rFonts w:ascii="Arial" w:hAnsi="Arial"/>
          <w:b/>
        </w:rPr>
        <w:t xml:space="preserve">Prüfset</w:t>
      </w:r>
      <w:r>
        <w:rPr>
          <w:rFonts w:ascii="Arial" w:hAnsi="Arial"/>
        </w:rPr>
        <w:t xml:space="preserve"> </w:t>
      </w:r>
      <w:r>
        <w:rPr>
          <w:rFonts w:ascii="Arial" w:hAnsi="Arial"/>
        </w:rPr>
        <w:t xml:space="preserve">(PMID): Klusemann 2012 (22105056) · Rogers 2020 (32224945) · Gergüz 2023 (37660696) · García-Suárez 2022 (36360775) · Daveri 2022 (36355821) · Gavanda 2025 (40728831) · McNamara 2008 (18545193) · Wilson 2021 (30335712) · Yan 2024 (39121315) · Scoz 2022 (35252459) · Lippi 2026 (41324904) · Kalinowski 2021 (34201095) · Dauty 2021 (33269885) · Keemss 2022 (35769222) · Peña-González 2022 (35317073) · Anderson 2023 (38603107) · Ludwig 2022 (36278749) · Qu 2022 (35326890) · Behan 2024 (38288272) · Iuliano 2025 (39997229) · Fucarino 2024 (39600821) · Edouard 2021 (34769849) · Steffen 2013 (23559666) · Lindblom 2020 (33226542) · Zebis 2019 (31687405). Fußball sind Wilson, Yan, Scoz, Lippi, Kalinowski, Dauty, Keemss, Peña-González, Anderson, Ludwig, Qu, Steffen, Lindblom und Zebis.</w:t>
      </w:r>
    </w:p>
    <w:bookmarkEnd w:id="49"/>
    <w:bookmarkStart w:id="50" w:name="a.2-weitere-wege"/>
    <w:p>
      <w:pPr>
        <w:pStyle w:val="Heading3"/>
      </w:pPr>
      <w:r>
        <w:rPr>
          <w:rFonts w:ascii="Arial" w:hAnsi="Arial"/>
        </w:rPr>
        <w:t xml:space="preserve">A.2 Weitere Wege</w:t>
      </w:r>
    </w:p>
    <w:p>
      <w:pPr>
        <w:numPr>
          <w:ilvl w:val="0"/>
          <w:numId w:val="1006"/>
        </w:numPr>
        <w:pStyle w:val="Compact"/>
      </w:pPr>
      <w:r>
        <w:rPr>
          <w:bCs/>
          <w:rFonts w:ascii="Arial" w:hAnsi="Arial"/>
          <w:b/>
        </w:rPr>
        <w:t xml:space="preserve">OpenAlex:</w:t>
      </w:r>
      <w:r>
        <w:rPr>
          <w:rFonts w:ascii="Arial" w:hAnsi="Arial"/>
        </w:rPr>
        <w:t xml:space="preserve"> </w:t>
      </w:r>
      <w:r>
        <w:rPr>
          <w:rFonts w:ascii="Arial" w:hAnsi="Arial"/>
        </w:rPr>
        <w:t xml:space="preserve">Klusemann et al. (2012, W2033092178) 43 zitierende Arbeiten, überwiegend Übersichten zum Krafttraining im Nachwuchs und zum FMS. Einschlägig nur Wang et al. (2025). Rogers et al. (2020, W3013046579) 4 zitierende Arbeiten, keine Interventionsstudie.</w:t>
      </w:r>
    </w:p>
    <w:p>
      <w:pPr>
        <w:numPr>
          <w:ilvl w:val="0"/>
          <w:numId w:val="1006"/>
        </w:numPr>
        <w:pStyle w:val="Compact"/>
      </w:pPr>
      <w:r>
        <w:rPr>
          <w:bCs/>
          <w:rFonts w:ascii="Arial" w:hAnsi="Arial"/>
          <w:b/>
        </w:rPr>
        <w:t xml:space="preserve">Subagent Fußball:</w:t>
      </w:r>
      <w:r>
        <w:rPr>
          <w:rFonts w:ascii="Arial" w:hAnsi="Arial"/>
        </w:rPr>
        <w:t xml:space="preserve"> </w:t>
      </w:r>
      <w:r>
        <w:rPr>
          <w:rFonts w:ascii="Arial" w:hAnsi="Arial"/>
        </w:rPr>
        <w:t xml:space="preserve">32 PubMed-Abfragen, PubMed „Similar articles“ zu drei Studien, sieben DOAJ-Abfragen, 43 Websuchen in Englisch, Spanisch, Portugiesisch, Türkisch, Italienisch, Deutsch und Indonesisch, zwei Consensus-Fragen. Nicht nutzbar: Europe PMC und Crossref-Suche (HTTP 429), mehrere Verlagsseiten (402 und 403).</w:t>
      </w:r>
    </w:p>
    <w:p>
      <w:pPr>
        <w:numPr>
          <w:ilvl w:val="0"/>
          <w:numId w:val="1006"/>
        </w:numPr>
        <w:pStyle w:val="Compact"/>
      </w:pPr>
      <w:r>
        <w:rPr>
          <w:bCs/>
          <w:rFonts w:ascii="Arial" w:hAnsi="Arial"/>
          <w:b/>
        </w:rPr>
        <w:t xml:space="preserve">Subagent andere Sportarten:</w:t>
      </w:r>
      <w:r>
        <w:rPr>
          <w:rFonts w:ascii="Arial" w:hAnsi="Arial"/>
        </w:rPr>
        <w:t xml:space="preserve"> </w:t>
      </w:r>
      <w:r>
        <w:rPr>
          <w:rFonts w:ascii="Arial" w:hAnsi="Arial"/>
        </w:rPr>
        <w:t xml:space="preserve">87 protokollierte Abfragen, darunter rund 40 Websuchen in sieben Sprachen, PubMed „Similar articles“ zu Klusemann et al. (2012), zwei Consensus-Fragen. Nicht nutzbar: Europe PMC, OpenAlex-Zitationsfilter, Semantic Scholar, Springer und ResearchGate (HTTP 429), DOAJ-Artikelschnittstelle (502).</w:t>
      </w:r>
    </w:p>
    <w:bookmarkEnd w:id="50"/>
    <w:bookmarkEnd w:id="51"/>
    <w:bookmarkStart w:id="52" w:name="Xd76134959ac4a97ab1af630f7ff7ca6309b85cd"/>
    <w:p>
      <w:pPr>
        <w:pStyle w:val="Heading2"/>
      </w:pPr>
      <w:r>
        <w:rPr>
          <w:rFonts w:ascii="Arial" w:hAnsi="Arial"/>
        </w:rPr>
        <w:t xml:space="preserve">Anhang B Consensus (01.10.2026, je zehn Arbeiten)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173"/>
        <w:gridCol w:w="7608"/>
        <w:gridCol w:w="6016"/>
      </w:tblGrid>
      <w:tr>
        <w:trPr>
          <w:tblHeader w:val="true"/>
          <w:tblHeader w:val="true"/>
          <w:cantSplit w:val="true"/>
        </w:trPr>
        <w:tc>
          <w:tcPr>
            <w:tcW w:type="dxa" w:w="1173"/>
            <w:shd w:val="clear" w:color="auto" w:fill="D6E4F0"/>
          </w:tcPr>
          <w:p>
            <w:pPr>
              <w:pStyle w:val="Compact"/>
              <w:jc w:val="left"/>
            </w:pPr>
            <w:r>
              <w:rPr>
                <w:rFonts w:ascii="Arial" w:hAnsi="Arial"/>
                <w:b/>
                <w:sz w:val="18"/>
              </w:rPr>
              <w:t xml:space="preserve">Nr.</w:t>
            </w:r>
          </w:p>
        </w:tc>
        <w:tc>
          <w:tcPr>
            <w:tcW w:type="dxa" w:w="7608"/>
            <w:shd w:val="clear" w:color="auto" w:fill="D6E4F0"/>
          </w:tcPr>
          <w:p>
            <w:pPr>
              <w:pStyle w:val="Compact"/>
              <w:jc w:val="left"/>
            </w:pPr>
            <w:r>
              <w:rPr>
                <w:rFonts w:ascii="Arial" w:hAnsi="Arial"/>
                <w:b/>
                <w:sz w:val="18"/>
              </w:rPr>
              <w:t xml:space="preserve">Frage</w:t>
            </w:r>
          </w:p>
        </w:tc>
        <w:tc>
          <w:tcPr>
            <w:tcW w:type="dxa" w:w="6016"/>
            <w:shd w:val="clear" w:color="auto" w:fill="D6E4F0"/>
          </w:tcPr>
          <w:p>
            <w:pPr>
              <w:pStyle w:val="Compact"/>
              <w:jc w:val="left"/>
            </w:pPr>
            <w:r>
              <w:rPr>
                <w:rFonts w:ascii="Arial" w:hAnsi="Arial"/>
                <w:b/>
                <w:sz w:val="18"/>
              </w:rPr>
              <w:t xml:space="preserve">Ertrag</w:t>
            </w:r>
          </w:p>
        </w:tc>
      </w:tr>
      <w:tr>
        <w:trPr>
          <w:cantSplit w:val="true"/>
        </w:trPr>
        <w:tc>
          <w:tcPr>
            <w:tcW w:type="dxa" w:w="1173"/>
          </w:tcPr>
          <w:p>
            <w:pPr>
              <w:pStyle w:val="Compact"/>
              <w:jc w:val="left"/>
            </w:pPr>
            <w:r>
              <w:rPr>
                <w:rFonts w:ascii="Arial" w:hAnsi="Arial"/>
                <w:sz w:val="18"/>
              </w:rPr>
              <w:t xml:space="preserve">K21</w:t>
            </w:r>
          </w:p>
        </w:tc>
        <w:tc>
          <w:tcPr>
            <w:tcW w:type="dxa" w:w="7608"/>
          </w:tcPr>
          <w:p>
            <w:pPr>
              <w:pStyle w:val="Compact"/>
              <w:jc w:val="left"/>
            </w:pPr>
            <w:r>
              <w:rPr>
                <w:rFonts w:ascii="Arial" w:hAnsi="Arial"/>
                <w:sz w:val="18"/>
              </w:rPr>
              <w:t xml:space="preserve">online or video-delivered home training program in soccer or futsal players effects on sprint, jump, agility, strength or endurance compared with control or supervised training</w:t>
            </w:r>
          </w:p>
        </w:tc>
        <w:tc>
          <w:tcPr>
            <w:tcW w:type="dxa" w:w="6016"/>
          </w:tcPr>
          <w:p>
            <w:pPr>
              <w:pStyle w:val="Compact"/>
              <w:jc w:val="left"/>
            </w:pPr>
            <w:r>
              <w:rPr>
                <w:rFonts w:ascii="Arial" w:hAnsi="Arial"/>
                <w:sz w:val="18"/>
              </w:rPr>
              <w:t xml:space="preserve">nur betreutes Training und Übersichten, kein videovermitteltes Programm</w:t>
            </w:r>
          </w:p>
        </w:tc>
      </w:tr>
      <w:tr>
        <w:trPr>
          <w:cantSplit w:val="true"/>
        </w:trPr>
        <w:tc>
          <w:tcPr>
            <w:tcW w:type="dxa" w:w="1173"/>
            <w:shd w:val="clear" w:color="auto" w:fill="EEF3F9"/>
          </w:tcPr>
          <w:p>
            <w:pPr>
              <w:pStyle w:val="Compact"/>
              <w:jc w:val="left"/>
            </w:pPr>
            <w:r>
              <w:rPr>
                <w:rFonts w:ascii="Arial" w:hAnsi="Arial"/>
                <w:sz w:val="18"/>
              </w:rPr>
              <w:t xml:space="preserve">K22</w:t>
            </w:r>
          </w:p>
        </w:tc>
        <w:tc>
          <w:tcPr>
            <w:tcW w:type="dxa" w:w="7608"/>
            <w:shd w:val="clear" w:color="auto" w:fill="EEF3F9"/>
          </w:tcPr>
          <w:p>
            <w:pPr>
              <w:pStyle w:val="Compact"/>
              <w:jc w:val="left"/>
            </w:pPr>
            <w:r>
              <w:rPr>
                <w:rFonts w:ascii="Arial" w:hAnsi="Arial"/>
                <w:sz w:val="18"/>
              </w:rPr>
              <w:t xml:space="preserve">COVID-19 quarantine soccer players online training via video call or Zoom compared with unsupervised or no training: jump, sprint, strength outcomes</w:t>
            </w:r>
          </w:p>
        </w:tc>
        <w:tc>
          <w:tcPr>
            <w:tcW w:type="dxa" w:w="6016"/>
            <w:shd w:val="clear" w:color="auto" w:fill="EEF3F9"/>
          </w:tcPr>
          <w:p>
            <w:pPr>
              <w:pStyle w:val="Compact"/>
              <w:jc w:val="left"/>
            </w:pPr>
            <w:r>
              <w:rPr>
                <w:rFonts w:ascii="Arial" w:hAnsi="Arial"/>
                <w:sz w:val="18"/>
              </w:rPr>
              <w:t xml:space="preserve">Lockdown-Studien (Veeck, Pedersen, Grazioli, Rampinini, Parpa, Villaseca-Vicuña, Spyrou, Cohen, Peña-González), Scoz et al. (2022)</w:t>
            </w:r>
          </w:p>
        </w:tc>
      </w:tr>
      <w:tr>
        <w:trPr>
          <w:cantSplit w:val="true"/>
        </w:trPr>
        <w:tc>
          <w:tcPr>
            <w:tcW w:type="dxa" w:w="1173"/>
          </w:tcPr>
          <w:p>
            <w:pPr>
              <w:pStyle w:val="Compact"/>
              <w:jc w:val="left"/>
            </w:pPr>
            <w:r>
              <w:rPr>
                <w:rFonts w:ascii="Arial" w:hAnsi="Arial"/>
                <w:sz w:val="18"/>
              </w:rPr>
              <w:t xml:space="preserve">K23</w:t>
            </w:r>
          </w:p>
        </w:tc>
        <w:tc>
          <w:tcPr>
            <w:tcW w:type="dxa" w:w="7608"/>
          </w:tcPr>
          <w:p>
            <w:pPr>
              <w:pStyle w:val="Compact"/>
              <w:jc w:val="left"/>
            </w:pPr>
            <w:r>
              <w:rPr>
                <w:rFonts w:ascii="Arial" w:hAnsi="Arial"/>
                <w:sz w:val="18"/>
              </w:rPr>
              <w:t xml:space="preserve">effects of video-based or online delivered home training program on jump, sprint, agility or strength in athletes compared with supervised training or control group</w:t>
            </w:r>
          </w:p>
        </w:tc>
        <w:tc>
          <w:tcPr>
            <w:tcW w:type="dxa" w:w="6016"/>
          </w:tcPr>
          <w:p>
            <w:pPr>
              <w:pStyle w:val="Compact"/>
              <w:jc w:val="left"/>
            </w:pPr>
            <w:r>
              <w:rPr>
                <w:rFonts w:ascii="Arial" w:hAnsi="Arial"/>
                <w:sz w:val="18"/>
              </w:rPr>
              <w:t xml:space="preserve">Klusemann et al. (2012), Paludo et al. (2022), sonst Metaanalysen ohne Video</w:t>
            </w:r>
          </w:p>
        </w:tc>
      </w:tr>
      <w:tr>
        <w:trPr>
          <w:cantSplit w:val="true"/>
        </w:trPr>
        <w:tc>
          <w:tcPr>
            <w:tcW w:type="dxa" w:w="1173"/>
            <w:shd w:val="clear" w:color="auto" w:fill="EEF3F9"/>
          </w:tcPr>
          <w:p>
            <w:pPr>
              <w:pStyle w:val="Compact"/>
              <w:jc w:val="left"/>
            </w:pPr>
            <w:r>
              <w:rPr>
                <w:rFonts w:ascii="Arial" w:hAnsi="Arial"/>
                <w:sz w:val="18"/>
              </w:rPr>
              <w:t xml:space="preserve">K24</w:t>
            </w:r>
          </w:p>
        </w:tc>
        <w:tc>
          <w:tcPr>
            <w:tcW w:type="dxa" w:w="7608"/>
            <w:shd w:val="clear" w:color="auto" w:fill="EEF3F9"/>
          </w:tcPr>
          <w:p>
            <w:pPr>
              <w:pStyle w:val="Compact"/>
              <w:jc w:val="left"/>
            </w:pPr>
            <w:r>
              <w:rPr>
                <w:rFonts w:ascii="Arial" w:hAnsi="Arial"/>
                <w:sz w:val="18"/>
              </w:rPr>
              <w:t xml:space="preserve">online live-streamed or video-delivered exercise training versus in-person training in sport science students or recreational athletes: randomized controlled trial on jump, sprint, strength or fitness</w:t>
            </w:r>
          </w:p>
        </w:tc>
        <w:tc>
          <w:tcPr>
            <w:tcW w:type="dxa" w:w="6016"/>
            <w:shd w:val="clear" w:color="auto" w:fill="EEF3F9"/>
          </w:tcPr>
          <w:p>
            <w:pPr>
              <w:pStyle w:val="Compact"/>
              <w:jc w:val="left"/>
            </w:pPr>
            <w:r>
              <w:rPr>
                <w:rFonts w:ascii="Arial" w:hAnsi="Arial"/>
                <w:sz w:val="18"/>
              </w:rPr>
              <w:t xml:space="preserve">Gavanda et al. (2025), Daveri et al. (2022), Wilke et al. (2022), Kikuchi et al. (2021), Ge et al. (2024), Bhundoo et al. (2024), Kamran et al. (2025), Klusemann et al. (2012), zwei Übersichten zu Älteren</w:t>
            </w:r>
          </w:p>
        </w:tc>
      </w:tr>
      <w:tr>
        <w:trPr>
          <w:cantSplit w:val="true"/>
        </w:trPr>
        <w:tc>
          <w:tcPr>
            <w:tcW w:type="dxa" w:w="1173"/>
          </w:tcPr>
          <w:p>
            <w:pPr>
              <w:pStyle w:val="Compact"/>
              <w:jc w:val="left"/>
            </w:pPr>
            <w:r>
              <w:rPr>
                <w:rFonts w:ascii="Arial" w:hAnsi="Arial"/>
                <w:sz w:val="18"/>
              </w:rPr>
              <w:t xml:space="preserve">K25</w:t>
            </w:r>
          </w:p>
        </w:tc>
        <w:tc>
          <w:tcPr>
            <w:tcW w:type="dxa" w:w="7608"/>
          </w:tcPr>
          <w:p>
            <w:pPr>
              <w:pStyle w:val="Compact"/>
              <w:jc w:val="left"/>
            </w:pPr>
            <w:r>
              <w:rPr>
                <w:rFonts w:ascii="Arial" w:hAnsi="Arial"/>
                <w:sz w:val="18"/>
              </w:rPr>
              <w:t xml:space="preserve">Do video-based or online home training programs improve sprint, jump or change-of-direction performance in soccer or futsal players compared with a control group? (Gegenprüfung)</w:t>
            </w:r>
          </w:p>
        </w:tc>
        <w:tc>
          <w:tcPr>
            <w:tcW w:type="dxa" w:w="6016"/>
          </w:tcPr>
          <w:p>
            <w:pPr>
              <w:pStyle w:val="Compact"/>
              <w:jc w:val="left"/>
            </w:pPr>
            <w:r>
              <w:rPr>
                <w:rFonts w:ascii="Arial" w:hAnsi="Arial"/>
                <w:sz w:val="18"/>
              </w:rPr>
              <w:t xml:space="preserve">kein video- oder onlinevermitteltes Programm, nur betreutes Training und Übersichten</w:t>
            </w:r>
          </w:p>
        </w:tc>
      </w:tr>
    </w:tbl>
    <w:bookmarkEnd w:id="52"/>
    <w:bookmarkEnd w:id="53"/>
    <w:sectPr>
      <w:pgSz w:orient="landscape" w:w="16838" w:h="11906"/>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2026-10-01T16:34:02Z</dcterms:created>
  <dcterms:modified xsi:type="dcterms:W3CDTF">2026-10-01T16:34:02Z</dcterms:modified>
</cp:coreProperties>
</file>

<file path=docProps/custom.xml><?xml version="1.0" encoding="utf-8"?>
<Properties xmlns="http://schemas.openxmlformats.org/officeDocument/2006/custom-properties" xmlns:vt="http://schemas.openxmlformats.org/officeDocument/2006/docPropsVTypes"/>
</file>