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2880360" cy="640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hispafly-fu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4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700"/>
      </w:pPr>
    </w:p>
    <w:p>
      <w:pPr>
        <w:widowControl/>
        <w:jc w:val="center"/>
      </w:pPr>
      <w:r>
        <w:rPr>
          <w:rFonts w:ascii="Arial" w:hAnsi="Arial" w:eastAsia="Microsoft YaHei"/>
          <w:b/>
          <w:i w:val="0"/>
          <w:color w:val="C8102E"/>
          <w:sz w:val="24"/>
        </w:rPr>
        <w:t>HISPAFLY AOC</w:t>
      </w:r>
    </w:p>
    <w:p>
      <w:pPr>
        <w:widowControl/>
        <w:spacing w:after="200"/>
        <w:jc w:val="center"/>
      </w:pPr>
      <w:r>
        <w:rPr>
          <w:rFonts w:ascii="Arial" w:hAnsi="Arial" w:eastAsia="Microsoft YaHei"/>
          <w:b/>
          <w:i w:val="0"/>
          <w:color w:val="17212D"/>
          <w:sz w:val="52"/>
        </w:rPr>
        <w:t>NÓMINA 与航班经济规则</w:t>
      </w:r>
    </w:p>
    <w:p>
      <w:pPr>
        <w:widowControl/>
        <w:spacing w:after="480"/>
        <w:jc w:val="center"/>
      </w:pPr>
      <w:r>
        <w:rPr>
          <w:rFonts w:ascii="Arial" w:hAnsi="Arial" w:eastAsia="Microsoft YaHei"/>
          <w:b w:val="0"/>
          <w:i w:val="0"/>
          <w:color w:val="5F6B7A"/>
          <w:sz w:val="30"/>
        </w:rPr>
        <w:t>Convenio 技术附件草案</w:t>
      </w:r>
    </w:p>
    <w:p>
      <w:pPr>
        <w:spacing w:before="100" w:after="160"/>
        <w:ind w:left="216" w:right="216"/>
        <w:widowControl/>
        <w:shd w:fill="F2F4F7"/>
      </w:pPr>
      <w:r>
        <w:rPr>
          <w:rFonts w:ascii="Arial" w:hAnsi="Arial" w:eastAsia="Microsoft YaHei"/>
          <w:b/>
          <w:i w:val="0"/>
          <w:color w:val="C8102E"/>
          <w:sz w:val="20"/>
        </w:rPr>
        <w:t xml:space="preserve">文件性质  </w:t>
      </w:r>
      <w:r>
        <w:rPr>
          <w:rFonts w:ascii="Arial" w:hAnsi="Arial" w:eastAsia="Microsoft YaHei"/>
          <w:b w:val="0"/>
          <w:i w:val="0"/>
          <w:color w:val="263445"/>
          <w:sz w:val="20"/>
        </w:rPr>
        <w:t>本文件依据当前 HISPAFLY AOC 代码实现整理，用于内部审议及未来 Convenio 条款起草。正式生效前应由管理方与飞行员代表共同批准。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000"/>
        <w:gridCol w:w="7360"/>
      </w:tblGrid>
      <w:tr>
        <w:trPr>
          <w:tblHeader w:val="true"/>
          <w:cantSplit/>
        </w:trPr>
        <w:tc>
          <w:tcPr>
            <w:tcW w:type="dxa" w:w="20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212D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73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212D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0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9"/>
              </w:rPr>
              <w:t>版本</w:t>
            </w:r>
          </w:p>
        </w:tc>
        <w:tc>
          <w:tcPr>
            <w:tcW w:type="dxa" w:w="73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9"/>
              </w:rPr>
              <w:t>1.0 / Task 12 完成后基线</w:t>
            </w:r>
          </w:p>
        </w:tc>
      </w:tr>
      <w:tr>
        <w:trPr>
          <w:cantSplit/>
        </w:trPr>
        <w:tc>
          <w:tcPr>
            <w:tcW w:type="dxa" w:w="200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9"/>
              </w:rPr>
              <w:t>数据源</w:t>
            </w:r>
          </w:p>
        </w:tc>
        <w:tc>
          <w:tcPr>
            <w:tcW w:type="dxa" w:w="736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9"/>
              </w:rPr>
              <w:t>vAMSYS accepted PIREP（唯一飞行事实来源）</w:t>
            </w:r>
          </w:p>
        </w:tc>
      </w:tr>
      <w:tr>
        <w:trPr>
          <w:cantSplit/>
        </w:trPr>
        <w:tc>
          <w:tcPr>
            <w:tcW w:type="dxa" w:w="20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9"/>
              </w:rPr>
              <w:t>结算货币</w:t>
            </w:r>
          </w:p>
        </w:tc>
        <w:tc>
          <w:tcPr>
            <w:tcW w:type="dxa" w:w="73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9"/>
              </w:rPr>
              <w:t>EUR；系统内部以 euro cents 存储</w:t>
            </w:r>
          </w:p>
        </w:tc>
      </w:tr>
      <w:tr>
        <w:trPr>
          <w:cantSplit/>
        </w:trPr>
        <w:tc>
          <w:tcPr>
            <w:tcW w:type="dxa" w:w="200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9"/>
              </w:rPr>
              <w:t>适用范围</w:t>
            </w:r>
          </w:p>
        </w:tc>
        <w:tc>
          <w:tcPr>
            <w:tcW w:type="dxa" w:w="736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9"/>
              </w:rPr>
              <w:t>飞行员 Nómina、航班收入、公司支出、航班收益</w:t>
            </w:r>
          </w:p>
        </w:tc>
      </w:tr>
      <w:tr>
        <w:trPr>
          <w:cantSplit/>
        </w:trPr>
        <w:tc>
          <w:tcPr>
            <w:tcW w:type="dxa" w:w="20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9"/>
              </w:rPr>
              <w:t>规则优先级</w:t>
            </w:r>
          </w:p>
        </w:tc>
        <w:tc>
          <w:tcPr>
            <w:tcW w:type="dxa" w:w="73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9"/>
              </w:rPr>
              <w:t>数据库有效规则 &gt; 本文件默认规则；每次计算保留快照与明细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pStyle w:val="Heading1"/>
        <w:widowControl/>
      </w:pPr>
      <w:r>
        <w:t>1. 总则与计算原则</w:t>
      </w:r>
    </w:p>
    <w:p>
      <w:pPr>
        <w:widowControl/>
      </w:pPr>
      <w:r>
        <w:rPr>
          <w:rFonts w:ascii="Arial" w:hAnsi="Arial" w:eastAsia="Microsoft YaHei"/>
          <w:b w:val="0"/>
          <w:i w:val="0"/>
          <w:color w:val="111827"/>
          <w:sz w:val="21"/>
        </w:rPr>
        <w:t>HISPAFLY AOC 仅对状态为 accepted 的 vAMSYS PIREP 进行工资与经济核算。PEGASUS ACARS 负责提交飞行，vAMSYS 保存并确认 PIREP，AOC 不修改飞行事实。</w:t>
      </w:r>
    </w:p>
    <w:p>
      <w:pPr>
        <w:widowControl/>
      </w:pPr>
      <w:r>
        <w:rPr>
          <w:rFonts w:ascii="Arial" w:hAnsi="Arial" w:eastAsia="Microsoft YaHei"/>
          <w:b w:val="0"/>
          <w:i w:val="0"/>
          <w:color w:val="111827"/>
          <w:sz w:val="21"/>
        </w:rPr>
        <w:t>每个 vAMSYS PIREP ID 在本地唯一。PayrollRecord 对 pirepId 唯一，CompanyExpense 对“pirepId + expense type”唯一，WalletTransaction 对 payrollRecordId 唯一，因此重复同步或重新处理不会重复发薪或重复记账。</w:t>
      </w:r>
    </w:p>
    <w:p>
      <w:pPr>
        <w:spacing w:before="100" w:after="160"/>
        <w:ind w:left="216" w:right="216"/>
        <w:widowControl/>
        <w:shd w:fill="F2F4F7"/>
      </w:pPr>
      <w:r>
        <w:rPr>
          <w:rFonts w:ascii="Arial" w:hAnsi="Arial" w:eastAsia="Microsoft YaHei"/>
          <w:b/>
          <w:i w:val="0"/>
          <w:color w:val="C8102E"/>
          <w:sz w:val="20"/>
        </w:rPr>
        <w:t xml:space="preserve">核心原则  </w:t>
      </w:r>
      <w:r>
        <w:rPr>
          <w:rFonts w:ascii="Arial" w:hAnsi="Arial" w:eastAsia="Microsoft YaHei"/>
          <w:b w:val="0"/>
          <w:i w:val="0"/>
          <w:color w:val="263445"/>
          <w:sz w:val="20"/>
        </w:rPr>
        <w:t>逐航班计算、欧元记账、可追溯、幂等。周 Nómina 仅是 Pilot Portal 的汇总展示，不改变每个 accepted PIREP 独立生成工资的事实。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900"/>
        <w:gridCol w:w="3900"/>
        <w:gridCol w:w="3560"/>
      </w:tblGrid>
      <w:tr>
        <w:trPr>
          <w:tblHeader w:val="true"/>
          <w:cantSplit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212D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来源</w:t>
            </w:r>
          </w:p>
        </w:tc>
        <w:tc>
          <w:tcPr>
            <w:tcW w:type="dxa" w:w="3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212D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用于计算的字段</w:t>
            </w:r>
          </w:p>
        </w:tc>
        <w:tc>
          <w:tcPr>
            <w:tcW w:type="dxa" w:w="35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212D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vAMSYS PIREP detail</w:t>
            </w:r>
          </w:p>
        </w:tc>
        <w:tc>
          <w:tcPr>
            <w:tcW w:type="dxa" w:w="3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航班号、起降机场、机型、旅客、货物、燃油、距离、飞行/轮挡时间、着陆率、points、网络</w:t>
            </w:r>
          </w:p>
        </w:tc>
        <w:tc>
          <w:tcPr>
            <w:tcW w:type="dxa" w:w="35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飞行事实，不由 AOC 人工改写</w:t>
            </w:r>
          </w:p>
        </w:tc>
      </w:tr>
      <w:tr>
        <w:trPr>
          <w:cantSplit/>
        </w:trPr>
        <w:tc>
          <w:tcPr>
            <w:tcW w:type="dxa" w:w="190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FuelPrice</w:t>
            </w:r>
          </w:p>
        </w:tc>
        <w:tc>
          <w:tcPr>
            <w:tcW w:type="dxa" w:w="390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区域、€/kg、生效时间、来源</w:t>
            </w:r>
          </w:p>
        </w:tc>
        <w:tc>
          <w:tcPr>
            <w:tcW w:type="dxa" w:w="356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优先使用航班日期前最近价格；无历史价时使用当前最新价并保存快照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Airport/Airspace profiles</w:t>
            </w:r>
          </w:p>
        </w:tc>
        <w:tc>
          <w:tcPr>
            <w:tcW w:type="dxa" w:w="3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机场分类费率、特殊机场覆盖、空域 unit rate</w:t>
            </w:r>
          </w:p>
        </w:tc>
        <w:tc>
          <w:tcPr>
            <w:tcW w:type="dxa" w:w="35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Staff 可维护；重新处理时应用当前有效规则</w:t>
            </w:r>
          </w:p>
        </w:tc>
      </w:tr>
      <w:tr>
        <w:trPr>
          <w:cantSplit/>
        </w:trPr>
        <w:tc>
          <w:tcPr>
            <w:tcW w:type="dxa" w:w="190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PayrollRule</w:t>
            </w:r>
          </w:p>
        </w:tc>
        <w:tc>
          <w:tcPr>
            <w:tcW w:type="dxa" w:w="390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机型小时费率、奖励、处罚</w:t>
            </w:r>
          </w:p>
        </w:tc>
        <w:tc>
          <w:tcPr>
            <w:tcW w:type="dxa" w:w="356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计算时引用有效版本并保存 calculationDetails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2. Nómina（飞行员工资）</w:t>
      </w:r>
    </w:p>
    <w:p>
      <w:pPr>
        <w:pStyle w:val="Heading2"/>
        <w:widowControl/>
      </w:pPr>
      <w:r>
        <w:t>2.1 适用条件</w:t>
      </w:r>
    </w:p>
    <w:p>
      <w:pPr>
        <w:widowControl/>
      </w:pPr>
      <w:r>
        <w:rPr>
          <w:rFonts w:ascii="Arial" w:hAnsi="Arial" w:eastAsia="Microsoft YaHei"/>
          <w:b w:val="0"/>
          <w:i w:val="0"/>
          <w:color w:val="111827"/>
          <w:sz w:val="21"/>
        </w:rPr>
        <w:t>只有 accepted PIREP 可生成 Nómina。计算必须具备 aircraftType、flightTimeMinutes、network、landingRate、score 和 flownAt。缺少必要字段时不生成工资，并保留错误供管理员审计。</w:t>
      </w:r>
    </w:p>
    <w:p>
      <w:pPr>
        <w:pStyle w:val="Heading2"/>
        <w:widowControl/>
      </w:pPr>
      <w:r>
        <w:t>2.2 基础工资</w:t>
      </w:r>
    </w:p>
    <w:p>
      <w:pPr>
        <w:pStyle w:val="Formula"/>
        <w:keepLines/>
        <w:widowControl/>
        <w:shd w:fill="FFF7E0"/>
      </w:pPr>
      <w:r>
        <w:rPr>
          <w:rFonts w:ascii="Arial" w:hAnsi="Arial" w:eastAsia="Microsoft YaHei"/>
          <w:b/>
          <w:i w:val="0"/>
          <w:color w:val="17212D"/>
          <w:sz w:val="20"/>
        </w:rPr>
        <w:t>基础工资 (€) = flightTimeMinutes ÷ 60 × 机型小时费率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650"/>
        <w:gridCol w:w="1300"/>
        <w:gridCol w:w="6410"/>
      </w:tblGrid>
      <w:tr>
        <w:trPr>
          <w:tblHeader w:val="true"/>
          <w:cantSplit/>
        </w:trPr>
        <w:tc>
          <w:tcPr>
            <w:tcW w:type="dxa" w:w="16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212D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计费组</w:t>
            </w:r>
          </w:p>
        </w:tc>
        <w:tc>
          <w:tcPr>
            <w:tcW w:type="dxa" w:w="1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212D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小时费率</w:t>
            </w:r>
          </w:p>
        </w:tc>
        <w:tc>
          <w:tcPr>
            <w:tcW w:type="dxa" w:w="641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212D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当前映射机型</w:t>
            </w:r>
          </w:p>
        </w:tc>
      </w:tr>
      <w:tr>
        <w:trPr>
          <w:cantSplit/>
        </w:trPr>
        <w:tc>
          <w:tcPr>
            <w:tcW w:type="dxa" w:w="16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A320 组</w:t>
            </w:r>
          </w:p>
        </w:tc>
        <w:tc>
          <w:tcPr>
            <w:tcW w:type="dxa" w:w="1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€80/h</w:t>
            </w:r>
          </w:p>
        </w:tc>
        <w:tc>
          <w:tcPr>
            <w:tcW w:type="dxa" w:w="641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A320, A20N, B737/B738/B38M, AT72/AT75/AT76/ATR72, CRJ2/7/9/X</w:t>
            </w:r>
          </w:p>
        </w:tc>
      </w:tr>
      <w:tr>
        <w:trPr>
          <w:cantSplit/>
        </w:trPr>
        <w:tc>
          <w:tcPr>
            <w:tcW w:type="dxa" w:w="165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A321 组</w:t>
            </w:r>
          </w:p>
        </w:tc>
        <w:tc>
          <w:tcPr>
            <w:tcW w:type="dxa" w:w="130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€85/h</w:t>
            </w:r>
          </w:p>
        </w:tc>
        <w:tc>
          <w:tcPr>
            <w:tcW w:type="dxa" w:w="641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A321, A21N</w:t>
            </w:r>
          </w:p>
        </w:tc>
      </w:tr>
      <w:tr>
        <w:trPr>
          <w:cantSplit/>
        </w:trPr>
        <w:tc>
          <w:tcPr>
            <w:tcW w:type="dxa" w:w="16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B772 组</w:t>
            </w:r>
          </w:p>
        </w:tc>
        <w:tc>
          <w:tcPr>
            <w:tcW w:type="dxa" w:w="1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€120/h</w:t>
            </w:r>
          </w:p>
        </w:tc>
        <w:tc>
          <w:tcPr>
            <w:tcW w:type="dxa" w:w="641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B772, B77W, B773, B77L</w:t>
            </w:r>
          </w:p>
        </w:tc>
      </w:tr>
      <w:tr>
        <w:trPr>
          <w:cantSplit/>
        </w:trPr>
        <w:tc>
          <w:tcPr>
            <w:tcW w:type="dxa" w:w="165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A359 组</w:t>
            </w:r>
          </w:p>
        </w:tc>
        <w:tc>
          <w:tcPr>
            <w:tcW w:type="dxa" w:w="130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€130/h</w:t>
            </w:r>
          </w:p>
        </w:tc>
        <w:tc>
          <w:tcPr>
            <w:tcW w:type="dxa" w:w="641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A359, A35K</w:t>
            </w:r>
          </w:p>
        </w:tc>
      </w:tr>
      <w:tr>
        <w:trPr>
          <w:cantSplit/>
        </w:trPr>
        <w:tc>
          <w:tcPr>
            <w:tcW w:type="dxa" w:w="16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A388 组</w:t>
            </w:r>
          </w:p>
        </w:tc>
        <w:tc>
          <w:tcPr>
            <w:tcW w:type="dxa" w:w="1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€150/h</w:t>
            </w:r>
          </w:p>
        </w:tc>
        <w:tc>
          <w:tcPr>
            <w:tcW w:type="dxa" w:w="641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A388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2.3 奖励与处罚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900"/>
        <w:gridCol w:w="4200"/>
        <w:gridCol w:w="3260"/>
      </w:tblGrid>
      <w:tr>
        <w:trPr>
          <w:tblHeader w:val="true"/>
          <w:cantSplit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212D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42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212D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触发条件</w:t>
            </w:r>
          </w:p>
        </w:tc>
        <w:tc>
          <w:tcPr>
            <w:tcW w:type="dxa" w:w="32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212D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金额/算法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在线网络奖励</w:t>
            </w:r>
          </w:p>
        </w:tc>
        <w:tc>
          <w:tcPr>
            <w:tcW w:type="dxa" w:w="42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network 为 VATSIM 或 IVAO</w:t>
            </w:r>
          </w:p>
        </w:tc>
        <w:tc>
          <w:tcPr>
            <w:tcW w:type="dxa" w:w="32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基础工资 × 10%</w:t>
            </w:r>
          </w:p>
        </w:tc>
      </w:tr>
      <w:tr>
        <w:trPr>
          <w:cantSplit/>
        </w:trPr>
        <w:tc>
          <w:tcPr>
            <w:tcW w:type="dxa" w:w="190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着陆奖励</w:t>
            </w:r>
          </w:p>
        </w:tc>
        <w:tc>
          <w:tcPr>
            <w:tcW w:type="dxa" w:w="420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landing rate 在 -300 至 -50 fpm（含边界）</w:t>
            </w:r>
          </w:p>
        </w:tc>
        <w:tc>
          <w:tcPr>
            <w:tcW w:type="dxa" w:w="326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+€100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评分奖励</w:t>
            </w:r>
          </w:p>
        </w:tc>
        <w:tc>
          <w:tcPr>
            <w:tcW w:type="dxa" w:w="42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score ≥ 95</w:t>
            </w:r>
          </w:p>
        </w:tc>
        <w:tc>
          <w:tcPr>
            <w:tcW w:type="dxa" w:w="32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+€150</w:t>
            </w:r>
          </w:p>
        </w:tc>
      </w:tr>
      <w:tr>
        <w:trPr>
          <w:cantSplit/>
        </w:trPr>
        <w:tc>
          <w:tcPr>
            <w:tcW w:type="dxa" w:w="190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重着陆处罚</w:t>
            </w:r>
          </w:p>
        </w:tc>
        <w:tc>
          <w:tcPr>
            <w:tcW w:type="dxa" w:w="420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landing rate &lt; -600 fpm</w:t>
            </w:r>
          </w:p>
        </w:tc>
        <w:tc>
          <w:tcPr>
            <w:tcW w:type="dxa" w:w="326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-€200</w:t>
            </w:r>
          </w:p>
        </w:tc>
      </w:tr>
      <w:tr>
        <w:trPr>
          <w:cantSplit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低评分处罚</w:t>
            </w:r>
          </w:p>
        </w:tc>
        <w:tc>
          <w:tcPr>
            <w:tcW w:type="dxa" w:w="42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score &lt; 70</w:t>
            </w:r>
          </w:p>
        </w:tc>
        <w:tc>
          <w:tcPr>
            <w:tcW w:type="dxa" w:w="32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-€150</w:t>
            </w:r>
          </w:p>
        </w:tc>
      </w:tr>
    </w:tbl>
    <w:p>
      <w:pPr>
        <w:widowControl/>
        <w:spacing w:after="20"/>
      </w:pPr>
    </w:p>
    <w:p>
      <w:pPr>
        <w:pStyle w:val="Formula"/>
        <w:keepLines/>
        <w:widowControl/>
        <w:shd w:fill="FFF7E0"/>
      </w:pPr>
      <w:r>
        <w:rPr>
          <w:rFonts w:ascii="Arial" w:hAnsi="Arial" w:eastAsia="Microsoft YaHei"/>
          <w:b/>
          <w:i w:val="0"/>
          <w:color w:val="17212D"/>
          <w:sz w:val="20"/>
        </w:rPr>
        <w:t>最终 Nómina = max(0, 基础工资 + 网络奖励 + 着陆奖励 + 评分奖励 - 重着陆处罚 - 低评分处罚)</w:t>
      </w:r>
    </w:p>
    <w:p>
      <w:pPr>
        <w:widowControl/>
      </w:pPr>
      <w:r>
        <w:rPr>
          <w:rFonts w:ascii="Arial" w:hAnsi="Arial" w:eastAsia="Microsoft YaHei"/>
          <w:b w:val="0"/>
          <w:i w:val="0"/>
          <w:color w:val="111827"/>
          <w:sz w:val="21"/>
        </w:rPr>
        <w:t>所有金额先按两位小数四舍五入，再转换为 euro cents 存储。生成 PayrollRecord 后，系统创建同额 WalletTransaction，并增加飞行员钱包余额。</w:t>
      </w:r>
    </w:p>
    <w:p>
      <w:pPr>
        <w:pStyle w:val="Heading2"/>
        <w:widowControl/>
      </w:pPr>
      <w:r>
        <w:t>2.4 示例：A320 / 54 分钟 / VATSIM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800"/>
        <w:gridCol w:w="5000"/>
        <w:gridCol w:w="2560"/>
      </w:tblGrid>
      <w:tr>
        <w:trPr>
          <w:tblHeader w:val="true"/>
          <w:cantSplit/>
        </w:trPr>
        <w:tc>
          <w:tcPr>
            <w:tcW w:type="dxa" w:w="18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212D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步骤</w:t>
            </w:r>
          </w:p>
        </w:tc>
        <w:tc>
          <w:tcPr>
            <w:tcW w:type="dxa" w:w="50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212D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计算</w:t>
            </w:r>
          </w:p>
        </w:tc>
        <w:tc>
          <w:tcPr>
            <w:tcW w:type="dxa" w:w="25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212D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基础工资</w:t>
            </w:r>
          </w:p>
        </w:tc>
        <w:tc>
          <w:tcPr>
            <w:tcW w:type="dxa" w:w="50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0.90 h × €80</w:t>
            </w:r>
          </w:p>
        </w:tc>
        <w:tc>
          <w:tcPr>
            <w:tcW w:type="dxa" w:w="25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€72.00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网络奖励</w:t>
            </w:r>
          </w:p>
        </w:tc>
        <w:tc>
          <w:tcPr>
            <w:tcW w:type="dxa" w:w="500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€72.00 × 10%</w:t>
            </w:r>
          </w:p>
        </w:tc>
        <w:tc>
          <w:tcPr>
            <w:tcW w:type="dxa" w:w="256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+€7.20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着陆奖励</w:t>
            </w:r>
          </w:p>
        </w:tc>
        <w:tc>
          <w:tcPr>
            <w:tcW w:type="dxa" w:w="50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-307 fpm 不在 -300 至 -50 区间</w:t>
            </w:r>
          </w:p>
        </w:tc>
        <w:tc>
          <w:tcPr>
            <w:tcW w:type="dxa" w:w="25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€0.00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评分奖励</w:t>
            </w:r>
          </w:p>
        </w:tc>
        <w:tc>
          <w:tcPr>
            <w:tcW w:type="dxa" w:w="500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score 295 ≥ 95</w:t>
            </w:r>
          </w:p>
        </w:tc>
        <w:tc>
          <w:tcPr>
            <w:tcW w:type="dxa" w:w="256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+€150.00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最终工资</w:t>
            </w:r>
          </w:p>
        </w:tc>
        <w:tc>
          <w:tcPr>
            <w:tcW w:type="dxa" w:w="50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72 + 7.20 + 150</w:t>
            </w:r>
          </w:p>
        </w:tc>
        <w:tc>
          <w:tcPr>
            <w:tcW w:type="dxa" w:w="25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€229.20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3. 航班收入</w:t>
      </w:r>
    </w:p>
    <w:p>
      <w:pPr>
        <w:pStyle w:val="Heading2"/>
        <w:widowControl/>
      </w:pPr>
      <w:r>
        <w:t>3.1 旅客收入</w:t>
      </w:r>
    </w:p>
    <w:p>
      <w:pPr>
        <w:pStyle w:val="Formula"/>
        <w:keepLines/>
        <w:widowControl/>
        <w:shd w:fill="FFF7E0"/>
      </w:pPr>
      <w:r>
        <w:rPr>
          <w:rFonts w:ascii="Arial" w:hAnsi="Arial" w:eastAsia="Microsoft YaHei"/>
          <w:b/>
          <w:i w:val="0"/>
          <w:color w:val="17212D"/>
          <w:sz w:val="20"/>
        </w:rPr>
        <w:t>旅客收入 (€) = passengers × €80 × 距离系数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212D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航程距离</w:t>
            </w:r>
          </w:p>
        </w:tc>
        <w:tc>
          <w:tcPr>
            <w:tcW w:type="dxa" w:w="468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212D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距离系数</w:t>
            </w:r>
          </w:p>
        </w:tc>
      </w:tr>
      <w:tr>
        <w:trPr>
          <w:cantSplit/>
        </w:trPr>
        <w:tc>
          <w:tcPr>
            <w:tcW w:type="dxa" w:w="468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0–300 NM</w:t>
            </w:r>
          </w:p>
        </w:tc>
        <w:tc>
          <w:tcPr>
            <w:tcW w:type="dxa" w:w="468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0.75</w:t>
            </w:r>
          </w:p>
        </w:tc>
      </w:tr>
      <w:tr>
        <w:trPr>
          <w:cantSplit/>
        </w:trPr>
        <w:tc>
          <w:tcPr>
            <w:tcW w:type="dxa" w:w="468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301–800 NM</w:t>
            </w:r>
          </w:p>
        </w:tc>
        <w:tc>
          <w:tcPr>
            <w:tcW w:type="dxa" w:w="468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1.00</w:t>
            </w:r>
          </w:p>
        </w:tc>
      </w:tr>
      <w:tr>
        <w:trPr>
          <w:cantSplit/>
        </w:trPr>
        <w:tc>
          <w:tcPr>
            <w:tcW w:type="dxa" w:w="468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801–1,500 NM</w:t>
            </w:r>
          </w:p>
        </w:tc>
        <w:tc>
          <w:tcPr>
            <w:tcW w:type="dxa" w:w="468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1.30</w:t>
            </w:r>
          </w:p>
        </w:tc>
      </w:tr>
      <w:tr>
        <w:trPr>
          <w:cantSplit/>
        </w:trPr>
        <w:tc>
          <w:tcPr>
            <w:tcW w:type="dxa" w:w="468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1,501–3,000 NM</w:t>
            </w:r>
          </w:p>
        </w:tc>
        <w:tc>
          <w:tcPr>
            <w:tcW w:type="dxa" w:w="468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1.80</w:t>
            </w:r>
          </w:p>
        </w:tc>
      </w:tr>
      <w:tr>
        <w:trPr>
          <w:cantSplit/>
        </w:trPr>
        <w:tc>
          <w:tcPr>
            <w:tcW w:type="dxa" w:w="468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3,001–5,000 NM</w:t>
            </w:r>
          </w:p>
        </w:tc>
        <w:tc>
          <w:tcPr>
            <w:tcW w:type="dxa" w:w="468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2.40</w:t>
            </w:r>
          </w:p>
        </w:tc>
      </w:tr>
      <w:tr>
        <w:trPr>
          <w:cantSplit/>
        </w:trPr>
        <w:tc>
          <w:tcPr>
            <w:tcW w:type="dxa" w:w="468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&gt; 5,000 NM</w:t>
            </w:r>
          </w:p>
        </w:tc>
        <w:tc>
          <w:tcPr>
            <w:tcW w:type="dxa" w:w="468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3.00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Arial" w:hAnsi="Arial" w:eastAsia="Microsoft YaHei"/>
          <w:b w:val="0"/>
          <w:i w:val="0"/>
          <w:color w:val="111827"/>
          <w:sz w:val="21"/>
        </w:rPr>
        <w:t>目前公司收入仅包含 passengerRevenueCents。Cargo revenue 尚未实施，未来增加时应作为独立收入类型，不得与 Cargo handling 支出混淆。</w:t>
      </w:r>
    </w:p>
    <w:p>
      <w:pPr>
        <w:pStyle w:val="Heading1"/>
        <w:widowControl/>
      </w:pPr>
      <w:r>
        <w:t>4. 航班支出</w:t>
      </w:r>
    </w:p>
    <w:p>
      <w:pPr>
        <w:pStyle w:val="Heading2"/>
        <w:widowControl/>
      </w:pPr>
      <w:r>
        <w:t>4.1 燃油成本</w:t>
      </w:r>
    </w:p>
    <w:p>
      <w:pPr>
        <w:pStyle w:val="Formula"/>
        <w:keepLines/>
        <w:widowControl/>
        <w:shd w:fill="FFF7E0"/>
      </w:pPr>
      <w:r>
        <w:rPr>
          <w:rFonts w:ascii="Arial" w:hAnsi="Arial" w:eastAsia="Microsoft YaHei"/>
          <w:b/>
          <w:i w:val="0"/>
          <w:color w:val="17212D"/>
          <w:sz w:val="20"/>
        </w:rPr>
        <w:t>燃油成本 (€) = fuelUsedKg × FuelPrice(€/kg)</w:t>
      </w:r>
    </w:p>
    <w:p>
      <w:pPr>
        <w:widowControl/>
      </w:pPr>
      <w:r>
        <w:rPr>
          <w:rFonts w:ascii="Arial" w:hAnsi="Arial" w:eastAsia="Microsoft YaHei"/>
          <w:b w:val="0"/>
          <w:i w:val="0"/>
          <w:color w:val="111827"/>
          <w:sz w:val="21"/>
        </w:rPr>
        <w:t>区域由起飞机场 ICAO 首字母判定：E/L/U 为 EUROPE，K/C/P 为 NORTH_AMERICA，O 为 MIDDLE_EAST，R/V/W/Y/Z 为 ASIA，其余为 GLOBAL。价格优先使用航班日期前最近的区域价格，其次 GLOBAL；历史航班没有早期价格时使用当前最新区域/GLOBAL 价格。计算结果与价格来源保存为快照，后续修改油价不会自动改变历史记录。</w:t>
      </w:r>
    </w:p>
    <w:p>
      <w:pPr>
        <w:pStyle w:val="Heading2"/>
        <w:widowControl/>
      </w:pPr>
      <w:r>
        <w:t>4.2 机场费用</w:t>
      </w:r>
    </w:p>
    <w:p>
      <w:pPr>
        <w:pStyle w:val="Formula"/>
        <w:keepLines/>
        <w:widowControl/>
        <w:shd w:fill="FFF7E0"/>
      </w:pPr>
      <w:r>
        <w:rPr>
          <w:rFonts w:ascii="Arial" w:hAnsi="Arial" w:eastAsia="Microsoft YaHei"/>
          <w:b/>
          <w:i w:val="0"/>
          <w:color w:val="17212D"/>
          <w:sz w:val="20"/>
        </w:rPr>
        <w:t>着陆费 = MTOW(吨) × landingRatePerTonne</w:t>
      </w:r>
    </w:p>
    <w:p>
      <w:pPr>
        <w:pStyle w:val="Formula"/>
        <w:keepLines/>
        <w:widowControl/>
        <w:shd w:fill="FFF7E0"/>
      </w:pPr>
      <w:r>
        <w:rPr>
          <w:rFonts w:ascii="Arial" w:hAnsi="Arial" w:eastAsia="Microsoft YaHei"/>
          <w:b/>
          <w:i w:val="0"/>
          <w:color w:val="17212D"/>
          <w:sz w:val="20"/>
        </w:rPr>
        <w:t>旅客费 = passengers × passengerFee；机场服务费 = passengers × passengerServiceFee</w:t>
      </w:r>
    </w:p>
    <w:p>
      <w:pPr>
        <w:pStyle w:val="Formula"/>
        <w:keepLines/>
        <w:widowControl/>
        <w:shd w:fill="FFF7E0"/>
      </w:pPr>
      <w:r>
        <w:rPr>
          <w:rFonts w:ascii="Arial" w:hAnsi="Arial" w:eastAsia="Microsoft YaHei"/>
          <w:b/>
          <w:i w:val="0"/>
          <w:color w:val="17212D"/>
          <w:sz w:val="20"/>
        </w:rPr>
        <w:t>停车费 = max(0, (blockTimeMinutes - flightTimeMinutes) ÷ 60) × parkingRatePerHour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660"/>
        <w:gridCol w:w="1400"/>
        <w:gridCol w:w="1500"/>
        <w:gridCol w:w="1500"/>
        <w:gridCol w:w="1500"/>
        <w:gridCol w:w="1800"/>
      </w:tblGrid>
      <w:tr>
        <w:trPr>
          <w:tblHeader w:val="true"/>
          <w:cantSplit/>
        </w:trPr>
        <w:tc>
          <w:tcPr>
            <w:tcW w:type="dxa" w:w="16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212D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机场类别</w:t>
            </w:r>
          </w:p>
        </w:tc>
        <w:tc>
          <w:tcPr>
            <w:tcW w:type="dxa" w:w="14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212D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着陆 €/t</w:t>
            </w:r>
          </w:p>
        </w:tc>
        <w:tc>
          <w:tcPr>
            <w:tcW w:type="dxa" w:w="1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212D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旅客 €/人</w:t>
            </w:r>
          </w:p>
        </w:tc>
        <w:tc>
          <w:tcPr>
            <w:tcW w:type="dxa" w:w="1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212D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服务 €/人</w:t>
            </w:r>
          </w:p>
        </w:tc>
        <w:tc>
          <w:tcPr>
            <w:tcW w:type="dxa" w:w="1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212D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停车 €/h</w:t>
            </w:r>
          </w:p>
        </w:tc>
        <w:tc>
          <w:tcPr>
            <w:tcW w:type="dxa" w:w="18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212D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Terminal ATC</w:t>
            </w:r>
          </w:p>
        </w:tc>
      </w:tr>
      <w:tr>
        <w:trPr>
          <w:cantSplit/>
        </w:trPr>
        <w:tc>
          <w:tcPr>
            <w:tcW w:type="dxa" w:w="16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mega_hub</w:t>
            </w:r>
          </w:p>
        </w:tc>
        <w:tc>
          <w:tcPr>
            <w:tcW w:type="dxa" w:w="14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9.50</w:t>
            </w:r>
          </w:p>
        </w:tc>
        <w:tc>
          <w:tcPr>
            <w:tcW w:type="dxa" w:w="1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14.00</w:t>
            </w:r>
          </w:p>
        </w:tc>
        <w:tc>
          <w:tcPr>
            <w:tcW w:type="dxa" w:w="1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7.50</w:t>
            </w:r>
          </w:p>
        </w:tc>
        <w:tc>
          <w:tcPr>
            <w:tcW w:type="dxa" w:w="1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30.00</w:t>
            </w:r>
          </w:p>
        </w:tc>
        <w:tc>
          <w:tcPr>
            <w:tcW w:type="dxa" w:w="18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11.00</w:t>
            </w:r>
          </w:p>
        </w:tc>
      </w:tr>
      <w:tr>
        <w:trPr>
          <w:cantSplit/>
        </w:trPr>
        <w:tc>
          <w:tcPr>
            <w:tcW w:type="dxa" w:w="166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major</w:t>
            </w:r>
          </w:p>
        </w:tc>
        <w:tc>
          <w:tcPr>
            <w:tcW w:type="dxa" w:w="140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8.50</w:t>
            </w:r>
          </w:p>
        </w:tc>
        <w:tc>
          <w:tcPr>
            <w:tcW w:type="dxa" w:w="150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12.00</w:t>
            </w:r>
          </w:p>
        </w:tc>
        <w:tc>
          <w:tcPr>
            <w:tcW w:type="dxa" w:w="150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6.50</w:t>
            </w:r>
          </w:p>
        </w:tc>
        <w:tc>
          <w:tcPr>
            <w:tcW w:type="dxa" w:w="150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25.00</w:t>
            </w:r>
          </w:p>
        </w:tc>
        <w:tc>
          <w:tcPr>
            <w:tcW w:type="dxa" w:w="180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9.00</w:t>
            </w:r>
          </w:p>
        </w:tc>
      </w:tr>
      <w:tr>
        <w:trPr>
          <w:cantSplit/>
        </w:trPr>
        <w:tc>
          <w:tcPr>
            <w:tcW w:type="dxa" w:w="16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medium</w:t>
            </w:r>
          </w:p>
        </w:tc>
        <w:tc>
          <w:tcPr>
            <w:tcW w:type="dxa" w:w="14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6.50</w:t>
            </w:r>
          </w:p>
        </w:tc>
        <w:tc>
          <w:tcPr>
            <w:tcW w:type="dxa" w:w="1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8.50</w:t>
            </w:r>
          </w:p>
        </w:tc>
        <w:tc>
          <w:tcPr>
            <w:tcW w:type="dxa" w:w="1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4.50</w:t>
            </w:r>
          </w:p>
        </w:tc>
        <w:tc>
          <w:tcPr>
            <w:tcW w:type="dxa" w:w="1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18.00</w:t>
            </w:r>
          </w:p>
        </w:tc>
        <w:tc>
          <w:tcPr>
            <w:tcW w:type="dxa" w:w="18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6.50</w:t>
            </w:r>
          </w:p>
        </w:tc>
      </w:tr>
      <w:tr>
        <w:trPr>
          <w:cantSplit/>
        </w:trPr>
        <w:tc>
          <w:tcPr>
            <w:tcW w:type="dxa" w:w="166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small</w:t>
            </w:r>
          </w:p>
        </w:tc>
        <w:tc>
          <w:tcPr>
            <w:tcW w:type="dxa" w:w="140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4.50</w:t>
            </w:r>
          </w:p>
        </w:tc>
        <w:tc>
          <w:tcPr>
            <w:tcW w:type="dxa" w:w="150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5.50</w:t>
            </w:r>
          </w:p>
        </w:tc>
        <w:tc>
          <w:tcPr>
            <w:tcW w:type="dxa" w:w="150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3.00</w:t>
            </w:r>
          </w:p>
        </w:tc>
        <w:tc>
          <w:tcPr>
            <w:tcW w:type="dxa" w:w="150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12.00</w:t>
            </w:r>
          </w:p>
        </w:tc>
        <w:tc>
          <w:tcPr>
            <w:tcW w:type="dxa" w:w="180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4.00</w:t>
            </w:r>
          </w:p>
        </w:tc>
      </w:tr>
      <w:tr>
        <w:trPr>
          <w:cantSplit/>
        </w:trPr>
        <w:tc>
          <w:tcPr>
            <w:tcW w:type="dxa" w:w="16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regional</w:t>
            </w:r>
          </w:p>
        </w:tc>
        <w:tc>
          <w:tcPr>
            <w:tcW w:type="dxa" w:w="14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5.00</w:t>
            </w:r>
          </w:p>
        </w:tc>
        <w:tc>
          <w:tcPr>
            <w:tcW w:type="dxa" w:w="1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6.50</w:t>
            </w:r>
          </w:p>
        </w:tc>
        <w:tc>
          <w:tcPr>
            <w:tcW w:type="dxa" w:w="1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3.50</w:t>
            </w:r>
          </w:p>
        </w:tc>
        <w:tc>
          <w:tcPr>
            <w:tcW w:type="dxa" w:w="1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14.00</w:t>
            </w:r>
          </w:p>
        </w:tc>
        <w:tc>
          <w:tcPr>
            <w:tcW w:type="dxa" w:w="18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4.50</w:t>
            </w:r>
          </w:p>
        </w:tc>
      </w:tr>
      <w:tr>
        <w:trPr>
          <w:cantSplit/>
        </w:trPr>
        <w:tc>
          <w:tcPr>
            <w:tcW w:type="dxa" w:w="166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standard</w:t>
            </w:r>
          </w:p>
        </w:tc>
        <w:tc>
          <w:tcPr>
            <w:tcW w:type="dxa" w:w="140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6.50</w:t>
            </w:r>
          </w:p>
        </w:tc>
        <w:tc>
          <w:tcPr>
            <w:tcW w:type="dxa" w:w="150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8.50</w:t>
            </w:r>
          </w:p>
        </w:tc>
        <w:tc>
          <w:tcPr>
            <w:tcW w:type="dxa" w:w="150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4.50</w:t>
            </w:r>
          </w:p>
        </w:tc>
        <w:tc>
          <w:tcPr>
            <w:tcW w:type="dxa" w:w="150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18.00</w:t>
            </w:r>
          </w:p>
        </w:tc>
        <w:tc>
          <w:tcPr>
            <w:tcW w:type="dxa" w:w="180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7"/>
              </w:rPr>
              <w:t>6.50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Arial" w:hAnsi="Arial" w:eastAsia="Microsoft YaHei"/>
          <w:b w:val="0"/>
          <w:i w:val="0"/>
          <w:color w:val="111827"/>
          <w:sz w:val="21"/>
        </w:rPr>
        <w:t>机场特殊覆盖 AirportChargeProfile 优先于分类规则。没有特殊覆盖时，系统按预设 ICAO 分类；未知机场再按历史使用次数分类：≥250 mega_hub、≥100 major、≥25 medium、≥5 small，否则 standard。</w:t>
      </w:r>
    </w:p>
    <w:p>
      <w:pPr>
        <w:pStyle w:val="Heading2"/>
        <w:widowControl/>
      </w:pPr>
      <w:r>
        <w:t>4.3 Ground Handling</w:t>
      </w:r>
    </w:p>
    <w:p>
      <w:pPr>
        <w:widowControl/>
      </w:pPr>
      <w:r>
        <w:rPr>
          <w:rFonts w:ascii="Arial" w:hAnsi="Arial" w:eastAsia="Microsoft YaHei"/>
          <w:b w:val="0"/>
          <w:i w:val="0"/>
          <w:color w:val="111827"/>
          <w:sz w:val="21"/>
        </w:rPr>
        <w:t>Handling 采用 Full Service Regular 费率，并按飞机 Class 固定计费。Class 6 在参考价目中为 TBC，当前系统暂按 Class 5 的 €1,757 回退，并在 calculationDetails 标记 class6Fallback。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100"/>
        <w:gridCol w:w="1900"/>
        <w:gridCol w:w="6360"/>
      </w:tblGrid>
      <w:tr>
        <w:trPr>
          <w:tblHeader w:val="true"/>
          <w:cantSplit/>
        </w:trPr>
        <w:tc>
          <w:tcPr>
            <w:tcW w:type="dxa" w:w="11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212D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Class</w:t>
            </w:r>
          </w:p>
        </w:tc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212D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费用/航班</w:t>
            </w:r>
          </w:p>
        </w:tc>
        <w:tc>
          <w:tcPr>
            <w:tcW w:type="dxa" w:w="63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212D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主要机型映射</w:t>
            </w:r>
          </w:p>
        </w:tc>
      </w:tr>
      <w:tr>
        <w:trPr>
          <w:cantSplit/>
        </w:trPr>
        <w:tc>
          <w:tcPr>
            <w:tcW w:type="dxa" w:w="11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1</w:t>
            </w:r>
          </w:p>
        </w:tc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€612</w:t>
            </w:r>
          </w:p>
        </w:tc>
        <w:tc>
          <w:tcPr>
            <w:tcW w:type="dxa" w:w="63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ATR/AT72/AT76, CRJ, DH8D, E145</w:t>
            </w:r>
          </w:p>
        </w:tc>
      </w:tr>
      <w:tr>
        <w:trPr>
          <w:cantSplit/>
        </w:trPr>
        <w:tc>
          <w:tcPr>
            <w:tcW w:type="dxa" w:w="110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2</w:t>
            </w:r>
          </w:p>
        </w:tc>
        <w:tc>
          <w:tcPr>
            <w:tcW w:type="dxa" w:w="190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€969</w:t>
            </w:r>
          </w:p>
        </w:tc>
        <w:tc>
          <w:tcPr>
            <w:tcW w:type="dxa" w:w="636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B712/B717, BCS1</w:t>
            </w:r>
          </w:p>
        </w:tc>
      </w:tr>
      <w:tr>
        <w:trPr>
          <w:cantSplit/>
        </w:trPr>
        <w:tc>
          <w:tcPr>
            <w:tcW w:type="dxa" w:w="11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3</w:t>
            </w:r>
          </w:p>
        </w:tc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€1,310</w:t>
            </w:r>
          </w:p>
        </w:tc>
        <w:tc>
          <w:tcPr>
            <w:tcW w:type="dxa" w:w="63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A318/A319/A320/A20N, B737 family, B38M, MD82/83</w:t>
            </w:r>
          </w:p>
        </w:tc>
      </w:tr>
      <w:tr>
        <w:trPr>
          <w:cantSplit/>
        </w:trPr>
        <w:tc>
          <w:tcPr>
            <w:tcW w:type="dxa" w:w="110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4</w:t>
            </w:r>
          </w:p>
        </w:tc>
        <w:tc>
          <w:tcPr>
            <w:tcW w:type="dxa" w:w="190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€1,502</w:t>
            </w:r>
          </w:p>
        </w:tc>
        <w:tc>
          <w:tcPr>
            <w:tcW w:type="dxa" w:w="636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A321/A21N, B752</w:t>
            </w:r>
          </w:p>
        </w:tc>
      </w:tr>
      <w:tr>
        <w:trPr>
          <w:cantSplit/>
        </w:trPr>
        <w:tc>
          <w:tcPr>
            <w:tcW w:type="dxa" w:w="11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5</w:t>
            </w:r>
          </w:p>
        </w:tc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€1,757</w:t>
            </w:r>
          </w:p>
        </w:tc>
        <w:tc>
          <w:tcPr>
            <w:tcW w:type="dxa" w:w="63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A300/A310, B753/B762/B763/B764</w:t>
            </w:r>
          </w:p>
        </w:tc>
      </w:tr>
      <w:tr>
        <w:trPr>
          <w:cantSplit/>
        </w:trPr>
        <w:tc>
          <w:tcPr>
            <w:tcW w:type="dxa" w:w="110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6</w:t>
            </w:r>
          </w:p>
        </w:tc>
        <w:tc>
          <w:tcPr>
            <w:tcW w:type="dxa" w:w="190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€1,757（暂定）</w:t>
            </w:r>
          </w:p>
        </w:tc>
        <w:tc>
          <w:tcPr>
            <w:tcW w:type="dxa" w:w="636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A332/A333/A339/A359/A388, B772/B77W/B787 family</w:t>
            </w:r>
          </w:p>
        </w:tc>
      </w:tr>
    </w:tbl>
    <w:p>
      <w:pPr>
        <w:widowControl/>
        <w:spacing w:after="20"/>
      </w:pPr>
    </w:p>
    <w:p>
      <w:pPr>
        <w:pStyle w:val="Formula"/>
        <w:keepLines/>
        <w:widowControl/>
        <w:shd w:fill="FFF7E0"/>
      </w:pPr>
      <w:r>
        <w:rPr>
          <w:rFonts w:ascii="Arial" w:hAnsi="Arial" w:eastAsia="Microsoft YaHei"/>
          <w:b/>
          <w:i w:val="0"/>
          <w:color w:val="17212D"/>
          <w:sz w:val="20"/>
        </w:rPr>
        <w:t>Cargo handling = cargoKg ÷ 1,000 × €120/吨</w:t>
      </w:r>
    </w:p>
    <w:p>
      <w:pPr>
        <w:pStyle w:val="Heading2"/>
        <w:widowControl/>
      </w:pPr>
      <w:r>
        <w:t>4.4 ATC 支出</w:t>
      </w:r>
    </w:p>
    <w:p>
      <w:pPr>
        <w:pStyle w:val="Formula"/>
        <w:keepLines/>
        <w:widowControl/>
        <w:shd w:fill="FFF7E0"/>
      </w:pPr>
      <w:r>
        <w:rPr>
          <w:rFonts w:ascii="Arial" w:hAnsi="Arial" w:eastAsia="Microsoft YaHei"/>
          <w:b/>
          <w:i w:val="0"/>
          <w:color w:val="17212D"/>
          <w:sz w:val="20"/>
        </w:rPr>
        <w:t>重量系数 = √(MTOW吨 ÷ 50)</w:t>
      </w:r>
    </w:p>
    <w:p>
      <w:pPr>
        <w:pStyle w:val="Formula"/>
        <w:keepLines/>
        <w:widowControl/>
        <w:shd w:fill="FFF7E0"/>
      </w:pPr>
      <w:r>
        <w:rPr>
          <w:rFonts w:ascii="Arial" w:hAnsi="Arial" w:eastAsia="Microsoft YaHei"/>
          <w:b/>
          <w:i w:val="0"/>
          <w:color w:val="17212D"/>
          <w:sz w:val="20"/>
        </w:rPr>
        <w:t>En-route ATC = (flightDistanceNm × 1.852 ÷ 100) × 区域 unitRate × 重量系数</w:t>
      </w:r>
    </w:p>
    <w:p>
      <w:pPr>
        <w:pStyle w:val="Formula"/>
        <w:keepLines/>
        <w:widowControl/>
        <w:shd w:fill="FFF7E0"/>
      </w:pPr>
      <w:r>
        <w:rPr>
          <w:rFonts w:ascii="Arial" w:hAnsi="Arial" w:eastAsia="Microsoft YaHei"/>
          <w:b/>
          <w:i w:val="0"/>
          <w:color w:val="17212D"/>
          <w:sz w:val="20"/>
        </w:rPr>
        <w:t>Terminal ATC = 到达机场 terminalAtcUnitRate × 重量系数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212D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空域区域</w:t>
            </w:r>
          </w:p>
        </w:tc>
        <w:tc>
          <w:tcPr>
            <w:tcW w:type="dxa" w:w="468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212D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Unit rate</w:t>
            </w:r>
          </w:p>
        </w:tc>
      </w:tr>
      <w:tr>
        <w:trPr>
          <w:cantSplit/>
        </w:trPr>
        <w:tc>
          <w:tcPr>
            <w:tcW w:type="dxa" w:w="468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EUROPE</w:t>
            </w:r>
          </w:p>
        </w:tc>
        <w:tc>
          <w:tcPr>
            <w:tcW w:type="dxa" w:w="468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€78</w:t>
            </w:r>
          </w:p>
        </w:tc>
      </w:tr>
      <w:tr>
        <w:trPr>
          <w:cantSplit/>
        </w:trPr>
        <w:tc>
          <w:tcPr>
            <w:tcW w:type="dxa" w:w="468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NORTH_AMERICA</w:t>
            </w:r>
          </w:p>
        </w:tc>
        <w:tc>
          <w:tcPr>
            <w:tcW w:type="dxa" w:w="468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€65</w:t>
            </w:r>
          </w:p>
        </w:tc>
      </w:tr>
      <w:tr>
        <w:trPr>
          <w:cantSplit/>
        </w:trPr>
        <w:tc>
          <w:tcPr>
            <w:tcW w:type="dxa" w:w="468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ASIA</w:t>
            </w:r>
          </w:p>
        </w:tc>
        <w:tc>
          <w:tcPr>
            <w:tcW w:type="dxa" w:w="468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€70</w:t>
            </w:r>
          </w:p>
        </w:tc>
      </w:tr>
      <w:tr>
        <w:trPr>
          <w:cantSplit/>
        </w:trPr>
        <w:tc>
          <w:tcPr>
            <w:tcW w:type="dxa" w:w="468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MIDDLE_EAST</w:t>
            </w:r>
          </w:p>
        </w:tc>
        <w:tc>
          <w:tcPr>
            <w:tcW w:type="dxa" w:w="468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€72</w:t>
            </w:r>
          </w:p>
        </w:tc>
      </w:tr>
      <w:tr>
        <w:trPr>
          <w:cantSplit/>
        </w:trPr>
        <w:tc>
          <w:tcPr>
            <w:tcW w:type="dxa" w:w="468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GLOBAL</w:t>
            </w:r>
          </w:p>
        </w:tc>
        <w:tc>
          <w:tcPr>
            <w:tcW w:type="dxa" w:w="468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€68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Arial" w:hAnsi="Arial" w:eastAsia="Microsoft YaHei"/>
          <w:b w:val="0"/>
          <w:i w:val="0"/>
          <w:color w:val="111827"/>
          <w:sz w:val="21"/>
        </w:rPr>
        <w:t>MTOW 优先读取 vAMSYS Aircraft，其次 AOC AircraftProfile，仍缺失时使用 70,000 kg 作为警示性 fallback。</w:t>
      </w:r>
    </w:p>
    <w:p>
      <w:pPr>
        <w:pStyle w:val="Heading1"/>
        <w:widowControl/>
      </w:pPr>
      <w:r>
        <w:t>5. 航司总支出与航班收益</w:t>
      </w:r>
    </w:p>
    <w:p>
      <w:pPr>
        <w:pStyle w:val="Formula"/>
        <w:keepLines/>
        <w:widowControl/>
        <w:shd w:fill="FFF7E0"/>
      </w:pPr>
      <w:r>
        <w:rPr>
          <w:rFonts w:ascii="Arial" w:hAnsi="Arial" w:eastAsia="Microsoft YaHei"/>
          <w:b/>
          <w:i w:val="0"/>
          <w:color w:val="17212D"/>
          <w:sz w:val="20"/>
        </w:rPr>
        <w:t>公司总支出 = 燃油成本 + 机场费用 + Handling + Cargo handling + En-route ATC + Terminal ATC + Nómina</w:t>
      </w:r>
    </w:p>
    <w:p>
      <w:pPr>
        <w:pStyle w:val="Formula"/>
        <w:keepLines/>
        <w:widowControl/>
        <w:shd w:fill="FFF7E0"/>
      </w:pPr>
      <w:r>
        <w:rPr>
          <w:rFonts w:ascii="Arial" w:hAnsi="Arial" w:eastAsia="Microsoft YaHei"/>
          <w:b/>
          <w:i w:val="0"/>
          <w:color w:val="17212D"/>
          <w:sz w:val="20"/>
        </w:rPr>
        <w:t>航班总收入 = 旅客收入（当前版本）</w:t>
      </w:r>
    </w:p>
    <w:p>
      <w:pPr>
        <w:pStyle w:val="Formula"/>
        <w:keepLines/>
        <w:widowControl/>
        <w:shd w:fill="FFF7E0"/>
      </w:pPr>
      <w:r>
        <w:rPr>
          <w:rFonts w:ascii="Arial" w:hAnsi="Arial" w:eastAsia="Microsoft YaHei"/>
          <w:b/>
          <w:i w:val="0"/>
          <w:color w:val="17212D"/>
          <w:sz w:val="20"/>
        </w:rPr>
        <w:t>航班收益 = 航班总收入 - 公司总支出</w:t>
      </w:r>
    </w:p>
    <w:p>
      <w:pPr>
        <w:spacing w:before="100" w:after="160"/>
        <w:ind w:left="216" w:right="216"/>
        <w:widowControl/>
        <w:shd w:fill="F2F4F7"/>
      </w:pPr>
      <w:r>
        <w:rPr>
          <w:rFonts w:ascii="Arial" w:hAnsi="Arial" w:eastAsia="Microsoft YaHei"/>
          <w:b/>
          <w:i w:val="0"/>
          <w:color w:val="C8102E"/>
          <w:sz w:val="20"/>
        </w:rPr>
        <w:t xml:space="preserve">展示口径  </w:t>
      </w:r>
      <w:r>
        <w:rPr>
          <w:rFonts w:ascii="Arial" w:hAnsi="Arial" w:eastAsia="Microsoft YaHei"/>
          <w:b w:val="0"/>
          <w:i w:val="0"/>
          <w:color w:val="263445"/>
          <w:sz w:val="20"/>
        </w:rPr>
        <w:t>Pilot Portal 与 Staff Portal 可以展示同一航班的收入和费用；Staff 另有 raw vAMSYS payload、重处理及审计能力。任何重新处理仅更新可重算经济快照，不得制造重复工资、钱包流水或费用记录。</w:t>
      </w:r>
    </w:p>
    <w:p>
      <w:pPr>
        <w:pStyle w:val="Heading2"/>
        <w:widowControl/>
      </w:pPr>
      <w:r>
        <w:t>5.1 综合示例（仅作公式说明）</w:t>
      </w:r>
    </w:p>
    <w:p>
      <w:pPr>
        <w:widowControl/>
      </w:pPr>
      <w:r>
        <w:rPr>
          <w:rFonts w:ascii="Arial" w:hAnsi="Arial" w:eastAsia="Microsoft YaHei"/>
          <w:b w:val="0"/>
          <w:i w:val="0"/>
          <w:color w:val="111827"/>
          <w:sz w:val="21"/>
        </w:rPr>
        <w:t>假设：A320、152 名旅客、500 NM、54 分钟飞行、70 分钟 block、燃油 2,574 kg、油价 €0.79/kg、VATSIM、着陆 -307 fpm、score 295、到达 major 机场、EUROPE 空域、无货物。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6500"/>
        <w:gridCol w:w="2860"/>
      </w:tblGrid>
      <w:tr>
        <w:trPr>
          <w:tblHeader w:val="true"/>
          <w:cantSplit/>
        </w:trPr>
        <w:tc>
          <w:tcPr>
            <w:tcW w:type="dxa" w:w="6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212D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28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212D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金额</w:t>
            </w:r>
          </w:p>
        </w:tc>
      </w:tr>
      <w:tr>
        <w:trPr>
          <w:cantSplit/>
        </w:trPr>
        <w:tc>
          <w:tcPr>
            <w:tcW w:type="dxa" w:w="6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旅客收入</w:t>
            </w:r>
          </w:p>
        </w:tc>
        <w:tc>
          <w:tcPr>
            <w:tcW w:type="dxa" w:w="28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€12,160.00</w:t>
            </w:r>
          </w:p>
        </w:tc>
      </w:tr>
      <w:tr>
        <w:trPr>
          <w:cantSplit/>
        </w:trPr>
        <w:tc>
          <w:tcPr>
            <w:tcW w:type="dxa" w:w="650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燃油</w:t>
            </w:r>
          </w:p>
        </w:tc>
        <w:tc>
          <w:tcPr>
            <w:tcW w:type="dxa" w:w="286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€2,033.46</w:t>
            </w:r>
          </w:p>
        </w:tc>
      </w:tr>
      <w:tr>
        <w:trPr>
          <w:cantSplit/>
        </w:trPr>
        <w:tc>
          <w:tcPr>
            <w:tcW w:type="dxa" w:w="6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着陆</w:t>
            </w:r>
          </w:p>
        </w:tc>
        <w:tc>
          <w:tcPr>
            <w:tcW w:type="dxa" w:w="28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€663.00</w:t>
            </w:r>
          </w:p>
        </w:tc>
      </w:tr>
      <w:tr>
        <w:trPr>
          <w:cantSplit/>
        </w:trPr>
        <w:tc>
          <w:tcPr>
            <w:tcW w:type="dxa" w:w="650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旅客费</w:t>
            </w:r>
          </w:p>
        </w:tc>
        <w:tc>
          <w:tcPr>
            <w:tcW w:type="dxa" w:w="286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€1,824.00</w:t>
            </w:r>
          </w:p>
        </w:tc>
      </w:tr>
      <w:tr>
        <w:trPr>
          <w:cantSplit/>
        </w:trPr>
        <w:tc>
          <w:tcPr>
            <w:tcW w:type="dxa" w:w="6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机场服务</w:t>
            </w:r>
          </w:p>
        </w:tc>
        <w:tc>
          <w:tcPr>
            <w:tcW w:type="dxa" w:w="28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€988.00</w:t>
            </w:r>
          </w:p>
        </w:tc>
      </w:tr>
      <w:tr>
        <w:trPr>
          <w:cantSplit/>
        </w:trPr>
        <w:tc>
          <w:tcPr>
            <w:tcW w:type="dxa" w:w="650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停车</w:t>
            </w:r>
          </w:p>
        </w:tc>
        <w:tc>
          <w:tcPr>
            <w:tcW w:type="dxa" w:w="286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€6.67</w:t>
            </w:r>
          </w:p>
        </w:tc>
      </w:tr>
      <w:tr>
        <w:trPr>
          <w:cantSplit/>
        </w:trPr>
        <w:tc>
          <w:tcPr>
            <w:tcW w:type="dxa" w:w="6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Handling Class 3</w:t>
            </w:r>
          </w:p>
        </w:tc>
        <w:tc>
          <w:tcPr>
            <w:tcW w:type="dxa" w:w="28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€1,310.00</w:t>
            </w:r>
          </w:p>
        </w:tc>
      </w:tr>
      <w:tr>
        <w:trPr>
          <w:cantSplit/>
        </w:trPr>
        <w:tc>
          <w:tcPr>
            <w:tcW w:type="dxa" w:w="650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En-route ATC（约）</w:t>
            </w:r>
          </w:p>
        </w:tc>
        <w:tc>
          <w:tcPr>
            <w:tcW w:type="dxa" w:w="286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€902.60</w:t>
            </w:r>
          </w:p>
        </w:tc>
      </w:tr>
      <w:tr>
        <w:trPr>
          <w:cantSplit/>
        </w:trPr>
        <w:tc>
          <w:tcPr>
            <w:tcW w:type="dxa" w:w="6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Terminal ATC（约）</w:t>
            </w:r>
          </w:p>
        </w:tc>
        <w:tc>
          <w:tcPr>
            <w:tcW w:type="dxa" w:w="28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€11.24</w:t>
            </w:r>
          </w:p>
        </w:tc>
      </w:tr>
      <w:tr>
        <w:trPr>
          <w:cantSplit/>
        </w:trPr>
        <w:tc>
          <w:tcPr>
            <w:tcW w:type="dxa" w:w="650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Nómina</w:t>
            </w:r>
          </w:p>
        </w:tc>
        <w:tc>
          <w:tcPr>
            <w:tcW w:type="dxa" w:w="286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€229.20</w:t>
            </w:r>
          </w:p>
        </w:tc>
      </w:tr>
      <w:tr>
        <w:trPr>
          <w:cantSplit/>
        </w:trPr>
        <w:tc>
          <w:tcPr>
            <w:tcW w:type="dxa" w:w="65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总支出（约）</w:t>
            </w:r>
          </w:p>
        </w:tc>
        <w:tc>
          <w:tcPr>
            <w:tcW w:type="dxa" w:w="28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€7,968.17</w:t>
            </w:r>
          </w:p>
        </w:tc>
      </w:tr>
      <w:tr>
        <w:trPr>
          <w:cantSplit/>
        </w:trPr>
        <w:tc>
          <w:tcPr>
            <w:tcW w:type="dxa" w:w="650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航班收益（约）</w:t>
            </w:r>
          </w:p>
        </w:tc>
        <w:tc>
          <w:tcPr>
            <w:tcW w:type="dxa" w:w="286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€4,191.83</w:t>
            </w:r>
          </w:p>
        </w:tc>
      </w:tr>
    </w:tbl>
    <w:p>
      <w:pPr>
        <w:widowControl/>
        <w:spacing w:after="20"/>
      </w:pPr>
    </w:p>
    <w:p>
      <w:pPr>
        <w:spacing w:before="100" w:after="160"/>
        <w:ind w:left="216" w:right="216"/>
        <w:widowControl/>
        <w:shd w:fill="F2F4F7"/>
      </w:pPr>
      <w:r>
        <w:rPr>
          <w:rFonts w:ascii="Arial" w:hAnsi="Arial" w:eastAsia="Microsoft YaHei"/>
          <w:b/>
          <w:i w:val="0"/>
          <w:color w:val="C8102E"/>
          <w:sz w:val="20"/>
        </w:rPr>
        <w:t xml:space="preserve">示例限制  </w:t>
      </w:r>
      <w:r>
        <w:rPr>
          <w:rFonts w:ascii="Arial" w:hAnsi="Arial" w:eastAsia="Microsoft YaHei"/>
          <w:b w:val="0"/>
          <w:i w:val="0"/>
          <w:color w:val="263445"/>
          <w:sz w:val="20"/>
        </w:rPr>
        <w:t>示例用于验证公式，不代表任何特定真实航班结算。实际金额以数据库中该 PIREP 的字段、有效规则与 calculationDetails 为准。</w:t>
      </w:r>
    </w:p>
    <w:p>
      <w:pPr>
        <w:pStyle w:val="Heading1"/>
        <w:widowControl/>
      </w:pPr>
      <w:r>
        <w:t>6. 结算周期、状态与审计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212D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事项</w:t>
            </w:r>
          </w:p>
        </w:tc>
        <w:tc>
          <w:tcPr>
            <w:tcW w:type="dxa" w:w="70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212D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当前规则</w:t>
            </w:r>
          </w:p>
        </w:tc>
      </w:tr>
      <w:tr>
        <w:trPr>
          <w:cantSplit/>
        </w:trPr>
        <w:tc>
          <w:tcPr>
            <w:tcW w:type="dxa" w:w="2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工资生成时点</w:t>
            </w:r>
          </w:p>
        </w:tc>
        <w:tc>
          <w:tcPr>
            <w:tcW w:type="dxa" w:w="70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accepted PIREP 处理完成时自动生成</w:t>
            </w:r>
          </w:p>
        </w:tc>
      </w:tr>
      <w:tr>
        <w:trPr>
          <w:cantSplit/>
        </w:trPr>
        <w:tc>
          <w:tcPr>
            <w:tcW w:type="dxa" w:w="230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工资记录单位</w:t>
            </w:r>
          </w:p>
        </w:tc>
        <w:tc>
          <w:tcPr>
            <w:tcW w:type="dxa" w:w="706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每个 PIREP 一条 PayrollRecord</w:t>
            </w:r>
          </w:p>
        </w:tc>
      </w:tr>
      <w:tr>
        <w:trPr>
          <w:cantSplit/>
        </w:trPr>
        <w:tc>
          <w:tcPr>
            <w:tcW w:type="dxa" w:w="2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Pilot Portal 周汇总</w:t>
            </w:r>
          </w:p>
        </w:tc>
        <w:tc>
          <w:tcPr>
            <w:tcW w:type="dxa" w:w="70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按 ISO 周聚合展示；可展开查看逐航班明细</w:t>
            </w:r>
          </w:p>
        </w:tc>
      </w:tr>
      <w:tr>
        <w:trPr>
          <w:cantSplit/>
        </w:trPr>
        <w:tc>
          <w:tcPr>
            <w:tcW w:type="dxa" w:w="230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钱包入账</w:t>
            </w:r>
          </w:p>
        </w:tc>
        <w:tc>
          <w:tcPr>
            <w:tcW w:type="dxa" w:w="706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PayrollRecord 生成后创建同额 WalletTransaction；以 payrollRecordId 防重复</w:t>
            </w:r>
          </w:p>
        </w:tc>
      </w:tr>
      <w:tr>
        <w:trPr>
          <w:cantSplit/>
        </w:trPr>
        <w:tc>
          <w:tcPr>
            <w:tcW w:type="dxa" w:w="2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经济费用</w:t>
            </w:r>
          </w:p>
        </w:tc>
        <w:tc>
          <w:tcPr>
            <w:tcW w:type="dxa" w:w="70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每个 PIREP、每种 CompanyExpenseType 最多一条；重新处理执行 upsert</w:t>
            </w:r>
          </w:p>
        </w:tc>
      </w:tr>
      <w:tr>
        <w:trPr>
          <w:cantSplit/>
        </w:trPr>
        <w:tc>
          <w:tcPr>
            <w:tcW w:type="dxa" w:w="230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审计</w:t>
            </w:r>
          </w:p>
        </w:tc>
        <w:tc>
          <w:tcPr>
            <w:tcW w:type="dxa" w:w="706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Staff 同步、重处理、规则变更及 backfill 写入 AuditLog</w:t>
            </w:r>
          </w:p>
        </w:tc>
      </w:tr>
      <w:tr>
        <w:trPr>
          <w:cantSplit/>
        </w:trPr>
        <w:tc>
          <w:tcPr>
            <w:tcW w:type="dxa" w:w="2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数据保密</w:t>
            </w:r>
          </w:p>
        </w:tc>
        <w:tc>
          <w:tcPr>
            <w:tcW w:type="dxa" w:w="70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Operations API token、client secret、refresh token 仅保存在服务器端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7. Convenio 建议条款框架</w:t>
      </w:r>
    </w:p>
    <w:p>
      <w:pPr>
        <w:widowControl/>
      </w:pPr>
      <w:r>
        <w:rPr>
          <w:rFonts w:ascii="Arial" w:hAnsi="Arial" w:eastAsia="Microsoft YaHei"/>
          <w:b w:val="0"/>
          <w:i w:val="0"/>
          <w:color w:val="111827"/>
          <w:sz w:val="21"/>
        </w:rPr>
        <w:t>正式 Convenio 可将本技术附件作为动态费率附表，并至少明确以下治理事项：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212D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条款主题</w:t>
            </w:r>
          </w:p>
        </w:tc>
        <w:tc>
          <w:tcPr>
            <w:tcW w:type="dxa" w:w="71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212D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建议约定</w:t>
            </w:r>
          </w:p>
        </w:tc>
      </w:tr>
      <w:tr>
        <w:trPr>
          <w:cantSplit/>
        </w:trPr>
        <w:tc>
          <w:tcPr>
            <w:tcW w:type="dxa" w:w="22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适用资格</w:t>
            </w:r>
          </w:p>
        </w:tc>
        <w:tc>
          <w:tcPr>
            <w:tcW w:type="dxa" w:w="71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仅 accepted PIREP；拒绝、失效或撤销的 PIREP 不产生工资</w:t>
            </w:r>
          </w:p>
        </w:tc>
      </w:tr>
      <w:tr>
        <w:trPr>
          <w:cantSplit/>
        </w:trPr>
        <w:tc>
          <w:tcPr>
            <w:tcW w:type="dxa" w:w="220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计费版本</w:t>
            </w:r>
          </w:p>
        </w:tc>
        <w:tc>
          <w:tcPr>
            <w:tcW w:type="dxa" w:w="716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按航班处理时有效的 PayrollRule 与经济规则版本计算，并保存快照</w:t>
            </w:r>
          </w:p>
        </w:tc>
      </w:tr>
      <w:tr>
        <w:trPr>
          <w:cantSplit/>
        </w:trPr>
        <w:tc>
          <w:tcPr>
            <w:tcW w:type="dxa" w:w="22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异议期限</w:t>
            </w:r>
          </w:p>
        </w:tc>
        <w:tc>
          <w:tcPr>
            <w:tcW w:type="dxa" w:w="71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规定飞行员对 PIREP、工资或费用提出复核的期限与证据</w:t>
            </w:r>
          </w:p>
        </w:tc>
      </w:tr>
      <w:tr>
        <w:trPr>
          <w:cantSplit/>
        </w:trPr>
        <w:tc>
          <w:tcPr>
            <w:tcW w:type="dxa" w:w="220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更改程序</w:t>
            </w:r>
          </w:p>
        </w:tc>
        <w:tc>
          <w:tcPr>
            <w:tcW w:type="dxa" w:w="716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小时费率、奖励、处罚、距离系数、Handling Class 与机场/ATC 费率的变更需记录生效日</w:t>
            </w:r>
          </w:p>
        </w:tc>
      </w:tr>
      <w:tr>
        <w:trPr>
          <w:cantSplit/>
        </w:trPr>
        <w:tc>
          <w:tcPr>
            <w:tcW w:type="dxa" w:w="22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历史重算</w:t>
            </w:r>
          </w:p>
        </w:tc>
        <w:tc>
          <w:tcPr>
            <w:tcW w:type="dxa" w:w="71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原则上不追溯；仅数据缺失、明显错误或双方批准时执行 backfill/reprocess</w:t>
            </w:r>
          </w:p>
        </w:tc>
      </w:tr>
      <w:tr>
        <w:trPr>
          <w:cantSplit/>
        </w:trPr>
        <w:tc>
          <w:tcPr>
            <w:tcW w:type="dxa" w:w="220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Class 6</w:t>
            </w:r>
          </w:p>
        </w:tc>
        <w:tc>
          <w:tcPr>
            <w:tcW w:type="dxa" w:w="716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当前 €1,757 为临时回退；获得正式费率后应经批准替换</w:t>
            </w:r>
          </w:p>
        </w:tc>
      </w:tr>
      <w:tr>
        <w:trPr>
          <w:cantSplit/>
        </w:trPr>
        <w:tc>
          <w:tcPr>
            <w:tcW w:type="dxa" w:w="22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货运收入</w:t>
            </w:r>
          </w:p>
        </w:tc>
        <w:tc>
          <w:tcPr>
            <w:tcW w:type="dxa" w:w="71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尚未实施，未来应通过独立附件增加，不自动推定</w:t>
            </w:r>
          </w:p>
        </w:tc>
      </w:tr>
      <w:tr>
        <w:trPr>
          <w:cantSplit/>
        </w:trPr>
        <w:tc>
          <w:tcPr>
            <w:tcW w:type="dxa" w:w="220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审计与隐私</w:t>
            </w:r>
          </w:p>
        </w:tc>
        <w:tc>
          <w:tcPr>
            <w:tcW w:type="dxa" w:w="716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飞行员仅访问自身记录；Staff 访问受角色权限控制并记录审计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8. 版本控制与批准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800"/>
        <w:gridCol w:w="4200"/>
        <w:gridCol w:w="2360"/>
      </w:tblGrid>
      <w:tr>
        <w:trPr>
          <w:tblHeader w:val="true"/>
          <w:cantSplit/>
        </w:trPr>
        <w:tc>
          <w:tcPr>
            <w:tcW w:type="dxa" w:w="28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212D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角色</w:t>
            </w:r>
          </w:p>
        </w:tc>
        <w:tc>
          <w:tcPr>
            <w:tcW w:type="dxa" w:w="42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212D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姓名/签署</w:t>
            </w:r>
          </w:p>
        </w:tc>
        <w:tc>
          <w:tcPr>
            <w:tcW w:type="dxa" w:w="23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212D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日期</w:t>
            </w:r>
          </w:p>
        </w:tc>
      </w:tr>
      <w:tr>
        <w:trPr>
          <w:cantSplit/>
        </w:trPr>
        <w:tc>
          <w:tcPr>
            <w:tcW w:type="dxa" w:w="28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HISPAFLY 管理代表</w:t>
            </w:r>
          </w:p>
        </w:tc>
        <w:tc>
          <w:tcPr>
            <w:tcW w:type="dxa" w:w="42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23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</w:r>
          </w:p>
        </w:tc>
      </w:tr>
      <w:tr>
        <w:trPr>
          <w:cantSplit/>
        </w:trPr>
        <w:tc>
          <w:tcPr>
            <w:tcW w:type="dxa" w:w="280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飞行员代表</w:t>
            </w:r>
          </w:p>
        </w:tc>
        <w:tc>
          <w:tcPr>
            <w:tcW w:type="dxa" w:w="420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236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</w:r>
          </w:p>
        </w:tc>
      </w:tr>
      <w:tr>
        <w:trPr>
          <w:cantSplit/>
        </w:trPr>
        <w:tc>
          <w:tcPr>
            <w:tcW w:type="dxa" w:w="28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财务/经济规则负责人</w:t>
            </w:r>
          </w:p>
        </w:tc>
        <w:tc>
          <w:tcPr>
            <w:tcW w:type="dxa" w:w="42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23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</w:r>
          </w:p>
        </w:tc>
      </w:tr>
      <w:tr>
        <w:trPr>
          <w:cantSplit/>
        </w:trPr>
        <w:tc>
          <w:tcPr>
            <w:tcW w:type="dxa" w:w="280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  <w:t>系统技术负责人</w:t>
            </w:r>
          </w:p>
        </w:tc>
        <w:tc>
          <w:tcPr>
            <w:tcW w:type="dxa" w:w="420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2360"/>
            <w:shd w:fill="F8FAFC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8"/>
              </w:rPr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Arial" w:hAnsi="Arial" w:eastAsia="Microsoft YaHei"/>
          <w:b w:val="0"/>
          <w:i w:val="0"/>
          <w:color w:val="111827"/>
          <w:sz w:val="21"/>
        </w:rPr>
        <w:t>本附件在签署或通过正式内部决议后方可成为 Convenio 的组成部分。若系统代码、数据库有效规则与已批准文本发生冲突，应暂停争议项目结算并进行版本核对。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i w:val="0"/>
        <w:color w:val="5F6B7A"/>
        <w:sz w:val="16"/>
      </w:rPr>
      <w:t>内部技术草案 · 版本 1.0 · 2026-06-30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b/>
        <w:i w:val="0"/>
        <w:color w:val="5F6B7A"/>
        <w:sz w:val="17"/>
      </w:rPr>
      <w:t>HISPAFLY AOC  |  经济与薪酬规则技术附件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C810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7212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7212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pPr>
      <w:spacing w:before="100" w:after="140"/>
      <w:ind w:left="259" w:right="259"/>
    </w:pPr>
    <w:rPr>
      <w:rFonts w:ascii="Consolas" w:hAnsi="Consolas" w:eastAsia="Microsoft YaHei"/>
      <w:b/>
      <w:color w:val="17212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