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配送与运费说明</w:t>
      </w:r>
    </w:p>
    <w:p>
      <w:r>
        <w:t>岚屿栖盒 EVAL-Q7 内部制度。全部公司、产品、规则及示例均为虚构评估素材，不适用于真实交易。</w:t>
        <w:br/>
        <w:t>文档编号 D03；固定制度版 EVAL-1。</w:t>
      </w:r>
    </w:p>
    <w:p>
      <w:pPr>
        <w:pStyle w:val="Heading1"/>
      </w:pPr>
      <w:r>
        <w:t>条目 D03-01</w:t>
      </w:r>
    </w:p>
    <w:p>
      <w:r>
        <w:t>收货地区分为普通区与远程区。远程区在订单地址确认页显式标注，不能仅凭省份名称自行推断。没有地址页判定时，应请客户提供页面地区类别，而不是编造全国远程区清单。</w:t>
      </w:r>
    </w:p>
    <w:p>
      <w:pPr>
        <w:pStyle w:val="Heading1"/>
      </w:pPr>
      <w:r>
        <w:t>条目 D03-02</w:t>
      </w:r>
    </w:p>
    <w:p>
      <w:r>
        <w:t>普通区标准配送首重1千克12元，续重每开始1千克4元；远程区首重1千克22元，续重每开始1千克8元。重量按含包装的实际发货重量计算，不按产品净重计算。续重不足1千克按1千克算。</w:t>
      </w:r>
    </w:p>
    <w:p>
      <w:pPr>
        <w:pStyle w:val="Heading1"/>
      </w:pPr>
      <w:r>
        <w:t>条目 D03-03</w:t>
      </w:r>
    </w:p>
    <w:p>
      <w:r>
        <w:t>普通区单笔商品实付金额达到300元免标准配送费；远程区没有金额免运门槛。积分抵扣后的商品实付金额用于判断300元门槛，运费不参与。会员的另一次免运资格见会员与积分规则。</w:t>
      </w:r>
    </w:p>
    <w:p>
      <w:pPr>
        <w:pStyle w:val="Heading1"/>
      </w:pPr>
      <w:r>
        <w:t>条目 D03-04</w:t>
      </w:r>
    </w:p>
    <w:p>
      <w:r>
        <w:t>普通区标准配送预计发货后2至4个工作日送达，远程区预计5至8个工作日。预计时长不是保证到货日期；本说明没有具体承运商选择规则或订单实时物流位置。</w:t>
      </w:r>
    </w:p>
    <w:p>
      <w:pPr>
        <w:pStyle w:val="Heading1"/>
      </w:pPr>
      <w:r>
        <w:t>条目 D03-05</w:t>
      </w:r>
    </w:p>
    <w:p>
      <w:r>
        <w:t>付款完成后2个工作日内发货；预售、缺货或客户要求合并发货不在这项常规承诺内。本语料没有预售日历与库存数，不应声称具体型号当天必定现货或承诺当日发出。</w:t>
      </w:r>
    </w:p>
    <w:p>
      <w:pPr>
        <w:pStyle w:val="Heading1"/>
      </w:pPr>
      <w:r>
        <w:t>条目 D03-06</w:t>
      </w:r>
    </w:p>
    <w:p>
      <w:r>
        <w:t>加急配送仅普通区可选，在标准运费基础上加收18元，预计发货后1至2个工作日到达。加急差额不因300元免标准运费而免除；星环免运次数也只覆盖标准配送部分。</w:t>
      </w:r>
    </w:p>
    <w:p>
      <w:pPr>
        <w:pStyle w:val="Heading1"/>
      </w:pPr>
      <w:r>
        <w:t>条目 D03-07</w:t>
      </w:r>
    </w:p>
    <w:p>
      <w:r>
        <w:t>质量退换货的寄回运费报销以对应地区首重标准为上限，即普通区12元、远程区22元。经售后书面确认特殊重量费用的另行处理。客户自行加急寄回不能自动取得加急差额报销。</w:t>
      </w:r>
    </w:p>
    <w:p>
      <w:pPr>
        <w:pStyle w:val="Heading1"/>
      </w:pPr>
      <w:r>
        <w:t>条目 D03-08</w:t>
      </w:r>
    </w:p>
    <w:p>
      <w:r>
        <w:t>包裹外包装破损时可拍照并提交工单，验货不是让客户放弃售后权利。配送说明不提供邻近网点地址、快递员电话或丢件赔偿金额。客服通过工单核验，不能用猜测填补实时物流信息。</w:t>
      </w:r>
    </w:p>
    <w:p>
      <w:pPr>
        <w:pStyle w:val="Heading1"/>
      </w:pPr>
      <w:r>
        <w:t>示例 D03-E01  普通区标准单</w:t>
      </w:r>
    </w:p>
    <w:p>
      <w:r>
        <w:t>这是制度应用示例，不是真实订单记录。演练单号 EX-D03-001。已知条件为含包装1.4千克；商品实付240元。处理要点为首重12元加1档续重4元，标准运费16元。关联核验要点为无免运条件时必须完整核算，净重不能替代包装重量。演练单号仅用于区分本例，不能证明客户的实际订单已获批准。回答条件不同的订单时必须重新核对；没有提供的实时状态仍需明确说明无法确认，不得猜测或擅自补全。</w:t>
      </w:r>
    </w:p>
    <w:p>
      <w:pPr>
        <w:pStyle w:val="Heading1"/>
      </w:pPr>
      <w:r>
        <w:t>示例 D03-E02  远程区标准单</w:t>
      </w:r>
    </w:p>
    <w:p>
      <w:r>
        <w:t>这是制度应用示例，不是真实订单记录。演练单号 EX-D03-002。已知条件为含包装2.2千克；商品实付450元。处理要点为首重22元加2档续重16元，标准运费38元。关联核验要点为远程区不因为实付达到300元获得免运。演练单号仅用于区分本例，不能证明客户的实际订单已获批准。回答条件不同的订单时必须重新核对；没有提供的实时状态仍需明确说明无法确认，不得猜测或擅自补全。</w:t>
      </w:r>
    </w:p>
    <w:p>
      <w:pPr>
        <w:pStyle w:val="Heading1"/>
      </w:pPr>
      <w:r>
        <w:t>示例 D03-E03  普通区加急单</w:t>
      </w:r>
    </w:p>
    <w:p>
      <w:r>
        <w:t>这是制度应用示例，不是真实订单记录。演练单号 EX-D03-003。已知条件为含包装0.8千克；商品实付320元。处理要点为标准配送费免除，但加急差额18元仍收。关联核验要点为预计1至2个工作日从发货而不是付款起算。演练单号仅用于区分本例，不能证明客户的实际订单已获批准。回答条件不同的订单时必须重新核对；没有提供的实时状态仍需明确说明无法确认，不得猜测或擅自补全。</w:t>
      </w:r>
    </w:p>
    <w:p>
      <w:pPr>
        <w:pStyle w:val="Heading1"/>
      </w:pPr>
      <w:r>
        <w:t>示例 D03-E04  质量寄回单</w:t>
      </w:r>
    </w:p>
    <w:p>
      <w:r>
        <w:t>这是制度应用示例，不是真实订单记录。演练单号 EX-D03-004。已知条件为远程区首重以内；售后确认质量问题。处理要点为标准寄回运费可报销22元。关联核验要点为自行加急多支出的费用不能默认一并报销。演练单号仅用于区分本例，不能证明客户的实际订单已获批准。回答条件不同的订单时必须重新核对；没有提供的实时状态仍需明确说明无法确认，不得猜测或擅自补全。</w:t>
      </w:r>
    </w:p>
    <w:p>
      <w:pPr>
        <w:pStyle w:val="Heading1"/>
      </w:pPr>
      <w:r>
        <w:t>示例 D03-E05  条目1的承诺边界核验</w:t>
      </w:r>
    </w:p>
    <w:p>
      <w:r>
        <w:t>这是制度应用示例，不是真实订单记录。演练单号 EX-D03-005。已知条件为客户询问本条制度是否适用；只有下列制度条文，没有真实订单审批记录。处理要点为收货地区分为普通区与远程区。远程区在订单地址确认页显式标注，不能仅凭省份名称自行推断。没有地址页判定时，应请客户提供页面地区类别，而不是编造全国远程区清单。关联核验要点为核对规则的条件、起点、范围与例外，不把未公开资料当作已经查询到的事实。演练单号仅用于区分本例，不能证明客户的实际订单已获批准。回答条件不同的订单时必须重新核对；没有提供的实时状态仍需明确说明无法确认，不得猜测或擅自补全。</w:t>
      </w:r>
    </w:p>
    <w:p>
      <w:pPr>
        <w:pStyle w:val="Heading1"/>
      </w:pPr>
      <w:r>
        <w:t>示例 D03-E06  条目2的承诺边界核验</w:t>
      </w:r>
    </w:p>
    <w:p>
      <w:r>
        <w:t>这是制度应用示例，不是真实订单记录。演练单号 EX-D03-006。已知条件为客户询问本条制度是否适用；只有下列制度条文，没有真实订单审批记录。处理要点为普通区标准配送首重1千克12元，续重每开始1千克4元；远程区首重1千克22元，续重每开始1千克8元。重量按含包装的实际发货重量计算，不按产品净重计算。续重不足1千克按1千克算。关联核验要点为核对规则的条件、起点、范围与例外，不把未公开资料当作已经查询到的事实。演练单号仅用于区分本例，不能证明客户的实际订单已获批准。回答条件不同的订单时必须重新核对；没有提供的实时状态仍需明确说明无法确认，不得猜测或擅自补全。</w:t>
      </w:r>
    </w:p>
    <w:p>
      <w:pPr>
        <w:pStyle w:val="Heading1"/>
      </w:pPr>
      <w:r>
        <w:t>示例 D03-E07  条目3的承诺边界核验</w:t>
      </w:r>
    </w:p>
    <w:p>
      <w:r>
        <w:t>这是制度应用示例，不是真实订单记录。演练单号 EX-D03-007。已知条件为客户询问本条制度是否适用；只有下列制度条文，没有真实订单审批记录。处理要点为普通区单笔商品实付金额达到300元免标准配送费；远程区没有金额免运门槛。积分抵扣后的商品实付金额用于判断300元门槛，运费不参与。会员的另一次免运资格见会员与积分规则。关联核验要点为核对规则的条件、起点、范围与例外，不把未公开资料当作已经查询到的事实。演练单号仅用于区分本例，不能证明客户的实际订单已获批准。回答条件不同的订单时必须重新核对；没有提供的实时状态仍需明确说明无法确认，不得猜测或擅自补全。</w:t>
      </w:r>
    </w:p>
    <w:p>
      <w:pPr>
        <w:pStyle w:val="Heading1"/>
      </w:pPr>
      <w:r>
        <w:t>示例 D03-E08  条目4的承诺边界核验</w:t>
      </w:r>
    </w:p>
    <w:p>
      <w:r>
        <w:t>这是制度应用示例，不是真实订单记录。演练单号 EX-D03-008。已知条件为客户询问本条制度是否适用；只有下列制度条文，没有真实订单审批记录。处理要点为普通区标准配送预计发货后2至4个工作日送达，远程区预计5至8个工作日。预计时长不是保证到货日期；本说明没有具体承运商选择规则或订单实时物流位置。关联核验要点为核对规则的条件、起点、范围与例外，不把未公开资料当作已经查询到的事实。演练单号仅用于区分本例，不能证明客户的实际订单已获批准。回答条件不同的订单时必须重新核对；没有提供的实时状态仍需明确说明无法确认，不得猜测或擅自补全。</w:t>
      </w:r>
    </w:p>
    <w:p>
      <w:pPr>
        <w:pStyle w:val="Heading1"/>
      </w:pPr>
      <w:r>
        <w:t>示例 D03-E09  条目5的承诺边界核验</w:t>
      </w:r>
    </w:p>
    <w:p>
      <w:r>
        <w:t>这是制度应用示例，不是真实订单记录。演练单号 EX-D03-009。已知条件为客户询问本条制度是否适用；只有下列制度条文，没有真实订单审批记录。处理要点为付款完成后2个工作日内发货；预售、缺货或客户要求合并发货不在这项常规承诺内。本语料没有预售日历与库存数，不应声称具体型号当天必定现货或承诺当日发出。关联核验要点为核对规则的条件、起点、范围与例外，不把未公开资料当作已经查询到的事实。演练单号仅用于区分本例，不能证明客户的实际订单已获批准。回答条件不同的订单时必须重新核对；没有提供的实时状态仍需明确说明无法确认，不得猜测或擅自补全。</w:t>
      </w:r>
    </w:p>
    <w:p>
      <w:pPr>
        <w:pStyle w:val="Heading1"/>
      </w:pPr>
      <w:r>
        <w:t>示例 D03-E10  条目6的承诺边界核验</w:t>
      </w:r>
    </w:p>
    <w:p>
      <w:r>
        <w:t>这是制度应用示例，不是真实订单记录。演练单号 EX-D03-010。已知条件为客户询问本条制度是否适用；只有下列制度条文，没有真实订单审批记录。处理要点为加急配送仅普通区可选，在标准运费基础上加收18元，预计发货后1至2个工作日到达。加急差额不因300元免标准运费而免除；星环免运次数也只覆盖标准配送部分。关联核验要点为核对规则的条件、起点、范围与例外，不把未公开资料当作已经查询到的事实。演练单号仅用于区分本例，不能证明客户的实际订单已获批准。回答条件不同的订单时必须重新核对；没有提供的实时状态仍需明确说明无法确认，不得猜测或擅自补全。</w:t>
      </w:r>
    </w:p>
    <w:p>
      <w:pPr>
        <w:pStyle w:val="Heading1"/>
      </w:pPr>
      <w:r>
        <w:t>示例 D03-E11  条目7的承诺边界核验</w:t>
      </w:r>
    </w:p>
    <w:p>
      <w:r>
        <w:t>这是制度应用示例，不是真实订单记录。演练单号 EX-D03-011。已知条件为客户询问本条制度是否适用；只有下列制度条文，没有真实订单审批记录。处理要点为质量退换货的寄回运费报销以对应地区首重标准为上限，即普通区12元、远程区22元。经售后书面确认特殊重量费用的另行处理。客户自行加急寄回不能自动取得加急差额报销。关联核验要点为核对规则的条件、起点、范围与例外，不把未公开资料当作已经查询到的事实。演练单号仅用于区分本例，不能证明客户的实际订单已获批准。回答条件不同的订单时必须重新核对；没有提供的实时状态仍需明确说明无法确认，不得猜测或擅自补全。</w:t>
      </w:r>
    </w:p>
    <w:p>
      <w:pPr>
        <w:pStyle w:val="Heading1"/>
      </w:pPr>
      <w:r>
        <w:t>示例 D03-E12  条目8的承诺边界核验</w:t>
      </w:r>
    </w:p>
    <w:p>
      <w:r>
        <w:t>这是制度应用示例，不是真实订单记录。演练单号 EX-D03-012。已知条件为客户询问本条制度是否适用；只有下列制度条文，没有真实订单审批记录。处理要点为包裹外包装破损时可拍照并提交工单，验货不是让客户放弃售后权利。配送说明不提供邻近网点地址、快递员电话或丢件赔偿金额。客服通过工单核验，不能用猜测填补实时物流信息。关联核验要点为核对规则的条件、起点、范围与例外，不把未公开资料当作已经查询到的事实。演练单号仅用于区分本例，不能证明客户的实际订单已获批准。回答条件不同的订单时必须重新核对；没有提供的实时状态仍需明确说明无法确认，不得猜测或擅自补全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EVAL-Q7 synthetic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