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ordWrap w:val="0"/>
        <w:jc w:val="center"/>
        <w:rPr>
          <w:rFonts w:hint="eastAsia" w:ascii="仿宋_GB2312" w:eastAsia="仿宋_GB2312" w:cs="Arial" w:hAnsiTheme="minorEastAsia"/>
          <w:b/>
          <w:sz w:val="28"/>
          <w:szCs w:val="28"/>
        </w:rPr>
      </w:pPr>
      <w:r>
        <w:rPr>
          <w:rFonts w:hint="eastAsia" w:ascii="仿宋_GB2312" w:eastAsia="仿宋_GB2312" w:cs="Arial" w:hAnsiTheme="minorEastAsia"/>
          <w:b/>
          <w:sz w:val="28"/>
          <w:szCs w:val="28"/>
        </w:rPr>
        <w:t>202</w:t>
      </w:r>
      <w:r>
        <w:rPr>
          <w:rFonts w:hint="eastAsia" w:ascii="仿宋_GB2312" w:eastAsia="仿宋_GB2312" w:cs="Arial" w:hAnsiTheme="minorEastAsia"/>
          <w:b/>
          <w:sz w:val="28"/>
          <w:szCs w:val="28"/>
          <w:lang w:val="en-US" w:eastAsia="zh-CN"/>
        </w:rPr>
        <w:t>6</w:t>
      </w:r>
      <w:r>
        <w:rPr>
          <w:rFonts w:hint="eastAsia" w:ascii="仿宋_GB2312" w:eastAsia="仿宋_GB2312" w:cs="Arial" w:hAnsiTheme="minorEastAsia"/>
          <w:b/>
          <w:sz w:val="28"/>
          <w:szCs w:val="28"/>
        </w:rPr>
        <w:t>年</w:t>
      </w:r>
      <w:r>
        <w:rPr>
          <w:rFonts w:hint="eastAsia" w:ascii="仿宋_GB2312" w:eastAsia="仿宋_GB2312" w:cs="Arial" w:hAnsiTheme="minorEastAsia"/>
          <w:b/>
          <w:sz w:val="28"/>
          <w:szCs w:val="28"/>
          <w:lang w:val="en-US" w:eastAsia="zh-CN"/>
        </w:rPr>
        <w:t>IP地址查询校准系统</w:t>
      </w:r>
      <w:r>
        <w:rPr>
          <w:rFonts w:hint="eastAsia" w:ascii="仿宋_GB2312" w:eastAsia="仿宋_GB2312" w:cs="Arial" w:hAnsiTheme="minorEastAsia"/>
          <w:b/>
          <w:sz w:val="28"/>
          <w:szCs w:val="28"/>
        </w:rPr>
        <w:t>采购</w:t>
      </w:r>
    </w:p>
    <w:p>
      <w:pPr>
        <w:wordWrap w:val="0"/>
        <w:jc w:val="center"/>
        <w:rPr>
          <w:rFonts w:hint="eastAsia" w:ascii="仿宋_GB2312" w:hAnsi="黑体" w:eastAsia="仿宋_GB2312"/>
          <w:b/>
          <w:sz w:val="28"/>
          <w:szCs w:val="28"/>
        </w:rPr>
      </w:pPr>
      <w:r>
        <w:rPr>
          <w:rFonts w:hint="eastAsia" w:ascii="仿宋_GB2312" w:eastAsia="仿宋_GB2312" w:cs="Arial" w:hAnsiTheme="minorEastAsia"/>
          <w:b/>
          <w:sz w:val="28"/>
          <w:szCs w:val="28"/>
        </w:rPr>
        <w:t>测</w:t>
      </w:r>
      <w:r>
        <w:rPr>
          <w:rFonts w:hint="eastAsia" w:ascii="仿宋_GB2312" w:hAnsi="黑体" w:eastAsia="仿宋_GB2312"/>
          <w:b/>
          <w:sz w:val="28"/>
          <w:szCs w:val="28"/>
        </w:rPr>
        <w:t>试方案</w:t>
      </w:r>
    </w:p>
    <w:p>
      <w:pPr>
        <w:wordWrap w:val="0"/>
        <w:jc w:val="center"/>
        <w:rPr>
          <w:rFonts w:hint="eastAsia" w:ascii="仿宋_GB2312" w:hAnsi="黑体" w:eastAsia="仿宋_GB2312"/>
          <w:b/>
          <w:sz w:val="28"/>
          <w:szCs w:val="28"/>
        </w:rPr>
      </w:pPr>
    </w:p>
    <w:p>
      <w:pPr>
        <w:pStyle w:val="16"/>
        <w:wordWrap w:val="0"/>
        <w:ind w:firstLine="562"/>
        <w:rPr>
          <w:rFonts w:hint="eastAsia" w:ascii="仿宋_GB2312" w:hAnsi="宋体" w:eastAsia="仿宋_GB2312" w:cs="宋体"/>
          <w:b/>
          <w:sz w:val="28"/>
          <w:szCs w:val="28"/>
          <w:lang w:eastAsia="zh-CN"/>
        </w:rPr>
      </w:pPr>
      <w:r>
        <w:rPr>
          <w:rFonts w:hint="eastAsia" w:ascii="仿宋_GB2312" w:hAnsi="宋体" w:eastAsia="仿宋_GB2312" w:cs="宋体"/>
          <w:b/>
          <w:sz w:val="28"/>
          <w:szCs w:val="28"/>
          <w:lang w:eastAsia="zh-CN"/>
        </w:rPr>
        <w:t>测试目标：</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对应答人</w:t>
      </w:r>
      <w:r>
        <w:rPr>
          <w:rFonts w:ascii="仿宋_GB2312" w:hAnsi="宋体" w:eastAsia="仿宋_GB2312" w:cs="宋体"/>
          <w:color w:val="auto"/>
          <w:kern w:val="0"/>
          <w:sz w:val="28"/>
          <w:szCs w:val="28"/>
        </w:rPr>
        <w:t>提供的</w:t>
      </w:r>
      <w:r>
        <w:rPr>
          <w:rFonts w:hint="eastAsia" w:ascii="仿宋_GB2312" w:hAnsi="宋体" w:eastAsia="仿宋_GB2312" w:cs="宋体"/>
          <w:color w:val="auto"/>
          <w:kern w:val="0"/>
          <w:sz w:val="28"/>
          <w:szCs w:val="28"/>
        </w:rPr>
        <w:t>安徽移动</w:t>
      </w:r>
      <w:r>
        <w:rPr>
          <w:rFonts w:hint="eastAsia" w:ascii="仿宋_GB2312" w:hAnsi="宋体" w:eastAsia="仿宋_GB2312" w:cs="宋体"/>
          <w:color w:val="auto"/>
          <w:kern w:val="0"/>
          <w:sz w:val="28"/>
          <w:szCs w:val="28"/>
          <w:lang w:val="en-US" w:eastAsia="zh-CN"/>
        </w:rPr>
        <w:t>IP地址查询校准系统</w:t>
      </w:r>
      <w:r>
        <w:rPr>
          <w:rFonts w:hint="eastAsia" w:ascii="仿宋_GB2312" w:hAnsi="宋体" w:eastAsia="仿宋_GB2312" w:cs="宋体"/>
          <w:color w:val="auto"/>
          <w:kern w:val="0"/>
          <w:sz w:val="28"/>
          <w:szCs w:val="28"/>
        </w:rPr>
        <w:t>功能</w:t>
      </w:r>
      <w:r>
        <w:rPr>
          <w:rFonts w:ascii="仿宋_GB2312" w:hAnsi="宋体" w:eastAsia="仿宋_GB2312" w:cs="宋体"/>
          <w:color w:val="auto"/>
          <w:kern w:val="0"/>
          <w:sz w:val="28"/>
          <w:szCs w:val="28"/>
        </w:rPr>
        <w:t>进</w:t>
      </w:r>
      <w:r>
        <w:rPr>
          <w:rFonts w:hint="eastAsia" w:ascii="仿宋_GB2312" w:hAnsi="宋体" w:eastAsia="仿宋_GB2312" w:cs="宋体"/>
          <w:color w:val="auto"/>
          <w:kern w:val="0"/>
          <w:sz w:val="28"/>
          <w:szCs w:val="28"/>
        </w:rPr>
        <w:t>行测试，确保中标厂商系统</w:t>
      </w:r>
      <w:r>
        <w:rPr>
          <w:rFonts w:hint="eastAsia" w:ascii="仿宋_GB2312" w:hAnsi="宋体" w:eastAsia="仿宋_GB2312" w:cs="宋体"/>
          <w:color w:val="auto"/>
          <w:kern w:val="0"/>
          <w:sz w:val="28"/>
          <w:szCs w:val="28"/>
          <w:lang w:eastAsia="zh-CN"/>
        </w:rPr>
        <w:t>具备</w:t>
      </w:r>
      <w:r>
        <w:rPr>
          <w:rFonts w:hint="eastAsia" w:ascii="仿宋_GB2312" w:hAnsi="宋体" w:eastAsia="仿宋_GB2312" w:cs="宋体"/>
          <w:color w:val="FF0000"/>
          <w:kern w:val="0"/>
          <w:sz w:val="28"/>
          <w:szCs w:val="28"/>
          <w:lang w:val="en-US" w:eastAsia="zh-CN"/>
        </w:rPr>
        <w:t>IP主体信息查询</w:t>
      </w:r>
      <w:r>
        <w:rPr>
          <w:rFonts w:hint="eastAsia" w:ascii="仿宋_GB2312" w:hAnsi="宋体" w:eastAsia="仿宋_GB2312" w:cs="宋体"/>
          <w:color w:val="FF0000"/>
          <w:kern w:val="0"/>
          <w:sz w:val="28"/>
          <w:szCs w:val="28"/>
        </w:rPr>
        <w:t>、</w:t>
      </w:r>
      <w:r>
        <w:rPr>
          <w:rFonts w:hint="eastAsia" w:ascii="仿宋_GB2312" w:hAnsi="宋体" w:eastAsia="仿宋_GB2312" w:cs="宋体"/>
          <w:color w:val="FF0000"/>
          <w:kern w:val="0"/>
          <w:sz w:val="28"/>
          <w:szCs w:val="28"/>
          <w:lang w:val="en-US" w:eastAsia="zh-CN"/>
        </w:rPr>
        <w:t>主体信息冲突规避校准</w:t>
      </w:r>
      <w:r>
        <w:rPr>
          <w:rFonts w:hint="eastAsia" w:ascii="仿宋_GB2312" w:hAnsi="宋体" w:eastAsia="仿宋_GB2312" w:cs="宋体"/>
          <w:color w:val="FF0000"/>
          <w:kern w:val="0"/>
          <w:sz w:val="28"/>
          <w:szCs w:val="28"/>
        </w:rPr>
        <w:t>、</w:t>
      </w:r>
      <w:r>
        <w:rPr>
          <w:rFonts w:hint="eastAsia" w:ascii="仿宋_GB2312" w:hAnsi="宋体" w:eastAsia="仿宋_GB2312" w:cs="宋体"/>
          <w:color w:val="FF0000"/>
          <w:kern w:val="0"/>
          <w:sz w:val="28"/>
          <w:szCs w:val="28"/>
          <w:lang w:val="en-US" w:eastAsia="zh-CN"/>
        </w:rPr>
        <w:t>主体置信度评估</w:t>
      </w:r>
      <w:r>
        <w:rPr>
          <w:rFonts w:hint="eastAsia" w:ascii="仿宋_GB2312" w:hAnsi="宋体" w:eastAsia="仿宋_GB2312" w:cs="宋体"/>
          <w:color w:val="FF0000"/>
          <w:kern w:val="0"/>
          <w:sz w:val="28"/>
          <w:szCs w:val="28"/>
        </w:rPr>
        <w:t>等平台能力</w:t>
      </w:r>
      <w:r>
        <w:rPr>
          <w:rFonts w:hint="eastAsia" w:ascii="仿宋_GB2312" w:hAnsi="宋体" w:eastAsia="仿宋_GB2312" w:cs="宋体"/>
          <w:color w:val="auto"/>
          <w:kern w:val="0"/>
          <w:sz w:val="28"/>
          <w:szCs w:val="28"/>
        </w:rPr>
        <w:t>。</w:t>
      </w:r>
    </w:p>
    <w:p>
      <w:pPr>
        <w:wordWrap w:val="0"/>
        <w:adjustRightInd w:val="0"/>
        <w:snapToGrid w:val="0"/>
        <w:spacing w:line="360" w:lineRule="auto"/>
        <w:ind w:firstLine="562" w:firstLineChars="200"/>
        <w:rPr>
          <w:rFonts w:hint="eastAsia" w:ascii="仿宋_GB2312" w:hAnsi="宋体" w:eastAsia="仿宋_GB2312" w:cs="宋体"/>
          <w:color w:val="auto"/>
          <w:kern w:val="0"/>
          <w:sz w:val="28"/>
          <w:szCs w:val="28"/>
        </w:rPr>
      </w:pPr>
      <w:r>
        <w:rPr>
          <w:rFonts w:hint="eastAsia" w:ascii="仿宋_GB2312" w:hAnsi="宋体" w:eastAsia="仿宋_GB2312" w:cs="宋体"/>
          <w:b/>
          <w:color w:val="auto"/>
          <w:kern w:val="0"/>
          <w:sz w:val="28"/>
          <w:szCs w:val="28"/>
        </w:rPr>
        <w:t>测试内容及标准：</w:t>
      </w:r>
      <w:r>
        <w:rPr>
          <w:rFonts w:hint="eastAsia" w:ascii="仿宋_GB2312" w:hAnsi="宋体" w:eastAsia="仿宋_GB2312" w:cs="宋体"/>
          <w:color w:val="auto"/>
          <w:kern w:val="0"/>
          <w:sz w:val="28"/>
          <w:szCs w:val="28"/>
        </w:rPr>
        <w:t>本次参照《</w:t>
      </w:r>
      <w:r>
        <w:rPr>
          <w:rFonts w:hint="eastAsia" w:ascii="仿宋_GB2312" w:hAnsi="宋体" w:eastAsia="仿宋_GB2312" w:cs="宋体"/>
          <w:color w:val="FF0000"/>
          <w:kern w:val="0"/>
          <w:sz w:val="28"/>
          <w:szCs w:val="28"/>
        </w:rPr>
        <w:t>202</w:t>
      </w:r>
      <w:r>
        <w:rPr>
          <w:rFonts w:hint="eastAsia" w:ascii="仿宋_GB2312" w:hAnsi="宋体" w:eastAsia="仿宋_GB2312" w:cs="宋体"/>
          <w:color w:val="FF0000"/>
          <w:kern w:val="0"/>
          <w:sz w:val="28"/>
          <w:szCs w:val="28"/>
          <w:lang w:val="en-US" w:eastAsia="zh-CN"/>
        </w:rPr>
        <w:t>6</w:t>
      </w:r>
      <w:r>
        <w:rPr>
          <w:rFonts w:hint="eastAsia" w:ascii="仿宋_GB2312" w:hAnsi="宋体" w:eastAsia="仿宋_GB2312" w:cs="宋体"/>
          <w:color w:val="FF0000"/>
          <w:kern w:val="0"/>
          <w:sz w:val="28"/>
          <w:szCs w:val="28"/>
        </w:rPr>
        <w:t>年安徽移动</w:t>
      </w:r>
      <w:r>
        <w:rPr>
          <w:rFonts w:hint="eastAsia" w:ascii="仿宋_GB2312" w:hAnsi="宋体" w:eastAsia="仿宋_GB2312" w:cs="宋体"/>
          <w:color w:val="FF0000"/>
          <w:kern w:val="0"/>
          <w:sz w:val="28"/>
          <w:szCs w:val="28"/>
          <w:lang w:val="en-US" w:eastAsia="zh-CN"/>
        </w:rPr>
        <w:t>IP地址查询校准系统</w:t>
      </w:r>
      <w:r>
        <w:rPr>
          <w:rFonts w:hint="eastAsia" w:ascii="仿宋_GB2312" w:hAnsi="宋体" w:eastAsia="仿宋_GB2312" w:cs="宋体"/>
          <w:color w:val="FF0000"/>
          <w:kern w:val="0"/>
          <w:sz w:val="28"/>
          <w:szCs w:val="28"/>
        </w:rPr>
        <w:t>技术规范书</w:t>
      </w:r>
      <w:r>
        <w:rPr>
          <w:rFonts w:hint="eastAsia" w:ascii="仿宋_GB2312" w:hAnsi="宋体" w:eastAsia="仿宋_GB2312" w:cs="宋体"/>
          <w:color w:val="auto"/>
          <w:kern w:val="0"/>
          <w:sz w:val="28"/>
          <w:szCs w:val="28"/>
        </w:rPr>
        <w:t>》和测试要求，重点对系统关键功能进行测试，详见测试表。</w:t>
      </w:r>
    </w:p>
    <w:p>
      <w:pPr>
        <w:wordWrap w:val="0"/>
        <w:adjustRightInd w:val="0"/>
        <w:snapToGrid w:val="0"/>
        <w:spacing w:line="360" w:lineRule="auto"/>
        <w:ind w:firstLine="562" w:firstLineChars="200"/>
        <w:rPr>
          <w:rFonts w:hint="eastAsia" w:ascii="仿宋_GB2312" w:hAnsi="宋体" w:eastAsia="仿宋_GB2312" w:cs="宋体"/>
          <w:b/>
          <w:color w:val="auto"/>
          <w:kern w:val="0"/>
          <w:sz w:val="28"/>
          <w:szCs w:val="28"/>
          <w:lang w:eastAsia="zh-CN"/>
        </w:rPr>
      </w:pPr>
      <w:r>
        <w:rPr>
          <w:rFonts w:hint="eastAsia" w:ascii="仿宋_GB2312" w:hAnsi="宋体" w:eastAsia="仿宋_GB2312" w:cs="宋体"/>
          <w:b/>
          <w:color w:val="auto"/>
          <w:kern w:val="0"/>
          <w:sz w:val="28"/>
          <w:szCs w:val="28"/>
        </w:rPr>
        <w:t>测试组组成原则</w:t>
      </w:r>
      <w:r>
        <w:rPr>
          <w:rFonts w:hint="eastAsia" w:ascii="仿宋_GB2312" w:hAnsi="宋体" w:eastAsia="仿宋_GB2312" w:cs="宋体"/>
          <w:b/>
          <w:color w:val="auto"/>
          <w:kern w:val="0"/>
          <w:sz w:val="28"/>
          <w:szCs w:val="28"/>
          <w:lang w:eastAsia="zh-CN"/>
        </w:rPr>
        <w:t>：</w:t>
      </w:r>
    </w:p>
    <w:p>
      <w:pPr>
        <w:wordWrap w:val="0"/>
        <w:adjustRightInd w:val="0"/>
        <w:snapToGrid w:val="0"/>
        <w:spacing w:line="360" w:lineRule="auto"/>
        <w:ind w:firstLine="560" w:firstLineChars="200"/>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由网管中心牵头（担任组长）、网络与信息安全管理部、网络部共同参与。</w:t>
      </w:r>
    </w:p>
    <w:p>
      <w:pPr>
        <w:wordWrap w:val="0"/>
        <w:adjustRightInd w:val="0"/>
        <w:snapToGrid w:val="0"/>
        <w:spacing w:line="360" w:lineRule="auto"/>
        <w:ind w:firstLine="562" w:firstLineChars="200"/>
        <w:jc w:val="left"/>
        <w:rPr>
          <w:rFonts w:hint="eastAsia" w:ascii="仿宋_GB2312" w:hAnsi="宋体" w:eastAsia="仿宋_GB2312" w:cs="宋体"/>
          <w:b/>
          <w:color w:val="auto"/>
          <w:kern w:val="0"/>
          <w:sz w:val="28"/>
          <w:szCs w:val="28"/>
        </w:rPr>
      </w:pPr>
      <w:r>
        <w:rPr>
          <w:rFonts w:hint="eastAsia" w:ascii="仿宋_GB2312" w:hAnsi="宋体" w:eastAsia="仿宋_GB2312" w:cs="宋体"/>
          <w:b/>
          <w:color w:val="auto"/>
          <w:kern w:val="0"/>
          <w:sz w:val="28"/>
          <w:szCs w:val="28"/>
        </w:rPr>
        <w:t>测试环境准备：</w:t>
      </w:r>
    </w:p>
    <w:p>
      <w:pPr>
        <w:wordWrap w:val="0"/>
        <w:adjustRightInd w:val="0"/>
        <w:snapToGrid w:val="0"/>
        <w:spacing w:line="360" w:lineRule="auto"/>
        <w:ind w:firstLine="560" w:firstLineChars="200"/>
        <w:jc w:val="left"/>
        <w:rPr>
          <w:rFonts w:hint="eastAsia" w:ascii="仿宋_GB2312" w:hAnsi="宋体" w:eastAsia="仿宋_GB2312" w:cs="宋体"/>
          <w:color w:val="000000" w:themeColor="text1"/>
          <w:kern w:val="0"/>
          <w:sz w:val="28"/>
          <w:szCs w:val="28"/>
          <w14:textFill>
            <w14:solidFill>
              <w14:schemeClr w14:val="tx1"/>
            </w14:solidFill>
          </w14:textFill>
        </w:rPr>
      </w:pPr>
      <w:r>
        <w:rPr>
          <w:rFonts w:hint="eastAsia" w:ascii="仿宋_GB2312" w:hAnsi="宋体" w:eastAsia="仿宋_GB2312" w:cs="宋体"/>
          <w:color w:val="000000" w:themeColor="text1"/>
          <w:kern w:val="0"/>
          <w:sz w:val="28"/>
          <w:szCs w:val="28"/>
          <w14:textFill>
            <w14:solidFill>
              <w14:schemeClr w14:val="tx1"/>
            </w14:solidFill>
          </w14:textFill>
        </w:rPr>
        <w:t>1、本次测试地点在安徽省合肥市蜀山区黄山路609号安徽移动指挥楼</w:t>
      </w:r>
      <w:r>
        <w:rPr>
          <w:rFonts w:hint="default" w:ascii="仿宋_GB2312" w:hAnsi="宋体" w:eastAsia="仿宋_GB2312" w:cs="宋体"/>
          <w:color w:val="000000" w:themeColor="text1"/>
          <w:kern w:val="0"/>
          <w:sz w:val="28"/>
          <w:szCs w:val="28"/>
          <w14:textFill>
            <w14:solidFill>
              <w14:schemeClr w14:val="tx1"/>
            </w14:solidFill>
          </w14:textFill>
        </w:rPr>
        <w:t>4</w:t>
      </w:r>
      <w:r>
        <w:rPr>
          <w:rFonts w:hint="eastAsia" w:ascii="仿宋_GB2312" w:hAnsi="宋体" w:eastAsia="仿宋_GB2312" w:cs="宋体"/>
          <w:color w:val="000000" w:themeColor="text1"/>
          <w:kern w:val="0"/>
          <w:sz w:val="28"/>
          <w:szCs w:val="28"/>
          <w14:textFill>
            <w14:solidFill>
              <w14:schemeClr w14:val="tx1"/>
            </w14:solidFill>
          </w14:textFill>
        </w:rPr>
        <w:t>楼会议室，应答人需自带电脑，自行搭建测试环境，</w:t>
      </w:r>
      <w:r>
        <w:rPr>
          <w:rFonts w:hint="eastAsia" w:ascii="仿宋_GB2312" w:hAnsi="宋体" w:eastAsia="仿宋_GB2312" w:cs="宋体"/>
          <w:color w:val="000000" w:themeColor="text1"/>
          <w:kern w:val="0"/>
          <w:sz w:val="28"/>
          <w:szCs w:val="28"/>
          <w:lang w:val="en-US" w:eastAsia="zh-CN"/>
          <w14:textFill>
            <w14:solidFill>
              <w14:schemeClr w14:val="tx1"/>
            </w14:solidFill>
          </w14:textFill>
        </w:rPr>
        <w:t>录入</w:t>
      </w:r>
      <w:r>
        <w:rPr>
          <w:rFonts w:hint="eastAsia" w:ascii="仿宋_GB2312" w:hAnsi="宋体" w:eastAsia="仿宋_GB2312" w:cs="宋体"/>
          <w:color w:val="auto"/>
          <w:kern w:val="0"/>
          <w:sz w:val="28"/>
          <w:szCs w:val="28"/>
        </w:rPr>
        <w:t>测试所需的数据集</w:t>
      </w:r>
      <w:r>
        <w:rPr>
          <w:rFonts w:hint="eastAsia" w:ascii="仿宋_GB2312" w:hAnsi="宋体" w:eastAsia="仿宋_GB2312" w:cs="宋体"/>
          <w:color w:val="auto"/>
          <w:kern w:val="0"/>
          <w:sz w:val="28"/>
          <w:szCs w:val="28"/>
          <w:lang w:val="en-US" w:eastAsia="zh-CN"/>
        </w:rPr>
        <w:t>,</w:t>
      </w:r>
      <w:r>
        <w:rPr>
          <w:rFonts w:hint="eastAsia" w:ascii="仿宋_GB2312" w:hAnsi="宋体" w:eastAsia="仿宋_GB2312" w:cs="宋体"/>
          <w:color w:val="000000" w:themeColor="text1"/>
          <w:kern w:val="0"/>
          <w:sz w:val="28"/>
          <w:szCs w:val="28"/>
          <w14:textFill>
            <w14:solidFill>
              <w14:schemeClr w14:val="tx1"/>
            </w14:solidFill>
          </w14:textFill>
        </w:rPr>
        <w:t>于测试现场进行系统测试。</w:t>
      </w:r>
    </w:p>
    <w:p>
      <w:pPr>
        <w:wordWrap w:val="0"/>
        <w:adjustRightInd w:val="0"/>
        <w:snapToGrid w:val="0"/>
        <w:spacing w:line="360" w:lineRule="auto"/>
        <w:ind w:firstLine="560" w:firstLineChars="200"/>
        <w:jc w:val="left"/>
        <w:rPr>
          <w:rFonts w:hint="eastAsia" w:ascii="仿宋_GB2312" w:hAnsi="宋体" w:eastAsia="仿宋_GB2312" w:cs="宋体"/>
          <w:color w:val="000000" w:themeColor="text1"/>
          <w:kern w:val="0"/>
          <w:sz w:val="28"/>
          <w:szCs w:val="28"/>
          <w14:textFill>
            <w14:solidFill>
              <w14:schemeClr w14:val="tx1"/>
            </w14:solidFill>
          </w14:textFill>
        </w:rPr>
      </w:pPr>
      <w:r>
        <w:rPr>
          <w:rFonts w:hint="eastAsia" w:ascii="仿宋_GB2312" w:hAnsi="宋体" w:eastAsia="仿宋_GB2312" w:cs="宋体"/>
          <w:color w:val="000000" w:themeColor="text1"/>
          <w:kern w:val="0"/>
          <w:sz w:val="28"/>
          <w:szCs w:val="28"/>
          <w14:textFill>
            <w14:solidFill>
              <w14:schemeClr w14:val="tx1"/>
            </w14:solidFill>
          </w14:textFill>
        </w:rPr>
        <w:t>2、要求应答人最多只能安排3名测试代表进行现场测试并提供测试结果。</w:t>
      </w:r>
    </w:p>
    <w:p>
      <w:pPr>
        <w:wordWrap w:val="0"/>
        <w:adjustRightInd w:val="0"/>
        <w:snapToGrid w:val="0"/>
        <w:spacing w:line="360" w:lineRule="auto"/>
        <w:ind w:firstLine="560" w:firstLineChars="200"/>
        <w:jc w:val="left"/>
        <w:rPr>
          <w:rFonts w:hint="eastAsia" w:ascii="仿宋_GB2312" w:hAnsi="宋体" w:eastAsia="仿宋_GB2312" w:cs="宋体"/>
          <w:color w:val="000000" w:themeColor="text1"/>
          <w:kern w:val="0"/>
          <w:sz w:val="28"/>
          <w:szCs w:val="28"/>
          <w14:textFill>
            <w14:solidFill>
              <w14:schemeClr w14:val="tx1"/>
            </w14:solidFill>
          </w14:textFill>
        </w:rPr>
      </w:pPr>
      <w:r>
        <w:rPr>
          <w:rFonts w:hint="eastAsia" w:ascii="仿宋_GB2312" w:hAnsi="宋体" w:eastAsia="仿宋_GB2312" w:cs="宋体"/>
          <w:color w:val="000000" w:themeColor="text1"/>
          <w:kern w:val="0"/>
          <w:sz w:val="28"/>
          <w:szCs w:val="28"/>
          <w14:textFill>
            <w14:solidFill>
              <w14:schemeClr w14:val="tx1"/>
            </w14:solidFill>
          </w14:textFill>
        </w:rPr>
        <w:t>3、测试总时长为</w:t>
      </w:r>
      <w:r>
        <w:rPr>
          <w:rFonts w:hint="eastAsia" w:ascii="仿宋_GB2312" w:hAnsi="宋体" w:eastAsia="仿宋_GB2312" w:cs="宋体"/>
          <w:color w:val="000000" w:themeColor="text1"/>
          <w:kern w:val="0"/>
          <w:sz w:val="28"/>
          <w:szCs w:val="28"/>
          <w:lang w:val="en-US" w:eastAsia="zh-CN"/>
          <w14:textFill>
            <w14:solidFill>
              <w14:schemeClr w14:val="tx1"/>
            </w14:solidFill>
          </w14:textFill>
        </w:rPr>
        <w:t>2</w:t>
      </w:r>
      <w:r>
        <w:rPr>
          <w:rFonts w:hint="eastAsia" w:ascii="仿宋_GB2312" w:hAnsi="宋体" w:eastAsia="仿宋_GB2312" w:cs="宋体"/>
          <w:color w:val="000000" w:themeColor="text1"/>
          <w:kern w:val="0"/>
          <w:sz w:val="28"/>
          <w:szCs w:val="28"/>
          <w14:textFill>
            <w14:solidFill>
              <w14:schemeClr w14:val="tx1"/>
            </w14:solidFill>
          </w14:textFill>
        </w:rPr>
        <w:t>小时（不含测试准备时间30分钟），应答人必须在规定的时间内按要求提交最终结果，超过时间未提交者视为放弃。</w:t>
      </w:r>
    </w:p>
    <w:p>
      <w:pPr>
        <w:wordWrap w:val="0"/>
        <w:adjustRightInd w:val="0"/>
        <w:snapToGrid w:val="0"/>
        <w:spacing w:line="360" w:lineRule="auto"/>
        <w:ind w:firstLine="560" w:firstLineChars="200"/>
        <w:jc w:val="left"/>
        <w:rPr>
          <w:rFonts w:hint="eastAsia" w:ascii="仿宋_GB2312" w:hAnsi="宋体" w:eastAsia="仿宋_GB2312" w:cs="宋体"/>
          <w:color w:val="000000" w:themeColor="text1"/>
          <w:kern w:val="0"/>
          <w:sz w:val="28"/>
          <w:szCs w:val="28"/>
          <w14:textFill>
            <w14:solidFill>
              <w14:schemeClr w14:val="tx1"/>
            </w14:solidFill>
          </w14:textFill>
        </w:rPr>
      </w:pPr>
      <w:r>
        <w:rPr>
          <w:rFonts w:hint="eastAsia" w:ascii="仿宋_GB2312" w:hAnsi="宋体" w:eastAsia="仿宋_GB2312" w:cs="宋体"/>
          <w:color w:val="000000" w:themeColor="text1"/>
          <w:kern w:val="0"/>
          <w:sz w:val="28"/>
          <w:szCs w:val="28"/>
          <w14:textFill>
            <w14:solidFill>
              <w14:schemeClr w14:val="tx1"/>
            </w14:solidFill>
          </w14:textFill>
        </w:rPr>
        <w:t>4、每家应答人测试环境准备时长为30分钟，如果超过30分钟环境未准备好，则在后续测试时长中扣除，测试环境准备在上一家测试、签字确认结束后开始。</w:t>
      </w:r>
    </w:p>
    <w:p>
      <w:pPr>
        <w:wordWrap w:val="0"/>
        <w:adjustRightInd w:val="0"/>
        <w:snapToGrid w:val="0"/>
        <w:spacing w:line="360" w:lineRule="auto"/>
        <w:ind w:firstLine="562" w:firstLineChars="200"/>
        <w:jc w:val="left"/>
        <w:rPr>
          <w:rFonts w:hint="eastAsia" w:ascii="仿宋_GB2312" w:hAnsi="宋体" w:eastAsia="仿宋_GB2312" w:cs="宋体"/>
          <w:b/>
          <w:color w:val="auto"/>
          <w:kern w:val="0"/>
          <w:sz w:val="28"/>
          <w:szCs w:val="28"/>
        </w:rPr>
      </w:pPr>
      <w:r>
        <w:rPr>
          <w:rFonts w:hint="eastAsia" w:ascii="仿宋_GB2312" w:hAnsi="宋体" w:eastAsia="仿宋_GB2312" w:cs="宋体"/>
          <w:b/>
          <w:color w:val="auto"/>
          <w:kern w:val="0"/>
          <w:sz w:val="28"/>
          <w:szCs w:val="28"/>
        </w:rPr>
        <w:t>测试样品递交及接收：</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应答人针对所测试的能力在测试现场直接测试，无需递交测试样品。</w:t>
      </w:r>
    </w:p>
    <w:p>
      <w:pPr>
        <w:wordWrap w:val="0"/>
        <w:adjustRightInd w:val="0"/>
        <w:snapToGrid w:val="0"/>
        <w:spacing w:line="360" w:lineRule="auto"/>
        <w:ind w:firstLine="562" w:firstLineChars="200"/>
        <w:rPr>
          <w:rFonts w:hint="eastAsia" w:ascii="仿宋_GB2312" w:hAnsi="宋体" w:eastAsia="仿宋_GB2312" w:cs="宋体"/>
          <w:color w:val="auto"/>
          <w:kern w:val="0"/>
          <w:sz w:val="28"/>
          <w:szCs w:val="28"/>
          <w:lang w:eastAsia="zh-CN"/>
        </w:rPr>
      </w:pPr>
      <w:r>
        <w:rPr>
          <w:rFonts w:hint="eastAsia" w:ascii="仿宋_GB2312" w:hAnsi="宋体" w:eastAsia="仿宋_GB2312" w:cs="宋体"/>
          <w:b/>
          <w:color w:val="auto"/>
          <w:kern w:val="0"/>
          <w:sz w:val="28"/>
          <w:szCs w:val="28"/>
        </w:rPr>
        <w:t>测试方法</w:t>
      </w:r>
      <w:r>
        <w:rPr>
          <w:rFonts w:hint="eastAsia" w:ascii="仿宋_GB2312" w:hAnsi="宋体" w:eastAsia="仿宋_GB2312" w:cs="宋体"/>
          <w:b/>
          <w:color w:val="auto"/>
          <w:kern w:val="0"/>
          <w:sz w:val="28"/>
          <w:szCs w:val="28"/>
          <w:lang w:eastAsia="zh-CN"/>
        </w:rPr>
        <w:t>：</w:t>
      </w:r>
      <w:r>
        <w:rPr>
          <w:rFonts w:hint="eastAsia" w:ascii="仿宋_GB2312" w:hAnsi="宋体" w:eastAsia="仿宋_GB2312" w:cs="宋体"/>
          <w:color w:val="auto"/>
          <w:kern w:val="0"/>
          <w:sz w:val="28"/>
          <w:szCs w:val="28"/>
          <w:lang w:eastAsia="zh-CN"/>
        </w:rPr>
        <w:t>按照采购人提供的IP地址查询校准系统测试方案对采购所需要的IP地址查询校准系统功能进行现场登录演示并输出测试结果数据。</w:t>
      </w:r>
    </w:p>
    <w:p>
      <w:pPr>
        <w:wordWrap w:val="0"/>
        <w:adjustRightInd w:val="0"/>
        <w:snapToGrid w:val="0"/>
        <w:spacing w:line="360" w:lineRule="auto"/>
        <w:ind w:firstLine="562" w:firstLineChars="200"/>
        <w:rPr>
          <w:rFonts w:hint="eastAsia" w:ascii="仿宋_GB2312" w:hAnsi="宋体" w:eastAsia="仿宋_GB2312" w:cs="宋体"/>
          <w:color w:val="auto"/>
          <w:kern w:val="0"/>
          <w:sz w:val="28"/>
          <w:szCs w:val="28"/>
        </w:rPr>
      </w:pPr>
      <w:r>
        <w:rPr>
          <w:rFonts w:hint="eastAsia" w:ascii="仿宋_GB2312" w:hAnsi="宋体" w:eastAsia="仿宋_GB2312" w:cs="宋体"/>
          <w:b/>
          <w:color w:val="auto"/>
          <w:kern w:val="0"/>
          <w:sz w:val="28"/>
          <w:szCs w:val="28"/>
        </w:rPr>
        <w:t>测试顺序：</w:t>
      </w:r>
      <w:r>
        <w:rPr>
          <w:rFonts w:hint="eastAsia" w:ascii="仿宋_GB2312" w:hAnsi="宋体" w:eastAsia="仿宋_GB2312" w:cs="宋体"/>
          <w:color w:val="auto"/>
          <w:kern w:val="0"/>
          <w:sz w:val="28"/>
          <w:szCs w:val="28"/>
        </w:rPr>
        <w:t>在唱价现场由供应商授权代表抽签确定测试顺序，并由供应商授权代表现场签字确认。若供应商未安排授权代表参与现场抽签，则视为该供应商不参与测试，主动退出本次采购项目。</w:t>
      </w:r>
    </w:p>
    <w:p>
      <w:pPr>
        <w:wordWrap w:val="0"/>
        <w:adjustRightInd w:val="0"/>
        <w:snapToGrid w:val="0"/>
        <w:spacing w:line="360" w:lineRule="auto"/>
        <w:ind w:firstLine="562"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b/>
          <w:color w:val="auto"/>
          <w:kern w:val="0"/>
          <w:sz w:val="28"/>
          <w:szCs w:val="28"/>
        </w:rPr>
        <w:t>日程安排：</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1.唱价结束后的次日（若非工作日，则顺延至下一工作日），每2小时测试一家（不包括测试环境准备时间）；</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2.测试工作时间为上午：8:45-12:45，下午：14:00-18:00；</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3.每家环境准备时长30分钟，如果超过30分钟环境没准备好，则在2小时的测试时长中扣除；</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4.上一家测试、签字确认结束后，启动下一家的测试环境准备、测试工作。</w:t>
      </w:r>
    </w:p>
    <w:p>
      <w:pPr>
        <w:wordWrap w:val="0"/>
        <w:adjustRightInd w:val="0"/>
        <w:snapToGrid w:val="0"/>
        <w:spacing w:line="360" w:lineRule="auto"/>
        <w:ind w:firstLine="562" w:firstLineChars="200"/>
        <w:jc w:val="left"/>
        <w:rPr>
          <w:rFonts w:hint="eastAsia" w:ascii="仿宋_GB2312" w:hAnsi="宋体" w:eastAsia="仿宋_GB2312" w:cs="宋体"/>
          <w:b/>
          <w:color w:val="auto"/>
          <w:kern w:val="0"/>
          <w:sz w:val="28"/>
          <w:szCs w:val="28"/>
        </w:rPr>
      </w:pPr>
      <w:r>
        <w:rPr>
          <w:rFonts w:hint="eastAsia" w:ascii="仿宋_GB2312" w:hAnsi="宋体" w:eastAsia="仿宋_GB2312" w:cs="宋体"/>
          <w:b/>
          <w:color w:val="auto"/>
          <w:kern w:val="0"/>
          <w:sz w:val="28"/>
          <w:szCs w:val="28"/>
        </w:rPr>
        <w:t>测试过程：</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由安徽移动测试人员现场宣读测试规则，发放测试所需的数据集，安排讲解。测试完成后，应答人根据测试结果提交测试报告及相关文档给采购人。</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rPr>
        <w:t>应答人最多可安排3名测试人员入场。</w:t>
      </w:r>
    </w:p>
    <w:p>
      <w:pPr>
        <w:wordWrap w:val="0"/>
        <w:adjustRightInd w:val="0"/>
        <w:snapToGrid w:val="0"/>
        <w:spacing w:line="360" w:lineRule="auto"/>
        <w:ind w:firstLine="562"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b/>
          <w:color w:val="auto"/>
          <w:kern w:val="0"/>
          <w:sz w:val="28"/>
          <w:szCs w:val="28"/>
        </w:rPr>
        <w:t>测试流程及结果确认：</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1.</w:t>
      </w:r>
      <w:r>
        <w:rPr>
          <w:rFonts w:hint="eastAsia" w:ascii="仿宋_GB2312" w:hAnsi="宋体" w:eastAsia="仿宋_GB2312" w:cs="宋体"/>
          <w:color w:val="auto"/>
          <w:kern w:val="0"/>
          <w:sz w:val="28"/>
          <w:szCs w:val="28"/>
        </w:rPr>
        <w:t>测试开始前，测试组应查验应答人授权代表的身份证明文件（授权函原件和身份证件），授权函须加盖应答人公章，且被授权人信息与身份证件一致方可为有效，否则视为该应答人主动退出本次采购项目，不参与本次测试。</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2.</w:t>
      </w:r>
      <w:r>
        <w:rPr>
          <w:rFonts w:hint="eastAsia" w:ascii="仿宋_GB2312" w:hAnsi="宋体" w:eastAsia="仿宋_GB2312" w:cs="宋体"/>
          <w:color w:val="auto"/>
          <w:kern w:val="0"/>
          <w:sz w:val="28"/>
          <w:szCs w:val="28"/>
        </w:rPr>
        <w:t>测试开始时，由测试组长宣读测试规则，其中在测试结束时，如应答人授权的测试代表拒绝在测试结果报告上签字确认，且1个工作日内未向采购人提交书面异议函，则视同该应答人未参与测试。</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3.</w:t>
      </w:r>
      <w:r>
        <w:rPr>
          <w:rFonts w:hint="eastAsia" w:ascii="仿宋_GB2312" w:hAnsi="宋体" w:eastAsia="仿宋_GB2312" w:cs="宋体"/>
          <w:color w:val="auto"/>
          <w:kern w:val="0"/>
          <w:sz w:val="28"/>
          <w:szCs w:val="28"/>
        </w:rPr>
        <w:t>本次只进行一轮测试。</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4.</w:t>
      </w:r>
      <w:r>
        <w:rPr>
          <w:rFonts w:hint="eastAsia" w:ascii="仿宋_GB2312" w:hAnsi="宋体" w:eastAsia="仿宋_GB2312" w:cs="宋体"/>
          <w:color w:val="auto"/>
          <w:kern w:val="0"/>
          <w:sz w:val="28"/>
          <w:szCs w:val="28"/>
        </w:rPr>
        <w:t>宣读规则后，测试组成员及应答人授权测试代表共同在测试规则上签字确认。</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5.</w:t>
      </w:r>
      <w:r>
        <w:rPr>
          <w:rFonts w:hint="eastAsia" w:ascii="仿宋_GB2312" w:hAnsi="宋体" w:eastAsia="仿宋_GB2312" w:cs="宋体"/>
          <w:color w:val="auto"/>
          <w:kern w:val="0"/>
          <w:sz w:val="28"/>
          <w:szCs w:val="28"/>
        </w:rPr>
        <w:t>测试结果原则上应采取打印方式记录，其中对于测试结果可手写，但仅限使用黑、蓝色钢笔或水笔书写。</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r>
        <w:rPr>
          <w:rFonts w:hint="eastAsia" w:ascii="仿宋_GB2312" w:hAnsi="宋体" w:eastAsia="仿宋_GB2312" w:cs="宋体"/>
          <w:color w:val="auto"/>
          <w:kern w:val="0"/>
          <w:sz w:val="28"/>
          <w:szCs w:val="28"/>
          <w:lang w:val="en-US" w:eastAsia="zh-CN"/>
        </w:rPr>
        <w:t>6.</w:t>
      </w:r>
      <w:r>
        <w:rPr>
          <w:rFonts w:hint="eastAsia" w:ascii="仿宋_GB2312" w:hAnsi="宋体" w:eastAsia="仿宋_GB2312" w:cs="宋体"/>
          <w:color w:val="auto"/>
          <w:kern w:val="0"/>
          <w:sz w:val="28"/>
          <w:szCs w:val="28"/>
        </w:rPr>
        <w:t>测试完成时，测试组全体成员和应答人授权的测试代表立即在测试报告上逐页共同签字确认，并现场密封，交采购人代表（或采购代理机构）保管，供评审时使用。</w:t>
      </w: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wordWrap w:val="0"/>
        <w:adjustRightInd w:val="0"/>
        <w:snapToGrid w:val="0"/>
        <w:spacing w:line="360" w:lineRule="auto"/>
        <w:ind w:firstLine="560" w:firstLineChars="200"/>
        <w:jc w:val="left"/>
        <w:rPr>
          <w:rFonts w:hint="eastAsia" w:ascii="仿宋_GB2312" w:hAnsi="宋体" w:eastAsia="仿宋_GB2312" w:cs="宋体"/>
          <w:color w:val="auto"/>
          <w:kern w:val="0"/>
          <w:sz w:val="28"/>
          <w:szCs w:val="28"/>
        </w:rPr>
      </w:pPr>
    </w:p>
    <w:p>
      <w:pPr>
        <w:jc w:val="left"/>
        <w:outlineLvl w:val="0"/>
        <w:rPr>
          <w:b/>
          <w:bCs/>
          <w:sz w:val="30"/>
          <w:szCs w:val="30"/>
          <w:highlight w:val="none"/>
        </w:rPr>
      </w:pPr>
      <w:r>
        <w:rPr>
          <w:rFonts w:hint="eastAsia"/>
          <w:b/>
          <w:bCs/>
          <w:sz w:val="30"/>
          <w:szCs w:val="30"/>
          <w:highlight w:val="none"/>
        </w:rPr>
        <w:t>附</w:t>
      </w:r>
      <w:r>
        <w:rPr>
          <w:rFonts w:hint="eastAsia"/>
          <w:b/>
          <w:bCs/>
          <w:sz w:val="30"/>
          <w:szCs w:val="30"/>
          <w:highlight w:val="none"/>
          <w:lang w:eastAsia="zh-CN"/>
        </w:rPr>
        <w:t>录</w:t>
      </w:r>
      <w:r>
        <w:rPr>
          <w:rFonts w:hint="eastAsia"/>
          <w:b/>
          <w:bCs/>
          <w:sz w:val="30"/>
          <w:szCs w:val="30"/>
          <w:highlight w:val="none"/>
        </w:rPr>
        <w:t>1：授权委托及测试承诺书</w:t>
      </w:r>
    </w:p>
    <w:p>
      <w:pPr>
        <w:jc w:val="center"/>
        <w:rPr>
          <w:b/>
          <w:bCs/>
          <w:sz w:val="24"/>
          <w:highlight w:val="none"/>
        </w:rPr>
      </w:pPr>
    </w:p>
    <w:p>
      <w:pPr>
        <w:jc w:val="center"/>
        <w:rPr>
          <w:b/>
          <w:bCs/>
          <w:sz w:val="32"/>
          <w:szCs w:val="32"/>
          <w:highlight w:val="none"/>
        </w:rPr>
      </w:pPr>
      <w:r>
        <w:rPr>
          <w:rFonts w:hint="eastAsia"/>
          <w:b/>
          <w:bCs/>
          <w:sz w:val="32"/>
          <w:szCs w:val="32"/>
          <w:highlight w:val="none"/>
        </w:rPr>
        <w:t>测试</w:t>
      </w:r>
      <w:r>
        <w:rPr>
          <w:b/>
          <w:bCs/>
          <w:sz w:val="32"/>
          <w:szCs w:val="32"/>
          <w:highlight w:val="none"/>
        </w:rPr>
        <w:t>代表</w:t>
      </w:r>
      <w:r>
        <w:rPr>
          <w:rFonts w:hint="eastAsia"/>
          <w:b/>
          <w:bCs/>
          <w:sz w:val="32"/>
          <w:szCs w:val="32"/>
          <w:highlight w:val="none"/>
        </w:rPr>
        <w:t>授权委托及测试承诺书</w:t>
      </w:r>
    </w:p>
    <w:p>
      <w:pPr>
        <w:rPr>
          <w:sz w:val="24"/>
          <w:highlight w:val="none"/>
          <w:u w:val="single"/>
        </w:rPr>
      </w:pPr>
    </w:p>
    <w:p>
      <w:pPr>
        <w:snapToGrid w:val="0"/>
        <w:spacing w:line="480" w:lineRule="auto"/>
        <w:rPr>
          <w:rFonts w:ascii="宋体" w:hAnsi="宋体"/>
          <w:sz w:val="24"/>
          <w:highlight w:val="none"/>
          <w:u w:val="single"/>
        </w:rPr>
      </w:pPr>
      <w:r>
        <w:rPr>
          <w:rFonts w:hint="eastAsia" w:ascii="宋体" w:hAnsi="宋体"/>
          <w:sz w:val="24"/>
          <w:highlight w:val="none"/>
          <w:u w:val="single"/>
        </w:rPr>
        <w:t>中国移动通信集团安徽有限公司</w:t>
      </w:r>
      <w:r>
        <w:rPr>
          <w:rFonts w:hint="eastAsia" w:ascii="宋体" w:hAnsi="宋体"/>
          <w:sz w:val="24"/>
          <w:highlight w:val="none"/>
        </w:rPr>
        <w:t>：</w:t>
      </w:r>
    </w:p>
    <w:p>
      <w:pPr>
        <w:snapToGrid w:val="0"/>
        <w:spacing w:before="156" w:beforeLines="50" w:after="156" w:afterLines="50" w:line="360" w:lineRule="auto"/>
        <w:ind w:firstLine="480" w:firstLineChars="200"/>
        <w:rPr>
          <w:rFonts w:ascii="宋体" w:hAnsi="宋体"/>
          <w:sz w:val="24"/>
          <w:highlight w:val="none"/>
        </w:rPr>
      </w:pPr>
      <w:r>
        <w:rPr>
          <w:rFonts w:hint="eastAsia" w:ascii="宋体" w:hAnsi="宋体"/>
          <w:sz w:val="24"/>
          <w:highlight w:val="none"/>
        </w:rPr>
        <w:t>兹委托（姓名）</w:t>
      </w:r>
      <w:r>
        <w:rPr>
          <w:rFonts w:hint="eastAsia" w:ascii="宋体" w:hAnsi="宋体"/>
          <w:sz w:val="24"/>
          <w:highlight w:val="none"/>
          <w:u w:val="single"/>
        </w:rPr>
        <w:t xml:space="preserve"> </w:t>
      </w:r>
      <w:r>
        <w:rPr>
          <w:rFonts w:ascii="宋体" w:hAnsi="宋体"/>
          <w:sz w:val="24"/>
          <w:highlight w:val="none"/>
          <w:u w:val="single"/>
        </w:rPr>
        <w:t xml:space="preserve">      </w:t>
      </w:r>
      <w:r>
        <w:rPr>
          <w:rFonts w:hint="eastAsia" w:ascii="宋体" w:hAnsi="宋体"/>
          <w:sz w:val="24"/>
          <w:highlight w:val="none"/>
          <w:u w:val="single"/>
        </w:rPr>
        <w:t xml:space="preserve">   </w:t>
      </w:r>
      <w:r>
        <w:rPr>
          <w:rFonts w:hint="eastAsia" w:ascii="宋体" w:hAnsi="宋体"/>
          <w:sz w:val="24"/>
          <w:highlight w:val="none"/>
        </w:rPr>
        <w:t>，</w:t>
      </w:r>
      <w:r>
        <w:rPr>
          <w:rFonts w:ascii="宋体" w:hAnsi="宋体"/>
          <w:sz w:val="24"/>
          <w:highlight w:val="none"/>
        </w:rPr>
        <w:t>性别</w:t>
      </w:r>
      <w:r>
        <w:rPr>
          <w:rFonts w:hint="eastAsia" w:ascii="宋体" w:hAnsi="宋体"/>
          <w:sz w:val="24"/>
          <w:highlight w:val="none"/>
          <w:u w:val="single"/>
        </w:rPr>
        <w:t xml:space="preserve">        </w:t>
      </w:r>
      <w:r>
        <w:rPr>
          <w:rFonts w:hint="eastAsia" w:ascii="宋体" w:hAnsi="宋体"/>
          <w:sz w:val="24"/>
          <w:highlight w:val="none"/>
        </w:rPr>
        <w:t>，</w:t>
      </w:r>
      <w:r>
        <w:rPr>
          <w:rFonts w:ascii="宋体" w:hAnsi="宋体"/>
          <w:sz w:val="24"/>
          <w:highlight w:val="none"/>
        </w:rPr>
        <w:t>身份证号码：</w:t>
      </w:r>
      <w:r>
        <w:rPr>
          <w:rFonts w:hint="eastAsia" w:ascii="宋体" w:hAnsi="宋体"/>
          <w:sz w:val="24"/>
          <w:highlight w:val="none"/>
          <w:u w:val="single"/>
        </w:rPr>
        <w:t xml:space="preserve">                </w:t>
      </w:r>
      <w:r>
        <w:rPr>
          <w:rFonts w:hint="eastAsia" w:ascii="宋体" w:hAnsi="宋体"/>
          <w:sz w:val="24"/>
          <w:highlight w:val="none"/>
        </w:rPr>
        <w:t>作为我司的全权代理人（测试</w:t>
      </w:r>
      <w:r>
        <w:rPr>
          <w:rFonts w:ascii="宋体" w:hAnsi="宋体"/>
          <w:sz w:val="24"/>
          <w:highlight w:val="none"/>
        </w:rPr>
        <w:t>代表</w:t>
      </w:r>
      <w:r>
        <w:rPr>
          <w:rFonts w:hint="eastAsia" w:ascii="宋体" w:hAnsi="宋体"/>
          <w:sz w:val="24"/>
          <w:highlight w:val="none"/>
        </w:rPr>
        <w:t>），办理由贵司组织的</w:t>
      </w:r>
      <w:r>
        <w:rPr>
          <w:rFonts w:hint="eastAsia" w:ascii="宋体" w:hAnsi="宋体"/>
          <w:sz w:val="24"/>
          <w:highlight w:val="none"/>
          <w:u w:val="single"/>
        </w:rPr>
        <w:t xml:space="preserve">            </w:t>
      </w:r>
      <w:r>
        <w:rPr>
          <w:rFonts w:hint="eastAsia" w:ascii="宋体" w:hAnsi="宋体"/>
          <w:sz w:val="24"/>
          <w:highlight w:val="none"/>
        </w:rPr>
        <w:t>项目技术测试的所有事宜。在测试过程中，代理人签署的一切文件资料，我司均予以承认，</w:t>
      </w:r>
      <w:r>
        <w:rPr>
          <w:rFonts w:ascii="宋体" w:hAnsi="宋体"/>
          <w:sz w:val="24"/>
          <w:highlight w:val="none"/>
        </w:rPr>
        <w:t>本</w:t>
      </w:r>
      <w:r>
        <w:rPr>
          <w:rFonts w:hint="eastAsia" w:ascii="宋体" w:hAnsi="宋体"/>
          <w:sz w:val="24"/>
          <w:highlight w:val="none"/>
        </w:rPr>
        <w:t>委托自</w:t>
      </w:r>
      <w:r>
        <w:rPr>
          <w:rFonts w:ascii="宋体" w:hAnsi="宋体"/>
          <w:sz w:val="24"/>
          <w:highlight w:val="none"/>
        </w:rPr>
        <w:t>签署之日起</w:t>
      </w:r>
      <w:r>
        <w:rPr>
          <w:rFonts w:hint="eastAsia" w:ascii="宋体" w:hAnsi="宋体"/>
          <w:sz w:val="24"/>
          <w:highlight w:val="none"/>
        </w:rPr>
        <w:t>生效，</w:t>
      </w:r>
      <w:r>
        <w:rPr>
          <w:rFonts w:ascii="宋体" w:hAnsi="宋体"/>
          <w:sz w:val="24"/>
          <w:highlight w:val="none"/>
        </w:rPr>
        <w:t>直至项目结束</w:t>
      </w:r>
      <w:r>
        <w:rPr>
          <w:rFonts w:hint="eastAsia" w:ascii="宋体" w:hAnsi="宋体"/>
          <w:sz w:val="24"/>
          <w:highlight w:val="none"/>
        </w:rPr>
        <w:t>。</w:t>
      </w:r>
    </w:p>
    <w:p>
      <w:pPr>
        <w:snapToGrid w:val="0"/>
        <w:spacing w:before="156" w:beforeLines="50" w:after="156" w:afterLines="50" w:line="360" w:lineRule="auto"/>
        <w:ind w:firstLine="480" w:firstLineChars="200"/>
        <w:rPr>
          <w:rFonts w:ascii="宋体" w:hAnsi="宋体"/>
          <w:sz w:val="24"/>
          <w:highlight w:val="none"/>
        </w:rPr>
      </w:pPr>
      <w:r>
        <w:rPr>
          <w:rFonts w:hint="eastAsia" w:ascii="宋体" w:hAnsi="宋体"/>
          <w:sz w:val="24"/>
          <w:highlight w:val="none"/>
        </w:rPr>
        <w:t>我司同时承诺：认可贵司的测试规范、测试流程，接受贵司测试安排，参与测试人员严格遵守现场测试纪律，对测试过程和结果严格保密，不外泄。</w:t>
      </w:r>
    </w:p>
    <w:p>
      <w:pPr>
        <w:snapToGrid w:val="0"/>
        <w:spacing w:line="480" w:lineRule="auto"/>
        <w:ind w:firstLine="480" w:firstLineChars="200"/>
        <w:rPr>
          <w:rFonts w:ascii="宋体" w:hAnsi="宋体"/>
          <w:sz w:val="24"/>
          <w:highlight w:val="none"/>
        </w:rPr>
      </w:pPr>
    </w:p>
    <w:p>
      <w:pPr>
        <w:snapToGrid w:val="0"/>
        <w:spacing w:line="480" w:lineRule="auto"/>
        <w:ind w:firstLine="480" w:firstLineChars="200"/>
        <w:rPr>
          <w:rFonts w:ascii="宋体" w:hAnsi="宋体"/>
          <w:sz w:val="24"/>
          <w:highlight w:val="none"/>
        </w:rPr>
      </w:pPr>
    </w:p>
    <w:p>
      <w:pPr>
        <w:snapToGrid w:val="0"/>
        <w:spacing w:line="480" w:lineRule="auto"/>
        <w:rPr>
          <w:rFonts w:ascii="宋体" w:hAnsi="宋体"/>
          <w:sz w:val="24"/>
          <w:highlight w:val="none"/>
        </w:rPr>
      </w:pPr>
      <w:r>
        <w:rPr>
          <w:rFonts w:hint="eastAsia" w:ascii="宋体" w:hAnsi="宋体"/>
          <w:sz w:val="24"/>
          <w:highlight w:val="none"/>
        </w:rPr>
        <w:t>委托人（公司全称及公章）：</w:t>
      </w:r>
      <w:r>
        <w:rPr>
          <w:rFonts w:hint="eastAsia" w:ascii="宋体" w:hAnsi="宋体"/>
          <w:sz w:val="24"/>
          <w:highlight w:val="none"/>
          <w:u w:val="single"/>
        </w:rPr>
        <w:t xml:space="preserve">  </w:t>
      </w:r>
      <w:r>
        <w:rPr>
          <w:rFonts w:ascii="宋体" w:hAnsi="宋体"/>
          <w:sz w:val="24"/>
          <w:highlight w:val="none"/>
          <w:u w:val="single"/>
        </w:rPr>
        <w:t xml:space="preserve">            xxx公司</w:t>
      </w:r>
      <w:r>
        <w:rPr>
          <w:rFonts w:hint="eastAsia" w:ascii="宋体" w:hAnsi="宋体"/>
          <w:sz w:val="24"/>
          <w:highlight w:val="none"/>
          <w:u w:val="single"/>
        </w:rPr>
        <w:t xml:space="preserve">    </w:t>
      </w:r>
    </w:p>
    <w:p>
      <w:pPr>
        <w:snapToGrid w:val="0"/>
        <w:spacing w:line="480" w:lineRule="auto"/>
        <w:rPr>
          <w:rFonts w:ascii="宋体" w:hAnsi="宋体"/>
          <w:sz w:val="24"/>
          <w:highlight w:val="none"/>
        </w:rPr>
      </w:pPr>
      <w:r>
        <w:rPr>
          <w:rFonts w:hint="eastAsia" w:ascii="宋体" w:hAnsi="宋体"/>
          <w:sz w:val="24"/>
          <w:highlight w:val="none"/>
        </w:rPr>
        <w:t xml:space="preserve">代理人（签字）：     </w:t>
      </w:r>
      <w:r>
        <w:rPr>
          <w:rFonts w:hint="eastAsia" w:ascii="宋体" w:hAnsi="宋体"/>
          <w:sz w:val="24"/>
          <w:highlight w:val="none"/>
          <w:u w:val="single"/>
        </w:rPr>
        <w:t xml:space="preserve">    </w:t>
      </w:r>
      <w:r>
        <w:rPr>
          <w:rFonts w:ascii="宋体" w:hAnsi="宋体"/>
          <w:sz w:val="24"/>
          <w:highlight w:val="none"/>
          <w:u w:val="single"/>
        </w:rPr>
        <w:t xml:space="preserve">               </w:t>
      </w:r>
      <w:r>
        <w:rPr>
          <w:rFonts w:hint="eastAsia" w:ascii="宋体" w:hAnsi="宋体"/>
          <w:sz w:val="24"/>
          <w:highlight w:val="none"/>
          <w:u w:val="single"/>
        </w:rPr>
        <w:t xml:space="preserve">           </w:t>
      </w:r>
    </w:p>
    <w:p>
      <w:pPr>
        <w:snapToGrid w:val="0"/>
        <w:spacing w:line="480" w:lineRule="auto"/>
        <w:ind w:firstLine="480" w:firstLineChars="200"/>
        <w:rPr>
          <w:rFonts w:ascii="宋体" w:hAnsi="宋体"/>
          <w:sz w:val="24"/>
          <w:highlight w:val="none"/>
        </w:rPr>
      </w:pPr>
    </w:p>
    <w:p>
      <w:pPr>
        <w:snapToGrid w:val="0"/>
        <w:spacing w:line="480" w:lineRule="auto"/>
        <w:jc w:val="right"/>
        <w:rPr>
          <w:rFonts w:ascii="宋体" w:hAnsi="宋体"/>
          <w:sz w:val="24"/>
          <w:highlight w:val="none"/>
        </w:rPr>
      </w:pPr>
      <w:r>
        <w:rPr>
          <w:rFonts w:hint="eastAsia" w:ascii="宋体" w:hAnsi="宋体"/>
          <w:sz w:val="24"/>
          <w:highlight w:val="none"/>
        </w:rPr>
        <w:t>签署日期：</w:t>
      </w:r>
      <w:r>
        <w:rPr>
          <w:rFonts w:hint="eastAsia" w:ascii="宋体" w:hAnsi="宋体"/>
          <w:sz w:val="24"/>
          <w:highlight w:val="none"/>
          <w:u w:val="single"/>
        </w:rPr>
        <w:t xml:space="preserve">       </w:t>
      </w:r>
      <w:r>
        <w:rPr>
          <w:rFonts w:hint="eastAsia" w:ascii="宋体" w:hAnsi="宋体"/>
          <w:sz w:val="24"/>
          <w:highlight w:val="none"/>
        </w:rPr>
        <w:t>年</w:t>
      </w:r>
      <w:r>
        <w:rPr>
          <w:rFonts w:hint="eastAsia" w:ascii="宋体" w:hAnsi="宋体"/>
          <w:sz w:val="24"/>
          <w:highlight w:val="none"/>
          <w:u w:val="single"/>
        </w:rPr>
        <w:t xml:space="preserve">       </w:t>
      </w:r>
      <w:r>
        <w:rPr>
          <w:rFonts w:hint="eastAsia" w:ascii="宋体" w:hAnsi="宋体"/>
          <w:sz w:val="24"/>
          <w:highlight w:val="none"/>
        </w:rPr>
        <w:t>月</w:t>
      </w:r>
      <w:r>
        <w:rPr>
          <w:rFonts w:hint="eastAsia" w:ascii="宋体" w:hAnsi="宋体"/>
          <w:sz w:val="24"/>
          <w:highlight w:val="none"/>
          <w:u w:val="single"/>
        </w:rPr>
        <w:t xml:space="preserve">       </w:t>
      </w:r>
      <w:r>
        <w:rPr>
          <w:rFonts w:hint="eastAsia" w:ascii="宋体" w:hAnsi="宋体"/>
          <w:sz w:val="24"/>
          <w:highlight w:val="none"/>
        </w:rPr>
        <w:t>日</w:t>
      </w:r>
    </w:p>
    <w:p>
      <w:pPr>
        <w:rPr>
          <w:highlight w:val="none"/>
        </w:rPr>
      </w:pPr>
      <w:r>
        <w:rPr>
          <w:rFonts w:hint="eastAsia"/>
          <w:highlight w:val="none"/>
        </w:rPr>
        <w:t>附：身份证正面</w:t>
      </w:r>
      <w:r>
        <w:rPr>
          <w:rFonts w:hint="eastAsia"/>
          <w:highlight w:val="none"/>
          <w:lang w:eastAsia="zh-CN"/>
        </w:rPr>
        <w:t>、</w:t>
      </w:r>
      <w:r>
        <w:rPr>
          <w:rFonts w:hint="eastAsia"/>
          <w:highlight w:val="none"/>
          <w:lang w:val="en-US" w:eastAsia="zh-CN"/>
        </w:rPr>
        <w:t>反面</w:t>
      </w:r>
      <w:r>
        <w:rPr>
          <w:rFonts w:hint="eastAsia"/>
          <w:highlight w:val="none"/>
        </w:rPr>
        <w:t>图片</w:t>
      </w:r>
    </w:p>
    <w:p>
      <w:pPr>
        <w:rPr>
          <w:highlight w:val="none"/>
        </w:rPr>
      </w:pPr>
    </w:p>
    <w:p>
      <w:pPr>
        <w:rPr>
          <w:rFonts w:hint="eastAsia"/>
          <w:highlight w:val="none"/>
        </w:rPr>
      </w:pPr>
    </w:p>
    <w:p>
      <w:pPr>
        <w:pStyle w:val="4"/>
        <w:rPr>
          <w:rFonts w:hint="eastAsia"/>
        </w:rPr>
      </w:pPr>
    </w:p>
    <w:p>
      <w:pPr>
        <w:rPr>
          <w:rFonts w:hint="eastAsia"/>
        </w:rPr>
      </w:pPr>
    </w:p>
    <w:p>
      <w:pPr>
        <w:pStyle w:val="8"/>
        <w:rPr>
          <w:rFonts w:hint="eastAsia"/>
        </w:rPr>
      </w:pPr>
    </w:p>
    <w:p>
      <w:pPr>
        <w:rPr>
          <w:rFonts w:hint="eastAsia"/>
        </w:rPr>
      </w:pPr>
    </w:p>
    <w:p>
      <w:pPr>
        <w:pStyle w:val="8"/>
        <w:rPr>
          <w:rFonts w:hint="eastAsia"/>
        </w:rPr>
      </w:pPr>
    </w:p>
    <w:p>
      <w:pPr>
        <w:rPr>
          <w:rFonts w:hint="eastAsia"/>
        </w:rPr>
      </w:pPr>
    </w:p>
    <w:p>
      <w:pPr>
        <w:pStyle w:val="8"/>
        <w:rPr>
          <w:rFonts w:hint="eastAsia"/>
        </w:rPr>
      </w:pPr>
    </w:p>
    <w:p>
      <w:pPr>
        <w:rPr>
          <w:rFonts w:hint="eastAsia"/>
        </w:rPr>
      </w:pPr>
    </w:p>
    <w:p>
      <w:pPr>
        <w:rPr>
          <w:rFonts w:hint="eastAsia"/>
        </w:rPr>
      </w:pPr>
    </w:p>
    <w:p>
      <w:pPr>
        <w:pStyle w:val="8"/>
        <w:rPr>
          <w:rFonts w:hint="eastAsia"/>
        </w:rPr>
      </w:pPr>
    </w:p>
    <w:p>
      <w:pPr>
        <w:rPr>
          <w:rFonts w:hint="eastAsia"/>
          <w:b/>
          <w:bCs/>
          <w:sz w:val="30"/>
          <w:szCs w:val="30"/>
          <w:highlight w:val="none"/>
        </w:rPr>
      </w:pPr>
      <w:r>
        <w:rPr>
          <w:rFonts w:hint="eastAsia"/>
          <w:b/>
          <w:bCs/>
          <w:sz w:val="30"/>
          <w:szCs w:val="30"/>
          <w:highlight w:val="none"/>
        </w:rPr>
        <w:t>附</w:t>
      </w:r>
      <w:r>
        <w:rPr>
          <w:rFonts w:hint="eastAsia"/>
          <w:b/>
          <w:bCs/>
          <w:sz w:val="30"/>
          <w:szCs w:val="30"/>
          <w:highlight w:val="none"/>
          <w:lang w:eastAsia="zh-CN"/>
        </w:rPr>
        <w:t>录</w:t>
      </w:r>
      <w:r>
        <w:rPr>
          <w:rFonts w:hint="eastAsia"/>
          <w:b/>
          <w:bCs/>
          <w:sz w:val="30"/>
          <w:szCs w:val="30"/>
          <w:highlight w:val="none"/>
        </w:rPr>
        <w:t>2：测试项</w:t>
      </w:r>
    </w:p>
    <w:tbl>
      <w:tblPr>
        <w:tblStyle w:val="10"/>
        <w:tblW w:w="56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
        <w:gridCol w:w="591"/>
        <w:gridCol w:w="1028"/>
        <w:gridCol w:w="1506"/>
        <w:gridCol w:w="4029"/>
        <w:gridCol w:w="2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tcBorders>
              <w:top w:val="single" w:color="auto" w:sz="4" w:space="0"/>
              <w:left w:val="single" w:color="auto" w:sz="4" w:space="0"/>
              <w:bottom w:val="single" w:color="auto" w:sz="4" w:space="0"/>
              <w:right w:val="single" w:color="auto" w:sz="4" w:space="0"/>
            </w:tcBorders>
            <w:shd w:val="clear" w:color="auto" w:fill="auto"/>
            <w:vAlign w:val="center"/>
          </w:tcPr>
          <w:p>
            <w:pPr>
              <w:wordWrap w:val="0"/>
              <w:jc w:val="center"/>
              <w:rPr>
                <w:rFonts w:ascii="仿宋_GB2312" w:hAnsi="仿宋" w:eastAsia="仿宋_GB2312"/>
                <w:b/>
                <w:bCs/>
                <w:sz w:val="18"/>
                <w:szCs w:val="18"/>
              </w:rPr>
            </w:pPr>
            <w:r>
              <w:rPr>
                <w:rFonts w:hint="eastAsia" w:ascii="仿宋_GB2312" w:hAnsi="仿宋" w:eastAsia="仿宋_GB2312"/>
                <w:b/>
                <w:bCs/>
                <w:sz w:val="18"/>
                <w:szCs w:val="18"/>
              </w:rPr>
              <w:t>序号</w:t>
            </w:r>
          </w:p>
        </w:tc>
        <w:tc>
          <w:tcPr>
            <w:tcW w:w="308" w:type="pct"/>
            <w:tcBorders>
              <w:top w:val="single" w:color="auto" w:sz="4" w:space="0"/>
              <w:left w:val="single" w:color="auto" w:sz="4" w:space="0"/>
              <w:bottom w:val="single" w:color="auto" w:sz="4" w:space="0"/>
              <w:right w:val="single" w:color="auto" w:sz="4" w:space="0"/>
            </w:tcBorders>
            <w:shd w:val="clear" w:color="auto" w:fill="auto"/>
            <w:vAlign w:val="center"/>
          </w:tcPr>
          <w:p>
            <w:pPr>
              <w:wordWrap w:val="0"/>
              <w:jc w:val="center"/>
              <w:rPr>
                <w:rFonts w:hint="eastAsia" w:ascii="仿宋_GB2312" w:hAnsi="仿宋" w:eastAsia="仿宋_GB2312"/>
                <w:b/>
                <w:bCs/>
                <w:sz w:val="18"/>
                <w:szCs w:val="18"/>
              </w:rPr>
            </w:pPr>
            <w:r>
              <w:rPr>
                <w:rFonts w:hint="eastAsia" w:ascii="仿宋_GB2312" w:hAnsi="仿宋" w:eastAsia="仿宋_GB2312"/>
                <w:b/>
                <w:bCs/>
                <w:sz w:val="18"/>
                <w:szCs w:val="18"/>
              </w:rPr>
              <w:t>评价项</w:t>
            </w: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ordWrap w:val="0"/>
              <w:jc w:val="center"/>
              <w:rPr>
                <w:rFonts w:hint="eastAsia" w:ascii="仿宋_GB2312" w:hAnsi="仿宋" w:eastAsia="仿宋_GB2312"/>
                <w:b/>
                <w:bCs/>
                <w:sz w:val="18"/>
                <w:szCs w:val="18"/>
              </w:rPr>
            </w:pPr>
            <w:r>
              <w:rPr>
                <w:rFonts w:hint="eastAsia" w:ascii="仿宋_GB2312" w:hAnsi="仿宋" w:eastAsia="仿宋_GB2312"/>
                <w:b/>
                <w:bCs/>
                <w:sz w:val="18"/>
                <w:szCs w:val="18"/>
              </w:rPr>
              <w:t>主要内容</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ordWrap w:val="0"/>
              <w:jc w:val="center"/>
              <w:rPr>
                <w:rFonts w:hint="eastAsia" w:ascii="仿宋_GB2312" w:hAnsi="仿宋" w:eastAsia="仿宋_GB2312"/>
                <w:b/>
                <w:bCs/>
                <w:sz w:val="18"/>
                <w:szCs w:val="18"/>
              </w:rPr>
            </w:pPr>
            <w:r>
              <w:rPr>
                <w:rFonts w:hint="eastAsia" w:ascii="仿宋_GB2312" w:hAnsi="仿宋" w:eastAsia="仿宋_GB2312"/>
                <w:b/>
                <w:bCs/>
                <w:sz w:val="18"/>
                <w:szCs w:val="18"/>
              </w:rPr>
              <w:t>测试步骤</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ordWrap w:val="0"/>
              <w:jc w:val="center"/>
              <w:rPr>
                <w:rFonts w:hint="eastAsia" w:ascii="仿宋_GB2312" w:hAnsi="仿宋" w:eastAsia="仿宋_GB2312"/>
                <w:b/>
                <w:bCs/>
                <w:sz w:val="18"/>
                <w:szCs w:val="18"/>
              </w:rPr>
            </w:pPr>
            <w:r>
              <w:rPr>
                <w:rFonts w:hint="eastAsia" w:ascii="仿宋_GB2312" w:hAnsi="仿宋" w:eastAsia="仿宋_GB2312"/>
                <w:b/>
                <w:bCs/>
                <w:sz w:val="18"/>
                <w:szCs w:val="18"/>
              </w:rPr>
              <w:t>预期结果</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ordWrap w:val="0"/>
              <w:jc w:val="center"/>
              <w:rPr>
                <w:rFonts w:hint="eastAsia" w:ascii="仿宋_GB2312" w:hAnsi="仿宋" w:eastAsia="仿宋_GB2312"/>
                <w:b/>
                <w:bCs/>
                <w:sz w:val="18"/>
                <w:szCs w:val="18"/>
              </w:rPr>
            </w:pPr>
            <w:r>
              <w:rPr>
                <w:rFonts w:hint="eastAsia" w:ascii="仿宋_GB2312" w:hAnsi="仿宋" w:eastAsia="仿宋_GB2312"/>
                <w:b/>
                <w:bCs/>
                <w:sz w:val="18"/>
                <w:szCs w:val="18"/>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restart"/>
            <w:tcBorders>
              <w:top w:val="single" w:color="auto" w:sz="4" w:space="0"/>
              <w:left w:val="single" w:color="auto" w:sz="4" w:space="0"/>
              <w:right w:val="single" w:color="auto" w:sz="4" w:space="0"/>
            </w:tcBorders>
            <w:shd w:val="clear" w:color="auto" w:fill="auto"/>
            <w:vAlign w:val="center"/>
          </w:tcPr>
          <w:p>
            <w:pPr>
              <w:widowControl/>
              <w:jc w:val="center"/>
              <w:textAlignment w:val="center"/>
              <w:rPr>
                <w:rFonts w:hint="eastAsia" w:ascii="宋体" w:hAnsi="宋体" w:cs="宋体"/>
                <w:color w:val="000000"/>
                <w:sz w:val="16"/>
                <w:szCs w:val="16"/>
                <w:highlight w:val="none"/>
                <w:lang w:val="en-US" w:eastAsia="zh-CN"/>
              </w:rPr>
            </w:pPr>
            <w:r>
              <w:rPr>
                <w:rFonts w:hint="eastAsia" w:ascii="宋体" w:hAnsi="宋体" w:cs="宋体"/>
                <w:color w:val="000000"/>
                <w:sz w:val="16"/>
                <w:szCs w:val="16"/>
                <w:highlight w:val="none"/>
                <w:lang w:val="en-US" w:eastAsia="zh-CN"/>
              </w:rPr>
              <w:t>1</w:t>
            </w:r>
          </w:p>
        </w:tc>
        <w:tc>
          <w:tcPr>
            <w:tcW w:w="308" w:type="pct"/>
            <w:vMerge w:val="restart"/>
            <w:tcBorders>
              <w:top w:val="single" w:color="auto" w:sz="4" w:space="0"/>
              <w:left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IP主体定位查询能力</w:t>
            </w: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w:t>
            </w:r>
            <w:r>
              <w:rPr>
                <w:rFonts w:hint="eastAsia" w:ascii="宋体" w:hAnsi="宋体" w:cs="宋体"/>
                <w:color w:val="000000"/>
                <w:kern w:val="0"/>
                <w:sz w:val="16"/>
                <w:szCs w:val="16"/>
                <w:highlight w:val="none"/>
                <w:lang w:bidi="ar"/>
              </w:rPr>
              <w:t>、IP主体信息查询</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1、输入IPV4地址、开始时间、结束时间，下发查询任务</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2、输入IPV6地址、开始时间、结束时间，下发查询任务</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1、支持输入移网、家宽场景动态IP地址（支持IPV4地址和IPV6地址）、端口、开始时间、结束时间查询条件，创建IP主体信息查询任务，获取移网、家宽动态IP地址主体信息；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2、支持输入专线、IDC、自有业务场景静态IP地址、开始时间、结束时间查询条件，创建IP主体信息查询任务，获取自有业务资产场景静态IP地址主体信息；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3、支持查看IP主体信息查询路径回溯，含基本信息和执行路径。</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 满足 不满足 部分满足</w:t>
            </w:r>
            <w:bookmarkStart w:id="0" w:name="_GoBack"/>
            <w:bookmarkEnd w:id="0"/>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rPr>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shd w:val="clear" w:color="auto" w:fill="auto"/>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bidi="ar"/>
              </w:rPr>
            </w:pPr>
            <w:r>
              <w:rPr>
                <w:rFonts w:hint="eastAsia" w:ascii="宋体" w:hAnsi="宋体" w:cs="宋体"/>
                <w:color w:val="000000"/>
                <w:kern w:val="0"/>
                <w:sz w:val="16"/>
                <w:szCs w:val="16"/>
                <w:highlight w:val="none"/>
                <w:lang w:bidi="ar"/>
              </w:rPr>
              <w:t>2、任务列表多维度查询</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1、进入查询任务页面，进行多维度查询</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1、支持按条件组合查询任务列表；</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2、支持从任务列表跳转查看主体信息定位结果（含该查询任务基本信息、主体定位结果信息）；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3、支持从任务列表跳转查看路径查询回放（含该查询任务基本信息，任务查询的执行路径）；</w:t>
            </w:r>
          </w:p>
          <w:p>
            <w:pPr>
              <w:widowControl/>
              <w:jc w:val="left"/>
              <w:textAlignment w:val="center"/>
              <w:rPr>
                <w:rFonts w:hint="default"/>
                <w:lang w:val="en-US" w:eastAsia="zh-CN"/>
              </w:rPr>
            </w:pPr>
            <w:r>
              <w:rPr>
                <w:rFonts w:hint="default" w:ascii="宋体" w:hAnsi="宋体" w:cs="宋体"/>
                <w:color w:val="000000"/>
                <w:kern w:val="0"/>
                <w:sz w:val="16"/>
                <w:szCs w:val="16"/>
                <w:highlight w:val="none"/>
                <w:lang w:val="en-US" w:eastAsia="zh-CN" w:bidi="ar"/>
              </w:rPr>
              <w:t>4、支持查看定位详情（包含溯源字段、定位值、数据源）</w:t>
            </w:r>
            <w:r>
              <w:rPr>
                <w:rFonts w:hint="eastAsia" w:ascii="宋体" w:hAnsi="宋体" w:cs="宋体"/>
                <w:color w:val="000000"/>
                <w:kern w:val="0"/>
                <w:sz w:val="16"/>
                <w:szCs w:val="16"/>
                <w:highlight w:val="none"/>
                <w:lang w:val="en-US" w:eastAsia="zh-CN" w:bidi="ar"/>
              </w:rPr>
              <w:t>。</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eastAsia="宋体"/>
                <w:color w:val="auto"/>
                <w:lang w:eastAsia="zh-CN"/>
              </w:rPr>
            </w:pPr>
            <w:r>
              <w:rPr>
                <w:rFonts w:hint="eastAsia" w:ascii="宋体" w:hAnsi="宋体" w:cs="宋体"/>
                <w:color w:val="000000"/>
                <w:kern w:val="0"/>
                <w:sz w:val="18"/>
                <w:szCs w:val="18"/>
                <w:highlight w:val="none"/>
                <w:shd w:val="clear" w:color="auto" w:fill="auto"/>
                <w:lang w:val="en-US" w:eastAsia="zh-CN" w:bidi="ar"/>
              </w:rPr>
              <w:t xml:space="preserve">4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bidi="ar"/>
              </w:rPr>
            </w:pPr>
            <w:r>
              <w:rPr>
                <w:rFonts w:hint="eastAsia" w:ascii="宋体" w:hAnsi="宋体" w:cs="宋体"/>
                <w:color w:val="000000"/>
                <w:kern w:val="0"/>
                <w:sz w:val="16"/>
                <w:szCs w:val="16"/>
                <w:highlight w:val="none"/>
                <w:lang w:val="en-US" w:eastAsia="zh-CN" w:bidi="ar"/>
              </w:rPr>
              <w:t>3</w:t>
            </w:r>
            <w:r>
              <w:rPr>
                <w:rFonts w:hint="eastAsia" w:ascii="宋体" w:hAnsi="宋体" w:cs="宋体"/>
                <w:color w:val="000000"/>
                <w:kern w:val="0"/>
                <w:sz w:val="16"/>
                <w:szCs w:val="16"/>
                <w:highlight w:val="none"/>
                <w:lang w:bidi="ar"/>
              </w:rPr>
              <w:t>、支持批量导入IP查询</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1、将ip地址模板表（xlsx格式导入到平台，查看导入情况</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 xml:space="preserve">1、支持xlsx格式批量IP地址信息上传查询； </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 xml:space="preserve">2、支持批量导入模板下载； </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3、支持对导入文件的大小限制，当超出文件限制时提示用户；</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color w:val="auto"/>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4</w:t>
            </w:r>
            <w:r>
              <w:rPr>
                <w:rFonts w:hint="eastAsia" w:ascii="宋体" w:hAnsi="宋体" w:cs="宋体"/>
                <w:color w:val="000000"/>
                <w:kern w:val="0"/>
                <w:sz w:val="16"/>
                <w:szCs w:val="16"/>
                <w:highlight w:val="none"/>
                <w:lang w:bidi="ar"/>
              </w:rPr>
              <w:t>、</w:t>
            </w:r>
            <w:r>
              <w:rPr>
                <w:rFonts w:hint="eastAsia" w:ascii="宋体" w:hAnsi="宋体" w:cs="宋体"/>
                <w:color w:val="000000"/>
                <w:kern w:val="0"/>
                <w:sz w:val="16"/>
                <w:szCs w:val="16"/>
                <w:highlight w:val="none"/>
                <w:lang w:val="en-US" w:eastAsia="zh-CN" w:bidi="ar"/>
              </w:rPr>
              <w:t>支持人工方式修改IP主体信息</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1、在查看结果页面发起人工修正</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2、修正提交后生成工单</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1.支持用户对IP主体信息字段发起人工修正；</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2.支持提交成功后生成冲突来源为“用户修正”的冲突工单；</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color w:val="auto"/>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5、支持通过审批查看IP主体敏感信息</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1、在查看结果页面选择查看敏感信息</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2、选择审批人，获取并输入验证码</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3、验证通过后查看敏感字段明文信息</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1、支持对IP主体信息定位结果中的用户个人敏感信息、单位敏感信息脱敏展示；</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2、支持查看IP主体信息定位结果中的用户个人敏感信息、单位敏感信息前进行审批；</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3、支持审批验证通过后查看IP主体信息定位结果中的用户个人敏感信息、单位敏感信息的明文信息；</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rPr>
                <w:color w:val="auto"/>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restart"/>
            <w:tcBorders>
              <w:top w:val="single" w:color="auto" w:sz="4" w:space="0"/>
              <w:left w:val="single" w:color="auto" w:sz="4" w:space="0"/>
              <w:right w:val="single" w:color="auto" w:sz="4" w:space="0"/>
            </w:tcBorders>
            <w:shd w:val="clear" w:color="auto" w:fill="auto"/>
            <w:vAlign w:val="center"/>
          </w:tcPr>
          <w:p>
            <w:pPr>
              <w:widowControl/>
              <w:jc w:val="center"/>
              <w:textAlignment w:val="center"/>
              <w:rPr>
                <w:rFonts w:hint="eastAsia" w:ascii="宋体" w:hAnsi="宋体" w:cs="宋体"/>
                <w:color w:val="000000"/>
                <w:sz w:val="16"/>
                <w:szCs w:val="16"/>
                <w:highlight w:val="none"/>
                <w:lang w:val="en-US" w:eastAsia="zh-CN"/>
              </w:rPr>
            </w:pPr>
            <w:r>
              <w:rPr>
                <w:rFonts w:hint="eastAsia" w:ascii="宋体" w:hAnsi="宋体" w:cs="宋体"/>
                <w:color w:val="000000"/>
                <w:sz w:val="16"/>
                <w:szCs w:val="16"/>
                <w:highlight w:val="none"/>
                <w:lang w:val="en-US" w:eastAsia="zh-CN"/>
              </w:rPr>
              <w:t>2</w:t>
            </w:r>
          </w:p>
        </w:tc>
        <w:tc>
          <w:tcPr>
            <w:tcW w:w="308" w:type="pct"/>
            <w:vMerge w:val="restart"/>
            <w:tcBorders>
              <w:top w:val="single" w:color="auto" w:sz="4" w:space="0"/>
              <w:left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数据与路径管理</w:t>
            </w: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bidi="ar"/>
              </w:rPr>
              <w:t>1</w:t>
            </w:r>
            <w:r>
              <w:rPr>
                <w:rFonts w:hint="eastAsia" w:ascii="宋体" w:hAnsi="宋体" w:cs="宋体"/>
                <w:color w:val="000000"/>
                <w:kern w:val="0"/>
                <w:sz w:val="16"/>
                <w:szCs w:val="16"/>
                <w:highlight w:val="none"/>
                <w:lang w:val="en-US" w:eastAsia="zh-CN" w:bidi="ar"/>
              </w:rPr>
              <w:t>、数据源管理</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1、在平台进行数据源手工配置录入</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2、对数据源进行编辑、删除、详情查看</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br w:type="textWrapping"/>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w:t>
            </w:r>
            <w:r>
              <w:rPr>
                <w:rFonts w:hint="default" w:ascii="宋体" w:hAnsi="宋体" w:cs="宋体"/>
                <w:color w:val="000000"/>
                <w:kern w:val="0"/>
                <w:sz w:val="16"/>
                <w:szCs w:val="16"/>
                <w:highlight w:val="none"/>
                <w:lang w:val="en-US" w:eastAsia="zh-CN" w:bidi="ar"/>
              </w:rPr>
              <w:t>支持新增、编辑、删除IP主体信息定位所需数据源，（支持新增时输入体现数据源类型、数据源权威性、数据源负责人信息等方便数据源维护的基础信息；支持是否开启对数据源的告警监控）；</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w:t>
            </w:r>
            <w:r>
              <w:rPr>
                <w:rFonts w:hint="default" w:ascii="宋体" w:hAnsi="宋体" w:cs="宋体"/>
                <w:color w:val="000000"/>
                <w:kern w:val="0"/>
                <w:sz w:val="16"/>
                <w:szCs w:val="16"/>
                <w:highlight w:val="none"/>
                <w:lang w:val="en-US" w:eastAsia="zh-CN" w:bidi="ar"/>
              </w:rPr>
              <w:t>支持用户在线查看已有数据源的详细信息（包括数据源类型、数据源权威性、数据源负责人信息等基础信息、监控告警是否开启信息、数据源的配置属性）；</w:t>
            </w:r>
          </w:p>
          <w:p>
            <w:pPr>
              <w:widowControl/>
              <w:jc w:val="left"/>
              <w:textAlignment w:val="center"/>
              <w:rPr>
                <w:rFonts w:hint="default" w:ascii="宋体" w:hAnsi="宋体" w:cs="宋体"/>
                <w:color w:val="000000"/>
                <w:kern w:val="0"/>
                <w:sz w:val="16"/>
                <w:szCs w:val="16"/>
                <w:highlight w:val="none"/>
                <w:lang w:val="en-US" w:eastAsia="zh-CN" w:bidi="ar"/>
              </w:rPr>
            </w:pPr>
            <w:r>
              <w:rPr>
                <w:rFonts w:hint="default" w:ascii="宋体" w:hAnsi="宋体" w:cs="宋体"/>
                <w:color w:val="000000"/>
                <w:kern w:val="0"/>
                <w:sz w:val="16"/>
                <w:szCs w:val="16"/>
                <w:highlight w:val="none"/>
                <w:lang w:val="en-US" w:eastAsia="zh-CN" w:bidi="ar"/>
              </w:rPr>
              <w:t>3、支持数据源信息的列表展示，支持按条件对数据源信息进行</w:t>
            </w:r>
            <w:r>
              <w:rPr>
                <w:rFonts w:hint="eastAsia" w:ascii="宋体" w:hAnsi="宋体" w:cs="宋体"/>
                <w:color w:val="000000"/>
                <w:kern w:val="0"/>
                <w:sz w:val="16"/>
                <w:szCs w:val="16"/>
                <w:highlight w:val="none"/>
                <w:lang w:val="en-US" w:eastAsia="zh-CN" w:bidi="ar"/>
              </w:rPr>
              <w:t>筛选</w:t>
            </w:r>
            <w:r>
              <w:rPr>
                <w:rFonts w:hint="default" w:ascii="宋体" w:hAnsi="宋体" w:cs="宋体"/>
                <w:color w:val="000000"/>
                <w:kern w:val="0"/>
                <w:sz w:val="16"/>
                <w:szCs w:val="16"/>
                <w:highlight w:val="none"/>
                <w:lang w:val="en-US" w:eastAsia="zh-CN" w:bidi="ar"/>
              </w:rPr>
              <w:t>；</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color w:val="auto"/>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2、主体信息管理：</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1、在平台进行主体信息手工配置录入</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2、对主体信息进行编辑、删除</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3、查看主体信息详情</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1、支持创建主体信息模板，支持对模板中的字段进行新增、编辑、删除；</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2、支持查看创建的主体信息详情（详情中应包含字段名称、字段是否必填、是否加密等信息）；</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color w:val="auto"/>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bottom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bottom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bidi="ar"/>
              </w:rPr>
              <w:t>3</w:t>
            </w:r>
            <w:r>
              <w:rPr>
                <w:rFonts w:hint="eastAsia" w:ascii="宋体" w:hAnsi="宋体" w:cs="宋体"/>
                <w:color w:val="000000"/>
                <w:kern w:val="0"/>
                <w:sz w:val="16"/>
                <w:szCs w:val="16"/>
                <w:highlight w:val="none"/>
                <w:lang w:val="en-US" w:eastAsia="zh-CN" w:bidi="ar"/>
              </w:rPr>
              <w:t>、场景路径管理</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1、在平台录入场景路径</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2、对场景路径进行编辑、开启/关闭、详情查看及删除未被引用的场景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3、支持路径配置</w:t>
            </w:r>
            <w:r>
              <w:rPr>
                <w:rFonts w:hint="eastAsia" w:ascii="宋体" w:hAnsi="宋体" w:cs="宋体"/>
                <w:color w:val="000000"/>
                <w:kern w:val="0"/>
                <w:sz w:val="16"/>
                <w:szCs w:val="16"/>
                <w:highlight w:val="none"/>
                <w:lang w:val="en-US" w:eastAsia="zh-CN" w:bidi="ar"/>
              </w:rPr>
              <w:br w:type="textWrapping"/>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1、支持针对集团要求的五类IP主体信息定位场景进行创建与管理：包括场景的新增、编辑、删除；</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2、支持在创建场景时输入场景包含的IP地址范围；</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3、相关场景创建后，支持对场景的的状态执行开启或关闭操作；</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4、支持按场景需求创建场景查询路径（含开始节点、执行节点、判断节点），并基于实际查询逻辑进行路径配置；</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 xml:space="preserve">5、 可视化拖拽构建：支持通过拖拽方式完成节点连线、分支与判断组件的布局，支持删除、重连及画布调整；  </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6、保存与发布生效：路径配置完成后可保存并发布；</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eastAsia="zh-CN" w:bidi="ar"/>
              </w:rPr>
            </w:pPr>
            <w:r>
              <w:rPr>
                <w:rFonts w:hint="eastAsia" w:ascii="宋体" w:hAnsi="宋体" w:cs="宋体"/>
                <w:color w:val="000000"/>
                <w:kern w:val="0"/>
                <w:sz w:val="18"/>
                <w:szCs w:val="18"/>
                <w:highlight w:val="none"/>
                <w:shd w:val="clear" w:color="auto" w:fill="auto"/>
                <w:lang w:val="en-US" w:eastAsia="zh-CN" w:bidi="ar"/>
              </w:rPr>
              <w:t xml:space="preserve">4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5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color w:val="auto"/>
              </w:rPr>
            </w:pPr>
            <w:r>
              <w:rPr>
                <w:rFonts w:hint="eastAsia" w:ascii="宋体" w:hAnsi="宋体" w:cs="宋体"/>
                <w:color w:val="000000"/>
                <w:kern w:val="0"/>
                <w:sz w:val="18"/>
                <w:szCs w:val="18"/>
                <w:highlight w:val="none"/>
                <w:shd w:val="clear" w:color="auto" w:fill="auto"/>
                <w:lang w:val="en-US" w:eastAsia="zh-CN" w:bidi="ar"/>
              </w:rPr>
              <w:t xml:space="preserve">6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restart"/>
            <w:tcBorders>
              <w:left w:val="single" w:color="auto" w:sz="4" w:space="0"/>
              <w:right w:val="single" w:color="auto" w:sz="4" w:space="0"/>
            </w:tcBorders>
            <w:vAlign w:val="center"/>
          </w:tcPr>
          <w:p>
            <w:pPr>
              <w:widowControl/>
              <w:jc w:val="center"/>
              <w:textAlignment w:val="center"/>
              <w:rPr>
                <w:rFonts w:hint="default" w:ascii="宋体" w:hAnsi="宋体" w:cs="宋体"/>
                <w:color w:val="000000"/>
                <w:sz w:val="16"/>
                <w:szCs w:val="16"/>
                <w:highlight w:val="none"/>
                <w:lang w:val="en-US" w:eastAsia="zh-CN"/>
              </w:rPr>
            </w:pPr>
            <w:r>
              <w:rPr>
                <w:rFonts w:hint="eastAsia" w:ascii="宋体" w:hAnsi="宋体" w:cs="宋体"/>
                <w:color w:val="000000"/>
                <w:sz w:val="16"/>
                <w:szCs w:val="16"/>
                <w:highlight w:val="none"/>
                <w:lang w:val="en-US" w:eastAsia="zh-CN"/>
              </w:rPr>
              <w:t>3</w:t>
            </w:r>
          </w:p>
        </w:tc>
        <w:tc>
          <w:tcPr>
            <w:tcW w:w="308" w:type="pct"/>
            <w:vMerge w:val="restart"/>
            <w:tcBorders>
              <w:left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数据校验</w:t>
            </w:r>
            <w:r>
              <w:rPr>
                <w:rFonts w:hint="eastAsia" w:ascii="宋体" w:hAnsi="宋体" w:cs="宋体"/>
                <w:color w:val="000000"/>
                <w:kern w:val="0"/>
                <w:sz w:val="16"/>
                <w:szCs w:val="16"/>
                <w:highlight w:val="none"/>
                <w:lang w:bidi="ar"/>
              </w:rPr>
              <w:t>能力</w:t>
            </w: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1、冲突工单检测</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1、进入冲突工单查询页面，进行多维度查询</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2、查看冲突详情</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3、进行手动修正或治理验证，上传证据材料</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1、提供冲突工单统一台账展示，完整呈现冲突相关核心信息；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2、支持多条件筛选查询工单，具备查询、重置、分页能力；</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3、工单支持查看处置建议、手动修正、治理校验、详情查阅闭环操作；</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4、支持工单生命周期时间线可视化，展示全流程关键节点与完成时间；</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Times New Roman" w:hAnsi="Times New Roman" w:eastAsia="宋体" w:cs="Times New Roman"/>
                <w:color w:val="auto"/>
                <w:kern w:val="2"/>
                <w:sz w:val="21"/>
                <w:szCs w:val="24"/>
                <w:lang w:val="en-US" w:eastAsia="zh-CN" w:bidi="ar-SA"/>
              </w:rPr>
            </w:pPr>
            <w:r>
              <w:rPr>
                <w:rFonts w:hint="eastAsia" w:ascii="宋体" w:hAnsi="宋体" w:cs="宋体"/>
                <w:color w:val="000000"/>
                <w:kern w:val="0"/>
                <w:sz w:val="18"/>
                <w:szCs w:val="18"/>
                <w:highlight w:val="none"/>
                <w:shd w:val="clear" w:color="auto" w:fill="auto"/>
                <w:lang w:val="en-US" w:eastAsia="zh-CN" w:bidi="ar"/>
              </w:rPr>
              <w:t xml:space="preserve">4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p>
        </w:tc>
        <w:tc>
          <w:tcPr>
            <w:tcW w:w="308" w:type="pct"/>
            <w:vMerge w:val="continue"/>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2、支持置信度评估规则配置与展示</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1、页面查看置信度评估规则</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2、按IP地址、数据源名称、源字段名称、评估时间查询置信度评估列表</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3、在冲突工单已评估详情中查看具体IP冲突字段的置信度评估数据</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1、支持多维度自定义数据质量评估体系，可灵活配置各类评估维度及对应加权系数，通过分项得分加权计算得出数据综合质量总分；</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2、支持各类评估维度的说明，方便用户了解该维度信息；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3、支持独立风险扣分项配置，可对可疑、高风险数据执行固定分值扣减；</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4、各评估维度支持可视化分级标尺展示，采用多色分段直观区分数据质量等级；</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5、完整留存全量评估台账记录，列表展示访问标识、数据源、评估时间、综合总分、各维度分项得分、扣分项等信息；</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6、支持多条件检索、筛选重置、分页查看评估记录。</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eastAsia="zh-CN" w:bidi="ar"/>
              </w:rPr>
            </w:pPr>
            <w:r>
              <w:rPr>
                <w:rFonts w:hint="eastAsia" w:ascii="宋体" w:hAnsi="宋体" w:cs="宋体"/>
                <w:color w:val="000000"/>
                <w:kern w:val="0"/>
                <w:sz w:val="18"/>
                <w:szCs w:val="18"/>
                <w:highlight w:val="none"/>
                <w:shd w:val="clear" w:color="auto" w:fill="auto"/>
                <w:lang w:val="en-US" w:eastAsia="zh-CN" w:bidi="ar"/>
              </w:rPr>
              <w:t xml:space="preserve">4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5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rPr>
                <w:rFonts w:hint="eastAsia" w:ascii="Times New Roman" w:hAnsi="Times New Roman" w:eastAsia="宋体" w:cs="Times New Roman"/>
                <w:color w:val="auto"/>
                <w:kern w:val="2"/>
                <w:sz w:val="21"/>
                <w:szCs w:val="24"/>
                <w:lang w:val="en-US" w:eastAsia="zh-CN" w:bidi="ar-SA"/>
              </w:rPr>
            </w:pPr>
            <w:r>
              <w:rPr>
                <w:rFonts w:hint="eastAsia" w:ascii="宋体" w:hAnsi="宋体" w:cs="宋体"/>
                <w:color w:val="000000"/>
                <w:kern w:val="0"/>
                <w:sz w:val="18"/>
                <w:szCs w:val="18"/>
                <w:highlight w:val="none"/>
                <w:shd w:val="clear" w:color="auto" w:fill="auto"/>
                <w:lang w:val="en-US" w:eastAsia="zh-CN" w:bidi="ar"/>
              </w:rPr>
              <w:t xml:space="preserve">6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restart"/>
            <w:tcBorders>
              <w:left w:val="single" w:color="auto" w:sz="4" w:space="0"/>
              <w:right w:val="single" w:color="auto" w:sz="4" w:space="0"/>
            </w:tcBorders>
            <w:vAlign w:val="center"/>
          </w:tcPr>
          <w:p>
            <w:pPr>
              <w:widowControl/>
              <w:jc w:val="center"/>
              <w:textAlignment w:val="center"/>
              <w:rPr>
                <w:rFonts w:hint="eastAsia" w:ascii="宋体" w:hAnsi="宋体" w:cs="宋体"/>
                <w:color w:val="000000"/>
                <w:sz w:val="16"/>
                <w:szCs w:val="16"/>
                <w:highlight w:val="none"/>
                <w:lang w:val="en-US" w:eastAsia="zh-CN"/>
              </w:rPr>
            </w:pPr>
            <w:r>
              <w:rPr>
                <w:rFonts w:hint="eastAsia" w:ascii="宋体" w:hAnsi="宋体" w:cs="宋体"/>
                <w:color w:val="000000"/>
                <w:sz w:val="16"/>
                <w:szCs w:val="16"/>
                <w:highlight w:val="none"/>
                <w:lang w:val="en-US" w:eastAsia="zh-CN"/>
              </w:rPr>
              <w:t>4</w:t>
            </w:r>
          </w:p>
        </w:tc>
        <w:tc>
          <w:tcPr>
            <w:tcW w:w="308" w:type="pct"/>
            <w:vMerge w:val="restart"/>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r>
              <w:rPr>
                <w:rFonts w:hint="eastAsia" w:ascii="宋体" w:hAnsi="宋体" w:cs="宋体"/>
                <w:color w:val="000000"/>
                <w:kern w:val="0"/>
                <w:sz w:val="16"/>
                <w:szCs w:val="16"/>
                <w:highlight w:val="none"/>
                <w:lang w:bidi="ar"/>
              </w:rPr>
              <w:t>平台</w:t>
            </w:r>
            <w:r>
              <w:rPr>
                <w:rFonts w:hint="eastAsia" w:ascii="宋体" w:hAnsi="宋体" w:cs="宋体"/>
                <w:color w:val="000000"/>
                <w:kern w:val="0"/>
                <w:sz w:val="16"/>
                <w:szCs w:val="16"/>
                <w:highlight w:val="none"/>
                <w:lang w:val="en-US" w:eastAsia="zh-CN" w:bidi="ar"/>
              </w:rPr>
              <w:t>系统管理</w:t>
            </w:r>
            <w:r>
              <w:rPr>
                <w:rFonts w:hint="eastAsia" w:ascii="宋体" w:hAnsi="宋体" w:cs="宋体"/>
                <w:color w:val="000000"/>
                <w:kern w:val="0"/>
                <w:sz w:val="16"/>
                <w:szCs w:val="16"/>
                <w:highlight w:val="none"/>
                <w:lang w:bidi="ar"/>
              </w:rPr>
              <w:t>能力</w:t>
            </w: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1、日志管理</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1、页面列表查看操作日志</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2、按操作类型、操作详情等条件查询</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1.系统支持用户操作日志查看功能，日志列表可完整展示操作时间、操作类型、操作人、请求地址、操作详情字段；</w:t>
            </w:r>
          </w:p>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2.系统支持依据操作类型、操作详情等条件实现日志多维度检索查询。</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color w:val="auto"/>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209" w:type="pct"/>
            <w:vMerge w:val="continue"/>
            <w:tcBorders>
              <w:left w:val="single" w:color="auto" w:sz="4" w:space="0"/>
              <w:right w:val="single" w:color="auto" w:sz="4" w:space="0"/>
            </w:tcBorders>
            <w:vAlign w:val="center"/>
          </w:tcPr>
          <w:p>
            <w:pPr>
              <w:wordWrap w:val="0"/>
              <w:jc w:val="center"/>
              <w:rPr>
                <w:rFonts w:ascii="仿宋_GB2312" w:hAnsi="仿宋" w:eastAsia="仿宋_GB2312"/>
                <w:sz w:val="18"/>
                <w:szCs w:val="18"/>
              </w:rPr>
            </w:pPr>
          </w:p>
        </w:tc>
        <w:tc>
          <w:tcPr>
            <w:tcW w:w="308" w:type="pct"/>
            <w:vMerge w:val="continue"/>
            <w:tcBorders>
              <w:left w:val="single" w:color="auto" w:sz="4" w:space="0"/>
              <w:right w:val="single" w:color="auto" w:sz="4" w:space="0"/>
            </w:tcBorders>
            <w:vAlign w:val="center"/>
          </w:tcPr>
          <w:p>
            <w:pPr>
              <w:widowControl/>
              <w:jc w:val="left"/>
              <w:textAlignment w:val="center"/>
              <w:rPr>
                <w:rFonts w:hint="eastAsia" w:ascii="宋体" w:hAnsi="宋体" w:cs="宋体"/>
                <w:color w:val="000000"/>
                <w:kern w:val="0"/>
                <w:sz w:val="16"/>
                <w:szCs w:val="16"/>
                <w:highlight w:val="none"/>
                <w:lang w:bidi="ar"/>
              </w:rPr>
            </w:pPr>
          </w:p>
        </w:tc>
        <w:tc>
          <w:tcPr>
            <w:tcW w:w="536"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2、安全配置</w:t>
            </w:r>
          </w:p>
        </w:tc>
        <w:tc>
          <w:tcPr>
            <w:tcW w:w="785"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1、页面配置密码策略</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2、配置登录限制</w:t>
            </w:r>
            <w:r>
              <w:rPr>
                <w:rFonts w:hint="eastAsia" w:ascii="宋体" w:hAnsi="宋体" w:cs="宋体"/>
                <w:color w:val="000000"/>
                <w:kern w:val="0"/>
                <w:sz w:val="16"/>
                <w:szCs w:val="16"/>
                <w:highlight w:val="none"/>
                <w:lang w:val="en-US" w:eastAsia="zh-CN" w:bidi="ar"/>
              </w:rPr>
              <w:br w:type="textWrapping"/>
            </w:r>
            <w:r>
              <w:rPr>
                <w:rFonts w:hint="eastAsia" w:ascii="宋体" w:hAnsi="宋体" w:cs="宋体"/>
                <w:color w:val="000000"/>
                <w:kern w:val="0"/>
                <w:sz w:val="16"/>
                <w:szCs w:val="16"/>
                <w:highlight w:val="none"/>
                <w:lang w:val="en-US" w:eastAsia="zh-CN" w:bidi="ar"/>
              </w:rPr>
              <w:t>3、配置访问权限</w:t>
            </w:r>
          </w:p>
        </w:tc>
        <w:tc>
          <w:tcPr>
            <w:tcW w:w="2100"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1、具备密码策略自定义配置能力：可配置密码历史留存规则、密码有效天数、密码到期前置提醒天数、密码最小长度；</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2、支持提供密码复杂度说明，方便用户配置前了解配置密码的最低要求；</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3、具备登录安全限制配置能力，可配置登录失败锁定次数阈值、账号锁定持续时长、会话空闲超时时间；</w:t>
            </w:r>
          </w:p>
          <w:p>
            <w:pPr>
              <w:widowControl/>
              <w:jc w:val="left"/>
              <w:textAlignment w:val="center"/>
              <w:rPr>
                <w:rFonts w:hint="eastAsia" w:ascii="宋体" w:hAnsi="宋体" w:cs="宋体"/>
                <w:color w:val="000000"/>
                <w:kern w:val="0"/>
                <w:sz w:val="16"/>
                <w:szCs w:val="16"/>
                <w:highlight w:val="none"/>
                <w:lang w:val="en-US" w:eastAsia="zh-CN" w:bidi="ar"/>
              </w:rPr>
            </w:pPr>
            <w:r>
              <w:rPr>
                <w:rFonts w:hint="eastAsia" w:ascii="宋体" w:hAnsi="宋体" w:cs="宋体"/>
                <w:color w:val="000000"/>
                <w:kern w:val="0"/>
                <w:sz w:val="16"/>
                <w:szCs w:val="16"/>
                <w:highlight w:val="none"/>
                <w:lang w:val="en-US" w:eastAsia="zh-CN" w:bidi="ar"/>
              </w:rPr>
              <w:t>4、具备访问权限管控配置能力，支持自定义授权访问 IP 地址段，系统默认放开全部 IP 访问权限。</w:t>
            </w:r>
          </w:p>
        </w:tc>
        <w:tc>
          <w:tcPr>
            <w:tcW w:w="105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textAlignment w:val="center"/>
              <w:rPr>
                <w:rFonts w:hint="default" w:ascii="宋体" w:hAnsi="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满足 不满足 部分满足</w:t>
            </w:r>
          </w:p>
          <w:p>
            <w:pPr>
              <w:widowControl/>
              <w:jc w:val="left"/>
              <w:textAlignment w:val="center"/>
              <w:rPr>
                <w:rFonts w:hint="default" w:ascii="宋体" w:hAnsi="宋体" w:eastAsia="宋体" w:cs="宋体"/>
                <w:color w:val="000000"/>
                <w:kern w:val="0"/>
                <w:sz w:val="18"/>
                <w:szCs w:val="18"/>
                <w:highlight w:val="none"/>
                <w:shd w:val="clear" w:color="auto" w:fill="auto"/>
                <w:lang w:val="en-US" w:eastAsia="zh-CN" w:bidi="ar"/>
              </w:rPr>
            </w:pPr>
            <w:r>
              <w:rPr>
                <w:rFonts w:hint="eastAsia" w:ascii="宋体" w:hAnsi="宋体" w:cs="宋体"/>
                <w:color w:val="000000"/>
                <w:kern w:val="0"/>
                <w:sz w:val="18"/>
                <w:szCs w:val="18"/>
                <w:highlight w:val="none"/>
                <w:shd w:val="clear" w:color="auto" w:fill="auto"/>
                <w:lang w:val="en-US" w:eastAsia="zh-CN" w:bidi="ar"/>
              </w:rPr>
              <w:t xml:space="preserve">1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2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rPr>
                <w:rFonts w:hint="eastAsia" w:ascii="宋体" w:hAnsi="宋体" w:cs="宋体"/>
                <w:color w:val="000000"/>
                <w:kern w:val="0"/>
                <w:sz w:val="18"/>
                <w:szCs w:val="18"/>
                <w:highlight w:val="none"/>
                <w:shd w:val="clear" w:color="auto" w:fill="auto"/>
                <w:lang w:bidi="ar"/>
              </w:rPr>
            </w:pPr>
            <w:r>
              <w:rPr>
                <w:rFonts w:hint="eastAsia" w:ascii="宋体" w:hAnsi="宋体" w:cs="宋体"/>
                <w:color w:val="000000"/>
                <w:kern w:val="0"/>
                <w:sz w:val="18"/>
                <w:szCs w:val="18"/>
                <w:highlight w:val="none"/>
                <w:shd w:val="clear" w:color="auto" w:fill="auto"/>
                <w:lang w:val="en-US" w:eastAsia="zh-CN" w:bidi="ar"/>
              </w:rPr>
              <w:t xml:space="preserve">3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p>
            <w:pPr>
              <w:widowControl/>
              <w:jc w:val="left"/>
              <w:textAlignment w:val="center"/>
            </w:pPr>
            <w:r>
              <w:rPr>
                <w:rFonts w:hint="eastAsia" w:ascii="宋体" w:hAnsi="宋体" w:cs="宋体"/>
                <w:color w:val="000000"/>
                <w:kern w:val="0"/>
                <w:sz w:val="18"/>
                <w:szCs w:val="18"/>
                <w:highlight w:val="none"/>
                <w:shd w:val="clear" w:color="auto" w:fill="auto"/>
                <w:lang w:val="en-US" w:eastAsia="zh-CN" w:bidi="ar"/>
              </w:rPr>
              <w:t xml:space="preserve">4  </w:t>
            </w:r>
            <w:r>
              <w:rPr>
                <w:rFonts w:hint="eastAsia" w:ascii="宋体" w:hAnsi="宋体" w:cs="宋体"/>
                <w:color w:val="000000"/>
                <w:kern w:val="0"/>
                <w:sz w:val="18"/>
                <w:szCs w:val="18"/>
                <w:highlight w:val="none"/>
                <w:shd w:val="clear" w:color="auto" w:fill="auto"/>
                <w:lang w:eastAsia="zh-CN"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bidi="ar"/>
              </w:rPr>
              <w:t>□</w:t>
            </w:r>
            <w:r>
              <w:rPr>
                <w:rFonts w:hint="eastAsia" w:ascii="宋体" w:hAnsi="宋体" w:cs="宋体"/>
                <w:color w:val="000000"/>
                <w:kern w:val="0"/>
                <w:sz w:val="18"/>
                <w:szCs w:val="18"/>
                <w:highlight w:val="none"/>
                <w:shd w:val="clear" w:color="auto" w:fill="auto"/>
                <w:lang w:val="en-US" w:eastAsia="zh-CN" w:bidi="ar"/>
              </w:rPr>
              <w:t xml:space="preserve">  </w:t>
            </w:r>
            <w:r>
              <w:rPr>
                <w:rFonts w:hint="eastAsia" w:ascii="宋体" w:hAnsi="宋体" w:cs="宋体"/>
                <w:color w:val="000000"/>
                <w:kern w:val="0"/>
                <w:sz w:val="18"/>
                <w:szCs w:val="18"/>
                <w:highlight w:val="none"/>
                <w:shd w:val="clear" w:color="auto" w:fill="auto"/>
                <w:lang w:eastAsia="zh-CN" w:bidi="ar"/>
              </w:rPr>
              <w:t>□</w:t>
            </w:r>
          </w:p>
        </w:tc>
      </w:tr>
    </w:tbl>
    <w:p>
      <w:pPr>
        <w:wordWrap w:val="0"/>
        <w:adjustRightInd w:val="0"/>
        <w:snapToGrid w:val="0"/>
        <w:spacing w:line="360" w:lineRule="auto"/>
        <w:jc w:val="left"/>
        <w:rPr>
          <w:rFonts w:hint="eastAsia" w:ascii="仿宋_GB2312" w:hAnsi="宋体" w:eastAsia="仿宋_GB2312" w:cs="宋体"/>
          <w:color w:val="FF0000"/>
          <w:kern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zMWE1YjM3NjA0YzRjOTE5YWZjM2NlMmM2Y2RjMGIifQ=="/>
  </w:docVars>
  <w:rsids>
    <w:rsidRoot w:val="00276492"/>
    <w:rsid w:val="00004DD0"/>
    <w:rsid w:val="00005E94"/>
    <w:rsid w:val="00015F87"/>
    <w:rsid w:val="0002306F"/>
    <w:rsid w:val="00023D0A"/>
    <w:rsid w:val="00025A6F"/>
    <w:rsid w:val="00032685"/>
    <w:rsid w:val="00032ABC"/>
    <w:rsid w:val="000365B0"/>
    <w:rsid w:val="0004147E"/>
    <w:rsid w:val="00042631"/>
    <w:rsid w:val="00056778"/>
    <w:rsid w:val="00070B3B"/>
    <w:rsid w:val="000752E8"/>
    <w:rsid w:val="000809C8"/>
    <w:rsid w:val="00080DF0"/>
    <w:rsid w:val="00081251"/>
    <w:rsid w:val="00082840"/>
    <w:rsid w:val="00085851"/>
    <w:rsid w:val="00087400"/>
    <w:rsid w:val="00090310"/>
    <w:rsid w:val="00090417"/>
    <w:rsid w:val="00094954"/>
    <w:rsid w:val="000A1B7F"/>
    <w:rsid w:val="000A71B7"/>
    <w:rsid w:val="000B181C"/>
    <w:rsid w:val="000B24D1"/>
    <w:rsid w:val="000C1A28"/>
    <w:rsid w:val="000D37A9"/>
    <w:rsid w:val="000E0A39"/>
    <w:rsid w:val="000E6E87"/>
    <w:rsid w:val="000F4EFC"/>
    <w:rsid w:val="000F6794"/>
    <w:rsid w:val="001011C8"/>
    <w:rsid w:val="00104B7F"/>
    <w:rsid w:val="00125570"/>
    <w:rsid w:val="00137E02"/>
    <w:rsid w:val="00137EC8"/>
    <w:rsid w:val="00141054"/>
    <w:rsid w:val="00143C83"/>
    <w:rsid w:val="00156F2C"/>
    <w:rsid w:val="001576B3"/>
    <w:rsid w:val="00163581"/>
    <w:rsid w:val="00163CBA"/>
    <w:rsid w:val="00164456"/>
    <w:rsid w:val="00166565"/>
    <w:rsid w:val="00174819"/>
    <w:rsid w:val="00182DB3"/>
    <w:rsid w:val="00187F5C"/>
    <w:rsid w:val="00191DE3"/>
    <w:rsid w:val="001A1D91"/>
    <w:rsid w:val="001A2C51"/>
    <w:rsid w:val="001A5F0D"/>
    <w:rsid w:val="001B5546"/>
    <w:rsid w:val="001C135E"/>
    <w:rsid w:val="001C391D"/>
    <w:rsid w:val="001C537E"/>
    <w:rsid w:val="001C72EC"/>
    <w:rsid w:val="001E60A4"/>
    <w:rsid w:val="001F375A"/>
    <w:rsid w:val="001F4002"/>
    <w:rsid w:val="001F6F86"/>
    <w:rsid w:val="00214804"/>
    <w:rsid w:val="0021721B"/>
    <w:rsid w:val="00221FDE"/>
    <w:rsid w:val="00225684"/>
    <w:rsid w:val="00230974"/>
    <w:rsid w:val="00236C95"/>
    <w:rsid w:val="00250727"/>
    <w:rsid w:val="00252D62"/>
    <w:rsid w:val="00252D6A"/>
    <w:rsid w:val="002608E7"/>
    <w:rsid w:val="0026277D"/>
    <w:rsid w:val="00265E44"/>
    <w:rsid w:val="0027494C"/>
    <w:rsid w:val="00276492"/>
    <w:rsid w:val="00293EF2"/>
    <w:rsid w:val="0029437F"/>
    <w:rsid w:val="002A37B5"/>
    <w:rsid w:val="002B5338"/>
    <w:rsid w:val="002B7CE2"/>
    <w:rsid w:val="002B7DA7"/>
    <w:rsid w:val="002C026F"/>
    <w:rsid w:val="002C7714"/>
    <w:rsid w:val="002D1DCB"/>
    <w:rsid w:val="002D43F6"/>
    <w:rsid w:val="002D5FD3"/>
    <w:rsid w:val="002F0423"/>
    <w:rsid w:val="002F0E33"/>
    <w:rsid w:val="002F3031"/>
    <w:rsid w:val="002F6BB8"/>
    <w:rsid w:val="002F6E50"/>
    <w:rsid w:val="00304191"/>
    <w:rsid w:val="003054D2"/>
    <w:rsid w:val="00305663"/>
    <w:rsid w:val="00311EBE"/>
    <w:rsid w:val="003168CA"/>
    <w:rsid w:val="003234B0"/>
    <w:rsid w:val="00323F1B"/>
    <w:rsid w:val="00330EF7"/>
    <w:rsid w:val="0033239B"/>
    <w:rsid w:val="003437C2"/>
    <w:rsid w:val="00347FA5"/>
    <w:rsid w:val="00351791"/>
    <w:rsid w:val="003555E3"/>
    <w:rsid w:val="00356481"/>
    <w:rsid w:val="00370B74"/>
    <w:rsid w:val="0038347F"/>
    <w:rsid w:val="00393300"/>
    <w:rsid w:val="0039674D"/>
    <w:rsid w:val="003A4AFA"/>
    <w:rsid w:val="003A591B"/>
    <w:rsid w:val="003B05C7"/>
    <w:rsid w:val="003B674B"/>
    <w:rsid w:val="003C157D"/>
    <w:rsid w:val="003C2C41"/>
    <w:rsid w:val="003C3FC4"/>
    <w:rsid w:val="003C447C"/>
    <w:rsid w:val="003C6D2C"/>
    <w:rsid w:val="003C7A51"/>
    <w:rsid w:val="003D0B88"/>
    <w:rsid w:val="003D0C82"/>
    <w:rsid w:val="003D1608"/>
    <w:rsid w:val="003D2BD2"/>
    <w:rsid w:val="003D4EBD"/>
    <w:rsid w:val="003E1718"/>
    <w:rsid w:val="003E2B29"/>
    <w:rsid w:val="003E4CD1"/>
    <w:rsid w:val="003F55F9"/>
    <w:rsid w:val="003F5E05"/>
    <w:rsid w:val="00400ADB"/>
    <w:rsid w:val="004155F0"/>
    <w:rsid w:val="00420E2E"/>
    <w:rsid w:val="00425623"/>
    <w:rsid w:val="00444C7A"/>
    <w:rsid w:val="00453FFC"/>
    <w:rsid w:val="004556D8"/>
    <w:rsid w:val="00455721"/>
    <w:rsid w:val="00460242"/>
    <w:rsid w:val="0046507F"/>
    <w:rsid w:val="0046787A"/>
    <w:rsid w:val="00471641"/>
    <w:rsid w:val="0047338E"/>
    <w:rsid w:val="004816C9"/>
    <w:rsid w:val="00481D64"/>
    <w:rsid w:val="0048392E"/>
    <w:rsid w:val="004858A2"/>
    <w:rsid w:val="00492BCD"/>
    <w:rsid w:val="00494761"/>
    <w:rsid w:val="00496D1B"/>
    <w:rsid w:val="00497974"/>
    <w:rsid w:val="004A0F71"/>
    <w:rsid w:val="004A1BAB"/>
    <w:rsid w:val="004A7F92"/>
    <w:rsid w:val="004B16FB"/>
    <w:rsid w:val="004C540C"/>
    <w:rsid w:val="004C701C"/>
    <w:rsid w:val="004D1D9A"/>
    <w:rsid w:val="004D6B6F"/>
    <w:rsid w:val="004E63F3"/>
    <w:rsid w:val="004E713B"/>
    <w:rsid w:val="004F1754"/>
    <w:rsid w:val="004F65C8"/>
    <w:rsid w:val="004F7CAC"/>
    <w:rsid w:val="005067F7"/>
    <w:rsid w:val="00511EC7"/>
    <w:rsid w:val="005317EE"/>
    <w:rsid w:val="00535BEE"/>
    <w:rsid w:val="00543A9B"/>
    <w:rsid w:val="00544893"/>
    <w:rsid w:val="00547223"/>
    <w:rsid w:val="005765B7"/>
    <w:rsid w:val="0058287B"/>
    <w:rsid w:val="00584D04"/>
    <w:rsid w:val="00595F71"/>
    <w:rsid w:val="005A0C07"/>
    <w:rsid w:val="005B4801"/>
    <w:rsid w:val="005D0BD1"/>
    <w:rsid w:val="005D4357"/>
    <w:rsid w:val="005D4CC8"/>
    <w:rsid w:val="005D52D3"/>
    <w:rsid w:val="005D5B36"/>
    <w:rsid w:val="005E4B5A"/>
    <w:rsid w:val="005E515B"/>
    <w:rsid w:val="00605D3D"/>
    <w:rsid w:val="00605EA3"/>
    <w:rsid w:val="00615B29"/>
    <w:rsid w:val="006222C1"/>
    <w:rsid w:val="006544F9"/>
    <w:rsid w:val="006550D0"/>
    <w:rsid w:val="006554BF"/>
    <w:rsid w:val="00656ACE"/>
    <w:rsid w:val="0066100F"/>
    <w:rsid w:val="00662233"/>
    <w:rsid w:val="006635AD"/>
    <w:rsid w:val="00670183"/>
    <w:rsid w:val="006949BB"/>
    <w:rsid w:val="006955E3"/>
    <w:rsid w:val="00695E85"/>
    <w:rsid w:val="006A4C96"/>
    <w:rsid w:val="006A5E3E"/>
    <w:rsid w:val="006A6AF7"/>
    <w:rsid w:val="006A74F7"/>
    <w:rsid w:val="006B37A6"/>
    <w:rsid w:val="006B3BA7"/>
    <w:rsid w:val="006B6DC0"/>
    <w:rsid w:val="006C0CCC"/>
    <w:rsid w:val="006C1D31"/>
    <w:rsid w:val="006C5535"/>
    <w:rsid w:val="006D02DE"/>
    <w:rsid w:val="006D06DC"/>
    <w:rsid w:val="006D7CFF"/>
    <w:rsid w:val="006E2B7B"/>
    <w:rsid w:val="006F3C46"/>
    <w:rsid w:val="006F58D5"/>
    <w:rsid w:val="00700F84"/>
    <w:rsid w:val="007010CA"/>
    <w:rsid w:val="007035F1"/>
    <w:rsid w:val="00720BEC"/>
    <w:rsid w:val="00723479"/>
    <w:rsid w:val="007267EF"/>
    <w:rsid w:val="00737BA5"/>
    <w:rsid w:val="00750D6A"/>
    <w:rsid w:val="00754E7E"/>
    <w:rsid w:val="00756DDC"/>
    <w:rsid w:val="00784E79"/>
    <w:rsid w:val="007A17D1"/>
    <w:rsid w:val="007A2211"/>
    <w:rsid w:val="007A7EAF"/>
    <w:rsid w:val="007C71EE"/>
    <w:rsid w:val="007D5769"/>
    <w:rsid w:val="007E1D61"/>
    <w:rsid w:val="007E36C1"/>
    <w:rsid w:val="007E47E0"/>
    <w:rsid w:val="007F2F38"/>
    <w:rsid w:val="007F38A1"/>
    <w:rsid w:val="007F430B"/>
    <w:rsid w:val="0080300E"/>
    <w:rsid w:val="0080507D"/>
    <w:rsid w:val="00812B71"/>
    <w:rsid w:val="0081392F"/>
    <w:rsid w:val="008208EF"/>
    <w:rsid w:val="00834BAF"/>
    <w:rsid w:val="008465CD"/>
    <w:rsid w:val="0087119F"/>
    <w:rsid w:val="008726D7"/>
    <w:rsid w:val="00890797"/>
    <w:rsid w:val="00890E59"/>
    <w:rsid w:val="00895957"/>
    <w:rsid w:val="00896165"/>
    <w:rsid w:val="008A40BE"/>
    <w:rsid w:val="008A552C"/>
    <w:rsid w:val="008B1947"/>
    <w:rsid w:val="008B6A81"/>
    <w:rsid w:val="008C2217"/>
    <w:rsid w:val="008C7CEA"/>
    <w:rsid w:val="008D33AA"/>
    <w:rsid w:val="008D46CB"/>
    <w:rsid w:val="008F2D1C"/>
    <w:rsid w:val="008F35B3"/>
    <w:rsid w:val="008F46E8"/>
    <w:rsid w:val="009125AC"/>
    <w:rsid w:val="00913A84"/>
    <w:rsid w:val="009160CE"/>
    <w:rsid w:val="009369BA"/>
    <w:rsid w:val="00954E1B"/>
    <w:rsid w:val="00957CE0"/>
    <w:rsid w:val="00963E2C"/>
    <w:rsid w:val="009651B8"/>
    <w:rsid w:val="0097476A"/>
    <w:rsid w:val="00984CEB"/>
    <w:rsid w:val="00985BE8"/>
    <w:rsid w:val="00990A76"/>
    <w:rsid w:val="009928B3"/>
    <w:rsid w:val="00995C6E"/>
    <w:rsid w:val="00997617"/>
    <w:rsid w:val="009A3FC0"/>
    <w:rsid w:val="009B1E45"/>
    <w:rsid w:val="009B44CC"/>
    <w:rsid w:val="009C40CC"/>
    <w:rsid w:val="009C4430"/>
    <w:rsid w:val="009C7B30"/>
    <w:rsid w:val="009E3A02"/>
    <w:rsid w:val="009E544D"/>
    <w:rsid w:val="009F0B56"/>
    <w:rsid w:val="009F5411"/>
    <w:rsid w:val="00A008B9"/>
    <w:rsid w:val="00A1371F"/>
    <w:rsid w:val="00A228BF"/>
    <w:rsid w:val="00A361EB"/>
    <w:rsid w:val="00A436A8"/>
    <w:rsid w:val="00A438B7"/>
    <w:rsid w:val="00A46A56"/>
    <w:rsid w:val="00A57C93"/>
    <w:rsid w:val="00A756AC"/>
    <w:rsid w:val="00A814F4"/>
    <w:rsid w:val="00A844C4"/>
    <w:rsid w:val="00A863A8"/>
    <w:rsid w:val="00A86D2A"/>
    <w:rsid w:val="00AB5B92"/>
    <w:rsid w:val="00AB703F"/>
    <w:rsid w:val="00AC7C9A"/>
    <w:rsid w:val="00AE13F3"/>
    <w:rsid w:val="00AE28F3"/>
    <w:rsid w:val="00AE2F29"/>
    <w:rsid w:val="00AF1F16"/>
    <w:rsid w:val="00AF3AD2"/>
    <w:rsid w:val="00B04EE6"/>
    <w:rsid w:val="00B12095"/>
    <w:rsid w:val="00B140ED"/>
    <w:rsid w:val="00B20A0E"/>
    <w:rsid w:val="00B25015"/>
    <w:rsid w:val="00B27CA9"/>
    <w:rsid w:val="00B30C63"/>
    <w:rsid w:val="00B37668"/>
    <w:rsid w:val="00B432C5"/>
    <w:rsid w:val="00B52562"/>
    <w:rsid w:val="00B532B1"/>
    <w:rsid w:val="00B541C8"/>
    <w:rsid w:val="00B54918"/>
    <w:rsid w:val="00B55D69"/>
    <w:rsid w:val="00B60975"/>
    <w:rsid w:val="00B65119"/>
    <w:rsid w:val="00B65ACA"/>
    <w:rsid w:val="00B712C5"/>
    <w:rsid w:val="00B7351E"/>
    <w:rsid w:val="00B77F6D"/>
    <w:rsid w:val="00B915FE"/>
    <w:rsid w:val="00B9211E"/>
    <w:rsid w:val="00B96184"/>
    <w:rsid w:val="00BA675F"/>
    <w:rsid w:val="00BB0B88"/>
    <w:rsid w:val="00BB48EB"/>
    <w:rsid w:val="00BC1F05"/>
    <w:rsid w:val="00BC5EE9"/>
    <w:rsid w:val="00BD1EFC"/>
    <w:rsid w:val="00BE15CD"/>
    <w:rsid w:val="00BE1DAF"/>
    <w:rsid w:val="00BF2497"/>
    <w:rsid w:val="00BF2C7B"/>
    <w:rsid w:val="00BF4A37"/>
    <w:rsid w:val="00C019E6"/>
    <w:rsid w:val="00C02BE7"/>
    <w:rsid w:val="00C0379E"/>
    <w:rsid w:val="00C04540"/>
    <w:rsid w:val="00C109FD"/>
    <w:rsid w:val="00C241D1"/>
    <w:rsid w:val="00C30890"/>
    <w:rsid w:val="00C31FD5"/>
    <w:rsid w:val="00C35C29"/>
    <w:rsid w:val="00C40301"/>
    <w:rsid w:val="00C427E4"/>
    <w:rsid w:val="00C72082"/>
    <w:rsid w:val="00C72D24"/>
    <w:rsid w:val="00C74037"/>
    <w:rsid w:val="00C823F1"/>
    <w:rsid w:val="00C833BB"/>
    <w:rsid w:val="00C84825"/>
    <w:rsid w:val="00C95BBF"/>
    <w:rsid w:val="00CA0785"/>
    <w:rsid w:val="00CA5981"/>
    <w:rsid w:val="00CB3C69"/>
    <w:rsid w:val="00CB51C0"/>
    <w:rsid w:val="00CC7520"/>
    <w:rsid w:val="00CC76CB"/>
    <w:rsid w:val="00CD1EAA"/>
    <w:rsid w:val="00CD30AF"/>
    <w:rsid w:val="00CD32E2"/>
    <w:rsid w:val="00CD4379"/>
    <w:rsid w:val="00CD4EB7"/>
    <w:rsid w:val="00CF3E2C"/>
    <w:rsid w:val="00D000C6"/>
    <w:rsid w:val="00D00F20"/>
    <w:rsid w:val="00D0336C"/>
    <w:rsid w:val="00D04553"/>
    <w:rsid w:val="00D06C6C"/>
    <w:rsid w:val="00D13E5F"/>
    <w:rsid w:val="00D21DE8"/>
    <w:rsid w:val="00D236E6"/>
    <w:rsid w:val="00D262E5"/>
    <w:rsid w:val="00D334EA"/>
    <w:rsid w:val="00D464A5"/>
    <w:rsid w:val="00D504B7"/>
    <w:rsid w:val="00D517D5"/>
    <w:rsid w:val="00D52C0A"/>
    <w:rsid w:val="00D5386F"/>
    <w:rsid w:val="00D5726D"/>
    <w:rsid w:val="00D66A8F"/>
    <w:rsid w:val="00D708EE"/>
    <w:rsid w:val="00D774B8"/>
    <w:rsid w:val="00D77B53"/>
    <w:rsid w:val="00D918F3"/>
    <w:rsid w:val="00D93CDE"/>
    <w:rsid w:val="00D95FC6"/>
    <w:rsid w:val="00DA2D42"/>
    <w:rsid w:val="00DA737A"/>
    <w:rsid w:val="00DB2F97"/>
    <w:rsid w:val="00DC3C1A"/>
    <w:rsid w:val="00DC6E29"/>
    <w:rsid w:val="00DD63C8"/>
    <w:rsid w:val="00DD7CEF"/>
    <w:rsid w:val="00DE1078"/>
    <w:rsid w:val="00DE3C72"/>
    <w:rsid w:val="00DE6EB7"/>
    <w:rsid w:val="00DE7440"/>
    <w:rsid w:val="00DF3EAA"/>
    <w:rsid w:val="00DF77DD"/>
    <w:rsid w:val="00E01A9F"/>
    <w:rsid w:val="00E103FA"/>
    <w:rsid w:val="00E145D0"/>
    <w:rsid w:val="00E24A26"/>
    <w:rsid w:val="00E31758"/>
    <w:rsid w:val="00E33866"/>
    <w:rsid w:val="00E35BC4"/>
    <w:rsid w:val="00E372FE"/>
    <w:rsid w:val="00E37A14"/>
    <w:rsid w:val="00E406D4"/>
    <w:rsid w:val="00E51ED6"/>
    <w:rsid w:val="00E53045"/>
    <w:rsid w:val="00E54BA1"/>
    <w:rsid w:val="00E60180"/>
    <w:rsid w:val="00E60B0D"/>
    <w:rsid w:val="00E642A7"/>
    <w:rsid w:val="00E65F62"/>
    <w:rsid w:val="00E7702E"/>
    <w:rsid w:val="00E8761F"/>
    <w:rsid w:val="00E909F2"/>
    <w:rsid w:val="00E95014"/>
    <w:rsid w:val="00E95DA2"/>
    <w:rsid w:val="00E96DAA"/>
    <w:rsid w:val="00E96E70"/>
    <w:rsid w:val="00EA17A9"/>
    <w:rsid w:val="00EB7728"/>
    <w:rsid w:val="00EC0013"/>
    <w:rsid w:val="00EC0047"/>
    <w:rsid w:val="00EC1A9B"/>
    <w:rsid w:val="00EC7282"/>
    <w:rsid w:val="00ED2BE7"/>
    <w:rsid w:val="00ED2C83"/>
    <w:rsid w:val="00EF288F"/>
    <w:rsid w:val="00F01A3C"/>
    <w:rsid w:val="00F03863"/>
    <w:rsid w:val="00F11A93"/>
    <w:rsid w:val="00F4246A"/>
    <w:rsid w:val="00F4786B"/>
    <w:rsid w:val="00F550DE"/>
    <w:rsid w:val="00F6082B"/>
    <w:rsid w:val="00F6269D"/>
    <w:rsid w:val="00F733E9"/>
    <w:rsid w:val="00F75B44"/>
    <w:rsid w:val="00F77580"/>
    <w:rsid w:val="00F80A3F"/>
    <w:rsid w:val="00F82A35"/>
    <w:rsid w:val="00F84FFD"/>
    <w:rsid w:val="00F85995"/>
    <w:rsid w:val="00F87FB2"/>
    <w:rsid w:val="00F90385"/>
    <w:rsid w:val="00F91467"/>
    <w:rsid w:val="00F9574E"/>
    <w:rsid w:val="00F9612C"/>
    <w:rsid w:val="00FA074E"/>
    <w:rsid w:val="00FA187F"/>
    <w:rsid w:val="00FA3415"/>
    <w:rsid w:val="00FA51C0"/>
    <w:rsid w:val="00FB0B54"/>
    <w:rsid w:val="00FB104A"/>
    <w:rsid w:val="00FB7F95"/>
    <w:rsid w:val="00FC1B04"/>
    <w:rsid w:val="00FC2AD0"/>
    <w:rsid w:val="00FD0961"/>
    <w:rsid w:val="00FD1FF3"/>
    <w:rsid w:val="00FD5A23"/>
    <w:rsid w:val="00FD6629"/>
    <w:rsid w:val="00FE132B"/>
    <w:rsid w:val="00FE3532"/>
    <w:rsid w:val="00FF3B1B"/>
    <w:rsid w:val="00FF46B6"/>
    <w:rsid w:val="026B35AD"/>
    <w:rsid w:val="02FF5E45"/>
    <w:rsid w:val="03360A70"/>
    <w:rsid w:val="04157604"/>
    <w:rsid w:val="074C19A5"/>
    <w:rsid w:val="08C021D1"/>
    <w:rsid w:val="0FD6518B"/>
    <w:rsid w:val="10BF7690"/>
    <w:rsid w:val="12093B7F"/>
    <w:rsid w:val="12F605AB"/>
    <w:rsid w:val="13D77BDD"/>
    <w:rsid w:val="14212297"/>
    <w:rsid w:val="16626FFB"/>
    <w:rsid w:val="17263468"/>
    <w:rsid w:val="180A2E6A"/>
    <w:rsid w:val="18816044"/>
    <w:rsid w:val="1C2D15B2"/>
    <w:rsid w:val="1D73135F"/>
    <w:rsid w:val="1D9B69B7"/>
    <w:rsid w:val="213162E9"/>
    <w:rsid w:val="247B3126"/>
    <w:rsid w:val="24E0036F"/>
    <w:rsid w:val="27DD6EF4"/>
    <w:rsid w:val="28776C77"/>
    <w:rsid w:val="2C34187A"/>
    <w:rsid w:val="2C714E0E"/>
    <w:rsid w:val="2CAC2D20"/>
    <w:rsid w:val="2F44049C"/>
    <w:rsid w:val="2F662DFD"/>
    <w:rsid w:val="2FAD4648"/>
    <w:rsid w:val="32854D80"/>
    <w:rsid w:val="32C93289"/>
    <w:rsid w:val="346051F8"/>
    <w:rsid w:val="35BF5EC9"/>
    <w:rsid w:val="370F1A13"/>
    <w:rsid w:val="3D717B8B"/>
    <w:rsid w:val="3D8E3295"/>
    <w:rsid w:val="401F36CC"/>
    <w:rsid w:val="437F7EF0"/>
    <w:rsid w:val="4518091B"/>
    <w:rsid w:val="497A134E"/>
    <w:rsid w:val="4B5E7859"/>
    <w:rsid w:val="4BE807F1"/>
    <w:rsid w:val="4DA100EC"/>
    <w:rsid w:val="50066F9D"/>
    <w:rsid w:val="507B7E86"/>
    <w:rsid w:val="51A84704"/>
    <w:rsid w:val="524C3E50"/>
    <w:rsid w:val="54F2151C"/>
    <w:rsid w:val="558A0EE7"/>
    <w:rsid w:val="59854F6F"/>
    <w:rsid w:val="59BE78D6"/>
    <w:rsid w:val="5B9A1FA4"/>
    <w:rsid w:val="5DEF3C61"/>
    <w:rsid w:val="5EF67E56"/>
    <w:rsid w:val="60326E7F"/>
    <w:rsid w:val="60CD61E0"/>
    <w:rsid w:val="61CB0C22"/>
    <w:rsid w:val="62CC1F38"/>
    <w:rsid w:val="65EA5BC3"/>
    <w:rsid w:val="67DD1876"/>
    <w:rsid w:val="6857373E"/>
    <w:rsid w:val="6A7379C8"/>
    <w:rsid w:val="6C044D7B"/>
    <w:rsid w:val="6D1B720F"/>
    <w:rsid w:val="6DFB1EDB"/>
    <w:rsid w:val="6EC923CE"/>
    <w:rsid w:val="6F7D69F9"/>
    <w:rsid w:val="6FF60BB4"/>
    <w:rsid w:val="6FFA5FC3"/>
    <w:rsid w:val="71B97014"/>
    <w:rsid w:val="73FD1550"/>
    <w:rsid w:val="76AE0046"/>
    <w:rsid w:val="79214247"/>
    <w:rsid w:val="79257C48"/>
    <w:rsid w:val="793E078D"/>
    <w:rsid w:val="798058E5"/>
    <w:rsid w:val="79EB4F94"/>
    <w:rsid w:val="7A3A405E"/>
    <w:rsid w:val="7F107805"/>
    <w:rsid w:val="D7F7C760"/>
    <w:rsid w:val="FA3BD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qFormat="1" w:unhideWhenUsed="0" w:uiPriority="0" w:semiHidden="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color w:val="000000"/>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oc 1"/>
    <w:basedOn w:val="1"/>
    <w:next w:val="1"/>
    <w:semiHidden/>
    <w:qFormat/>
    <w:uiPriority w:val="0"/>
    <w:pPr>
      <w:tabs>
        <w:tab w:val="left" w:pos="851"/>
        <w:tab w:val="right" w:leader="dot" w:pos="9072"/>
      </w:tabs>
      <w:autoSpaceDE w:val="0"/>
      <w:autoSpaceDN w:val="0"/>
      <w:adjustRightInd w:val="0"/>
      <w:spacing w:before="120" w:after="120" w:line="315" w:lineRule="atLeast"/>
      <w:ind w:right="120"/>
      <w:jc w:val="right"/>
    </w:pPr>
    <w:rPr>
      <w:rFonts w:ascii="Times New Roman" w:hAnsi="Times New Roman" w:eastAsia="黑体"/>
      <w:caps/>
      <w:kern w:val="0"/>
      <w:szCs w:val="21"/>
    </w:rPr>
  </w:style>
  <w:style w:type="paragraph" w:styleId="3">
    <w:name w:val="annotation text"/>
    <w:basedOn w:val="1"/>
    <w:link w:val="25"/>
    <w:semiHidden/>
    <w:unhideWhenUsed/>
    <w:qFormat/>
    <w:uiPriority w:val="99"/>
    <w:pPr>
      <w:jc w:val="left"/>
    </w:pPr>
  </w:style>
  <w:style w:type="paragraph" w:styleId="4">
    <w:name w:val="index 3"/>
    <w:basedOn w:val="1"/>
    <w:next w:val="1"/>
    <w:qFormat/>
    <w:uiPriority w:val="0"/>
    <w:pPr>
      <w:snapToGrid w:val="0"/>
      <w:ind w:left="400" w:leftChars="400" w:firstLine="200" w:firstLineChars="200"/>
    </w:pPr>
    <w:rPr>
      <w:rFonts w:ascii="Arial Narrow" w:hAnsi="Arial Narrow"/>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2"/>
    <w:basedOn w:val="1"/>
    <w:next w:val="1"/>
    <w:qFormat/>
    <w:uiPriority w:val="0"/>
    <w:pPr>
      <w:ind w:left="420" w:leftChars="200"/>
    </w:pPr>
    <w:rPr>
      <w:rFonts w:asciiTheme="minorHAnsi" w:hAnsiTheme="minorHAnsi" w:eastAsiaTheme="minorEastAsia" w:cstheme="minorBidi"/>
      <w:color w:val="auto"/>
    </w:rPr>
  </w:style>
  <w:style w:type="paragraph" w:styleId="8">
    <w:name w:val="HTML Preformatted"/>
    <w:basedOn w:val="1"/>
    <w:next w:val="1"/>
    <w:unhideWhenUsed/>
    <w:qFormat/>
    <w:uiPriority w:val="99"/>
    <w:rPr>
      <w:sz w:val="24"/>
    </w:rPr>
  </w:style>
  <w:style w:type="paragraph" w:styleId="9">
    <w:name w:val="annotation subject"/>
    <w:basedOn w:val="3"/>
    <w:next w:val="3"/>
    <w:link w:val="26"/>
    <w:semiHidden/>
    <w:unhideWhenUsed/>
    <w:qFormat/>
    <w:uiPriority w:val="99"/>
    <w:rPr>
      <w:b/>
      <w:bCs/>
    </w:rPr>
  </w:style>
  <w:style w:type="character" w:styleId="12">
    <w:name w:val="annotation reference"/>
    <w:basedOn w:val="11"/>
    <w:semiHidden/>
    <w:unhideWhenUsed/>
    <w:qFormat/>
    <w:uiPriority w:val="99"/>
    <w:rPr>
      <w:sz w:val="21"/>
      <w:szCs w:val="21"/>
    </w:rPr>
  </w:style>
  <w:style w:type="character" w:customStyle="1" w:styleId="13">
    <w:name w:val="页眉 字符"/>
    <w:basedOn w:val="11"/>
    <w:link w:val="6"/>
    <w:qFormat/>
    <w:uiPriority w:val="99"/>
    <w:rPr>
      <w:rFonts w:ascii="Times New Roman" w:hAnsi="Times New Roman" w:eastAsia="宋体" w:cs="Times New Roman"/>
      <w:color w:val="000000"/>
      <w:sz w:val="18"/>
      <w:szCs w:val="18"/>
    </w:rPr>
  </w:style>
  <w:style w:type="character" w:customStyle="1" w:styleId="14">
    <w:name w:val="页脚 字符"/>
    <w:basedOn w:val="11"/>
    <w:link w:val="5"/>
    <w:qFormat/>
    <w:uiPriority w:val="99"/>
    <w:rPr>
      <w:rFonts w:ascii="Times New Roman" w:hAnsi="Times New Roman" w:eastAsia="宋体" w:cs="Times New Roman"/>
      <w:color w:val="000000"/>
      <w:sz w:val="18"/>
      <w:szCs w:val="18"/>
    </w:rPr>
  </w:style>
  <w:style w:type="paragraph" w:styleId="15">
    <w:name w:val="List Paragraph"/>
    <w:basedOn w:val="1"/>
    <w:link w:val="20"/>
    <w:qFormat/>
    <w:uiPriority w:val="34"/>
    <w:pPr>
      <w:ind w:firstLine="420" w:firstLineChars="200"/>
    </w:pPr>
  </w:style>
  <w:style w:type="paragraph" w:customStyle="1" w:styleId="16">
    <w:name w:val="QB正文"/>
    <w:basedOn w:val="1"/>
    <w:link w:val="17"/>
    <w:qFormat/>
    <w:uiPriority w:val="0"/>
    <w:pPr>
      <w:widowControl/>
      <w:autoSpaceDE w:val="0"/>
      <w:autoSpaceDN w:val="0"/>
      <w:ind w:firstLine="200" w:firstLineChars="200"/>
    </w:pPr>
    <w:rPr>
      <w:rFonts w:ascii="宋体"/>
      <w:color w:val="auto"/>
      <w:kern w:val="0"/>
      <w:szCs w:val="22"/>
      <w:lang w:eastAsia="en-US"/>
    </w:rPr>
  </w:style>
  <w:style w:type="character" w:customStyle="1" w:styleId="17">
    <w:name w:val="QB正文 Char"/>
    <w:link w:val="16"/>
    <w:qFormat/>
    <w:uiPriority w:val="0"/>
    <w:rPr>
      <w:rFonts w:ascii="宋体" w:hAnsi="Times New Roman" w:eastAsia="宋体" w:cs="Times New Roman"/>
      <w:kern w:val="0"/>
      <w:lang w:eastAsia="en-US"/>
    </w:rPr>
  </w:style>
  <w:style w:type="paragraph" w:customStyle="1" w:styleId="18">
    <w:name w:val="QB表内文字"/>
    <w:next w:val="7"/>
    <w:link w:val="19"/>
    <w:qFormat/>
    <w:uiPriority w:val="0"/>
    <w:pPr>
      <w:widowControl w:val="0"/>
      <w:autoSpaceDE w:val="0"/>
      <w:autoSpaceDN w:val="0"/>
      <w:jc w:val="both"/>
    </w:pPr>
    <w:rPr>
      <w:rFonts w:ascii="宋体" w:hAnsi="宋体" w:eastAsia="宋体" w:cs="Times New Roman"/>
      <w:sz w:val="21"/>
      <w:lang w:val="en-US" w:eastAsia="zh-CN" w:bidi="ar-SA"/>
    </w:rPr>
  </w:style>
  <w:style w:type="character" w:customStyle="1" w:styleId="19">
    <w:name w:val="QB表内文字 Char"/>
    <w:link w:val="18"/>
    <w:qFormat/>
    <w:uiPriority w:val="0"/>
    <w:rPr>
      <w:rFonts w:ascii="宋体" w:hAnsi="宋体" w:eastAsia="宋体" w:cs="Times New Roman"/>
      <w:kern w:val="0"/>
      <w:szCs w:val="20"/>
    </w:rPr>
  </w:style>
  <w:style w:type="character" w:customStyle="1" w:styleId="20">
    <w:name w:val="列表段落 字符"/>
    <w:link w:val="15"/>
    <w:qFormat/>
    <w:uiPriority w:val="34"/>
    <w:rPr>
      <w:rFonts w:ascii="Times New Roman" w:hAnsi="Times New Roman" w:eastAsia="宋体" w:cs="Times New Roman"/>
      <w:color w:val="000000"/>
      <w:szCs w:val="24"/>
    </w:rPr>
  </w:style>
  <w:style w:type="paragraph" w:customStyle="1" w:styleId="21">
    <w:name w:val="列出段落1"/>
    <w:basedOn w:val="1"/>
    <w:qFormat/>
    <w:uiPriority w:val="34"/>
    <w:pPr>
      <w:widowControl/>
      <w:ind w:left="720"/>
      <w:contextualSpacing/>
      <w:jc w:val="left"/>
    </w:pPr>
    <w:rPr>
      <w:rFonts w:ascii="Calibri" w:hAnsi="Calibri"/>
      <w:color w:val="auto"/>
      <w:kern w:val="0"/>
      <w:sz w:val="24"/>
      <w:lang w:eastAsia="en-US" w:bidi="en-US"/>
    </w:rPr>
  </w:style>
  <w:style w:type="character" w:customStyle="1" w:styleId="22">
    <w:name w:val="表格样式 Char"/>
    <w:link w:val="23"/>
    <w:qFormat/>
    <w:locked/>
    <w:uiPriority w:val="0"/>
  </w:style>
  <w:style w:type="paragraph" w:customStyle="1" w:styleId="23">
    <w:name w:val="表格样式"/>
    <w:basedOn w:val="1"/>
    <w:link w:val="22"/>
    <w:qFormat/>
    <w:uiPriority w:val="0"/>
    <w:pPr>
      <w:adjustRightInd w:val="0"/>
      <w:spacing w:line="300" w:lineRule="auto"/>
      <w:jc w:val="center"/>
    </w:pPr>
    <w:rPr>
      <w:rFonts w:asciiTheme="minorHAnsi" w:hAnsiTheme="minorHAnsi" w:eastAsiaTheme="minorEastAsia" w:cstheme="minorBidi"/>
      <w:color w:val="auto"/>
      <w:szCs w:val="22"/>
    </w:rPr>
  </w:style>
  <w:style w:type="paragraph" w:customStyle="1" w:styleId="24">
    <w:name w:val="列表段落1"/>
    <w:basedOn w:val="1"/>
    <w:qFormat/>
    <w:uiPriority w:val="34"/>
    <w:pPr>
      <w:spacing w:line="360" w:lineRule="auto"/>
      <w:ind w:firstLine="420" w:firstLineChars="200"/>
    </w:pPr>
    <w:rPr>
      <w:rFonts w:asciiTheme="minorHAnsi" w:hAnsiTheme="minorHAnsi" w:eastAsiaTheme="minorEastAsia" w:cstheme="minorBidi"/>
      <w:color w:val="auto"/>
      <w:szCs w:val="22"/>
    </w:rPr>
  </w:style>
  <w:style w:type="character" w:customStyle="1" w:styleId="25">
    <w:name w:val="批注文字 字符"/>
    <w:basedOn w:val="11"/>
    <w:link w:val="3"/>
    <w:semiHidden/>
    <w:qFormat/>
    <w:uiPriority w:val="99"/>
    <w:rPr>
      <w:rFonts w:ascii="Times New Roman" w:hAnsi="Times New Roman" w:eastAsia="宋体" w:cs="Times New Roman"/>
      <w:color w:val="000000"/>
      <w:szCs w:val="24"/>
    </w:rPr>
  </w:style>
  <w:style w:type="character" w:customStyle="1" w:styleId="26">
    <w:name w:val="批注主题 字符"/>
    <w:basedOn w:val="25"/>
    <w:link w:val="9"/>
    <w:semiHidden/>
    <w:qFormat/>
    <w:uiPriority w:val="99"/>
    <w:rPr>
      <w:rFonts w:ascii="Times New Roman" w:hAnsi="Times New Roman" w:eastAsia="宋体" w:cs="Times New Roman"/>
      <w:b/>
      <w:bCs/>
      <w:color w:val="000000"/>
      <w:szCs w:val="24"/>
    </w:rPr>
  </w:style>
  <w:style w:type="paragraph" w:customStyle="1" w:styleId="27">
    <w:name w:val="表格文本"/>
    <w:basedOn w:val="1"/>
    <w:qFormat/>
    <w:uiPriority w:val="0"/>
    <w:rPr>
      <w:rFonts w:ascii="Calibri" w:hAnsi="Calibri"/>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1677</Words>
  <Characters>1740</Characters>
  <Lines>55</Lines>
  <Paragraphs>15</Paragraphs>
  <TotalTime>0</TotalTime>
  <ScaleCrop>false</ScaleCrop>
  <LinksUpToDate>false</LinksUpToDate>
  <CharactersWithSpaces>1747</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2022-10-29T04:02:00Z</dcterms:created>
  <dc:creator>41733</dc:creator>
  <cp:lastModifiedBy>毕玉平</cp:lastModifiedBy>
  <dcterms:modified xsi:type="dcterms:W3CDTF">2026-09-02T03:02:42Z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67F7936A68824DF2A4EFFE62C5C54929</vt:lpwstr>
  </property>
  <property fmtid="{D5CDD505-2E9C-101B-9397-08002B2CF9AE}" pid="4" name="KSOTemplateDocerSaveRecord">
    <vt:lpwstr>eyJoZGlkIjoiZTg5MTA3MmVmNDE1ODIzZTQ4NzI5ZjgxOGY5OWRmNTQiLCJ1c2VySWQiOiI1NTYyNzMwNjYifQ==</vt:lpwstr>
  </property>
</Properties>
</file>