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4.3.3. Estadísticos Descriptivos y Análisis Univariado (EDA)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 esta sección se realiza el </w:t>
      </w:r>
      <w:r w:rsidDel="00000000" w:rsidR="00000000" w:rsidRPr="00000000">
        <w:rPr>
          <w:b w:val="1"/>
          <w:bCs w:val="1"/>
          <w:rtl w:val="0"/>
        </w:rPr>
        <w:t xml:space="preserve">análisis exploratorio univariado</w:t>
      </w:r>
      <w:r w:rsidDel="00000000" w:rsidR="00000000" w:rsidRPr="00000000">
        <w:rPr>
          <w:rtl w:val="0"/>
        </w:rPr>
        <w:t xml:space="preserve"> de cada variable, es decir, se estudia </w:t>
      </w:r>
      <w:r w:rsidDel="00000000" w:rsidR="00000000" w:rsidRPr="00000000">
        <w:rPr>
          <w:b w:val="1"/>
          <w:bCs w:val="1"/>
          <w:rtl w:val="0"/>
        </w:rPr>
        <w:t xml:space="preserve">cada columna por separado</w:t>
      </w:r>
      <w:r w:rsidDel="00000000" w:rsidR="00000000" w:rsidRPr="00000000">
        <w:rPr>
          <w:rtl w:val="0"/>
        </w:rPr>
        <w:t xml:space="preserve"> para descubrir hallazgos en los datos: su tendencia central, su dispersión, la forma de su distribución, la presencia de valores atípicos y cualquier patrón llamativo. Para cada </w:t>
      </w:r>
      <w:r w:rsidDel="00000000" w:rsidR="00000000" w:rsidRPr="00000000">
        <w:rPr>
          <w:b w:val="1"/>
          <w:bCs w:val="1"/>
          <w:rtl w:val="0"/>
        </w:rPr>
        <w:t xml:space="preserve">variable numérica</w:t>
      </w:r>
      <w:r w:rsidDel="00000000" w:rsidR="00000000" w:rsidRPr="00000000">
        <w:rPr>
          <w:rtl w:val="0"/>
        </w:rPr>
        <w:t xml:space="preserve"> se acompaña un </w:t>
      </w:r>
      <w:r w:rsidDel="00000000" w:rsidR="00000000" w:rsidRPr="00000000">
        <w:rPr>
          <w:b w:val="1"/>
          <w:bCs w:val="1"/>
          <w:rtl w:val="0"/>
        </w:rPr>
        <w:t xml:space="preserve">histograma</w:t>
      </w:r>
      <w:r w:rsidDel="00000000" w:rsidR="00000000" w:rsidRPr="00000000">
        <w:rPr>
          <w:rtl w:val="0"/>
        </w:rPr>
        <w:t xml:space="preserve"> (forma de la distribución) y un </w:t>
      </w:r>
      <w:r w:rsidDel="00000000" w:rsidR="00000000" w:rsidRPr="00000000">
        <w:rPr>
          <w:b w:val="1"/>
          <w:bCs w:val="1"/>
          <w:rtl w:val="0"/>
        </w:rPr>
        <w:t xml:space="preserve">diagrama de caja</w:t>
      </w:r>
      <w:r w:rsidDel="00000000" w:rsidR="00000000" w:rsidRPr="00000000">
        <w:rPr>
          <w:rtl w:val="0"/>
        </w:rPr>
        <w:t xml:space="preserve"> (mediana, rango intercuartílico y dispersión); para cada </w:t>
      </w:r>
      <w:r w:rsidDel="00000000" w:rsidR="00000000" w:rsidRPr="00000000">
        <w:rPr>
          <w:b w:val="1"/>
          <w:bCs w:val="1"/>
          <w:rtl w:val="0"/>
        </w:rPr>
        <w:t xml:space="preserve">variable categórica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gráfico de barras</w:t>
      </w:r>
      <w:r w:rsidDel="00000000" w:rsidR="00000000" w:rsidRPr="00000000">
        <w:rPr>
          <w:rtl w:val="0"/>
        </w:rPr>
        <w:t xml:space="preserve"> de frecuencias. Todos los gráficos fueron generados sobre los </w:t>
      </w:r>
      <w:r w:rsidDel="00000000" w:rsidR="00000000" w:rsidRPr="00000000">
        <w:rPr>
          <w:b w:val="1"/>
          <w:bCs w:val="1"/>
          <w:rtl w:val="0"/>
        </w:rPr>
        <w:t xml:space="preserve">300.000 registros reales</w:t>
      </w:r>
      <w:r w:rsidDel="00000000" w:rsidR="00000000" w:rsidRPr="00000000">
        <w:rPr>
          <w:rtl w:val="0"/>
        </w:rPr>
        <w:t xml:space="preserve"> del conjunto de datos.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A) Variables Numéricas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age — Edad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138863" cy="3290652"/>
            <wp:effectExtent b="0" l="0" r="0" t="0"/>
            <wp:docPr descr="Histograma de age" id="22" name="image12.png"/>
            <a:graphic>
              <a:graphicData uri="http://schemas.openxmlformats.org/drawingml/2006/picture">
                <pic:pic>
                  <pic:nvPicPr>
                    <pic:cNvPr descr="Histograma de age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290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29363" cy="1808389"/>
            <wp:effectExtent b="0" l="0" r="0" t="0"/>
            <wp:docPr descr="Diagrama de caja de age" id="24" name="image14.png"/>
            <a:graphic>
              <a:graphicData uri="http://schemas.openxmlformats.org/drawingml/2006/picture">
                <pic:pic>
                  <pic:nvPicPr>
                    <pic:cNvPr descr="Diagrama de caja de age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1808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18,0 · mediana 18,0 · SD 2,00 · IQR 4,00 · asimetría 0,00 · % atípicos 0,00% · rango 15–21.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edad se reparte de forma </w:t>
      </w:r>
      <w:r w:rsidDel="00000000" w:rsidR="00000000" w:rsidRPr="00000000">
        <w:rPr>
          <w:b w:val="1"/>
          <w:bCs w:val="1"/>
          <w:rtl w:val="0"/>
        </w:rPr>
        <w:t xml:space="preserve">uniforme</w:t>
      </w:r>
      <w:r w:rsidDel="00000000" w:rsidR="00000000" w:rsidRPr="00000000">
        <w:rPr>
          <w:rtl w:val="0"/>
        </w:rPr>
        <w:t xml:space="preserve"> entre los 15 y 21 años: cada edad concentra alrededor del 14% de los estudiantes, sin que ninguna predomine. La media coincide con la mediana (18 años) y no hay valores atípicos. El histograma muestra barras de altura casi idéntica (forma rectangular, no de campana) y el boxplot, una caja ancha y centrada.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la población es muy homogénea en edad y está distribuida equitativamente, un patrón más propio de datos generados que de una población real (que suele concentrarse en ciertas edades).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study_hours — Horas de estudio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34150" cy="3500438"/>
            <wp:effectExtent b="0" l="0" r="0" t="0"/>
            <wp:docPr descr="Histograma de study_hours" id="23" name="image23.png"/>
            <a:graphic>
              <a:graphicData uri="http://schemas.openxmlformats.org/drawingml/2006/picture">
                <pic:pic>
                  <pic:nvPicPr>
                    <pic:cNvPr descr="Histograma de study_hours"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48438" cy="1870982"/>
            <wp:effectExtent b="0" l="0" r="0" t="0"/>
            <wp:docPr descr="Diagrama de caja de study_hours" id="26" name="image33.png"/>
            <a:graphic>
              <a:graphicData uri="http://schemas.openxmlformats.org/drawingml/2006/picture">
                <pic:pic>
                  <pic:nvPicPr>
                    <pic:cNvPr descr="Diagrama de caja de study_hours"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187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4,50 · mediana 4,50 · SD 1,98 · IQR 2,70 · asimetría 0,07 · % atípicos 0,35% · rango 0–12.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mayoría estudia entre 3,1 y 5,8 horas diarias (rango intercuartílico), con un centro en 4,5 hrs y una forma </w:t>
      </w:r>
      <w:r w:rsidDel="00000000" w:rsidR="00000000" w:rsidRPr="00000000">
        <w:rPr>
          <w:b w:val="1"/>
          <w:bCs w:val="1"/>
          <w:rtl w:val="0"/>
        </w:rPr>
        <w:t xml:space="preserve">simétrica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cercana a la normal. La dispersión relativa es alta (CV ≈ 44%).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existe un grupo pequeño pero notorio (≈1,2%) que declara </w:t>
      </w:r>
      <w:r w:rsidDel="00000000" w:rsidR="00000000" w:rsidRPr="00000000">
        <w:rPr>
          <w:b w:val="1"/>
          <w:bCs w:val="1"/>
          <w:rtl w:val="0"/>
        </w:rPr>
        <w:t xml:space="preserve">0 horas de estudio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y una cola hacia valores altos (hasta 12 hrs) con ≈0,35% de casos atípicos por encima de lo habitual.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attendance — Asistencia (%)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72238" cy="3467270"/>
            <wp:effectExtent b="0" l="0" r="0" t="0"/>
            <wp:docPr descr="Histograma de attendance" id="25" name="image29.png"/>
            <a:graphic>
              <a:graphicData uri="http://schemas.openxmlformats.org/drawingml/2006/picture">
                <pic:pic>
                  <pic:nvPicPr>
                    <pic:cNvPr descr="Histograma de attendance"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346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53188" cy="1843768"/>
            <wp:effectExtent b="0" l="0" r="0" t="0"/>
            <wp:docPr descr="Diagrama de caja de attendance" id="28" name="image35.png"/>
            <a:graphic>
              <a:graphicData uri="http://schemas.openxmlformats.org/drawingml/2006/picture">
                <pic:pic>
                  <pic:nvPicPr>
                    <pic:cNvPr descr="Diagrama de caja de attendance"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1843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84,7 · mediana 85,0 · SD 9,42 · IQR 13,49 · asimetría -0,30 · % atípicos 0,35% · rango 40–100.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asistencia es </w:t>
      </w:r>
      <w:r w:rsidDel="00000000" w:rsidR="00000000" w:rsidRPr="00000000">
        <w:rPr>
          <w:b w:val="1"/>
          <w:bCs w:val="1"/>
          <w:rtl w:val="0"/>
        </w:rPr>
        <w:t xml:space="preserve">alta en general</w:t>
      </w:r>
      <w:r w:rsidDel="00000000" w:rsidR="00000000" w:rsidRPr="00000000">
        <w:rPr>
          <w:rtl w:val="0"/>
        </w:rPr>
        <w:t xml:space="preserve"> (media 84,7%, mediana 85%) y la distribución está sesgada a la izquierda (cola hacia valores bajos). </w:t>
      </w:r>
      <w:r w:rsidDel="00000000" w:rsidR="00000000" w:rsidRPr="00000000">
        <w:rPr>
          <w:b w:val="1"/>
          <w:bCs w:val="1"/>
          <w:rtl w:val="0"/>
        </w:rPr>
        <w:t xml:space="preserve">Hallazgo más llamativo: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6,6% de los estudiantes tiene asistencia perfecta (100%)</w:t>
      </w:r>
      <w:r w:rsidDel="00000000" w:rsidR="00000000" w:rsidRPr="00000000">
        <w:rPr>
          <w:rtl w:val="0"/>
        </w:rPr>
        <w:t xml:space="preserve">, lo que genera un pico marcado en el extremo derecho del histograma; muy pocos bajan del 60%. El boxplot muestra la mediana desplazada hacia la derecha de la caja, confirmando el sesgo.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sleep_hours — Horas de sueño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69710" cy="3519488"/>
            <wp:effectExtent b="0" l="0" r="0" t="0"/>
            <wp:docPr descr="Histograma de sleep_hours" id="27" name="image21.png"/>
            <a:graphic>
              <a:graphicData uri="http://schemas.openxmlformats.org/drawingml/2006/picture">
                <pic:pic>
                  <pic:nvPicPr>
                    <pic:cNvPr descr="Histograma de sleep_hours"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34163" cy="1895475"/>
            <wp:effectExtent b="0" l="0" r="0" t="0"/>
            <wp:docPr descr="Diagrama de caja de sleep_hours" id="30" name="image27.png"/>
            <a:graphic>
              <a:graphicData uri="http://schemas.openxmlformats.org/drawingml/2006/picture">
                <pic:pic>
                  <pic:nvPicPr>
                    <pic:cNvPr descr="Diagrama de caja de sleep_hours"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6,99 · mediana 7,00 · SD 1,46 · IQR 2,02 · asimetría -0,09 · % atípicos 0,00% · rango 3–10.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Distribución </w:t>
      </w:r>
      <w:r w:rsidDel="00000000" w:rsidR="00000000" w:rsidRPr="00000000">
        <w:rPr>
          <w:b w:val="1"/>
          <w:bCs w:val="1"/>
          <w:rtl w:val="0"/>
        </w:rPr>
        <w:t xml:space="preserve">simétrica y compacta</w:t>
      </w:r>
      <w:r w:rsidDel="00000000" w:rsidR="00000000" w:rsidRPr="00000000">
        <w:rPr>
          <w:rtl w:val="0"/>
        </w:rPr>
        <w:t xml:space="preserve"> centrada en 7 horas (caja del boxplot entre 6 y 8 hrs), </w:t>
      </w:r>
      <w:r w:rsidDel="00000000" w:rsidR="00000000" w:rsidRPr="00000000">
        <w:rPr>
          <w:b w:val="1"/>
          <w:bCs w:val="1"/>
          <w:rtl w:val="0"/>
        </w:rPr>
        <w:t xml:space="preserve">sin valores atípicos</w:t>
      </w:r>
      <w:r w:rsidDel="00000000" w:rsidR="00000000" w:rsidRPr="00000000">
        <w:rPr>
          <w:rtl w:val="0"/>
        </w:rPr>
        <w:t xml:space="preserve">. Un 2,3% duerme el máximo de 10 hrs.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los hábitos de sueño son saludables y muy consistentes entre los estudiantes; es una de las variables más estables del conjunto.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previous_grade — Nota previa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86513" cy="3421346"/>
            <wp:effectExtent b="0" l="0" r="0" t="0"/>
            <wp:docPr descr="Histograma de previous_grade" id="29" name="image34.png"/>
            <a:graphic>
              <a:graphicData uri="http://schemas.openxmlformats.org/drawingml/2006/picture">
                <pic:pic>
                  <pic:nvPicPr>
                    <pic:cNvPr descr="Histograma de previous_grade"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342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96038" cy="1827439"/>
            <wp:effectExtent b="0" l="0" r="0" t="0"/>
            <wp:docPr descr="Diagrama de caja de previous_grade" id="33" name="image26.png"/>
            <a:graphic>
              <a:graphicData uri="http://schemas.openxmlformats.org/drawingml/2006/picture">
                <pic:pic>
                  <pic:nvPicPr>
                    <pic:cNvPr descr="Diagrama de caja de previous_grade"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18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69,8 · mediana 70,0 · SD 14,68 · IQR 20,23 · asimetría -0,12 · % atípicos 0,34% · rango 20–100.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El rendimiento previo es </w:t>
      </w:r>
      <w:r w:rsidDel="00000000" w:rsidR="00000000" w:rsidRPr="00000000">
        <w:rPr>
          <w:b w:val="1"/>
          <w:bCs w:val="1"/>
          <w:rtl w:val="0"/>
        </w:rPr>
        <w:t xml:space="preserve">diverso</w:t>
      </w:r>
      <w:r w:rsidDel="00000000" w:rsidR="00000000" w:rsidRPr="00000000">
        <w:rPr>
          <w:rtl w:val="0"/>
        </w:rPr>
        <w:t xml:space="preserve">, centrado en 70 puntos y con la </w:t>
      </w:r>
      <w:r w:rsidDel="00000000" w:rsidR="00000000" w:rsidRPr="00000000">
        <w:rPr>
          <w:b w:val="1"/>
          <w:bCs w:val="1"/>
          <w:rtl w:val="0"/>
        </w:rPr>
        <w:t xml:space="preserve">mayor dispersión absoluta</w:t>
      </w:r>
      <w:r w:rsidDel="00000000" w:rsidR="00000000" w:rsidRPr="00000000">
        <w:rPr>
          <w:rtl w:val="0"/>
        </w:rPr>
        <w:t xml:space="preserve"> del conjunto (SD 14,7; rango 20–100). La forma es casi simétrica con un leve sesgo a la izquierda.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2,2% arrastra una nota previa perfecta (100), y la amplitud del rango indica trayectorias académicas muy distintas dentro de la población.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assignments_completed — Tareas completadas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98590" cy="3481388"/>
            <wp:effectExtent b="0" l="0" r="0" t="0"/>
            <wp:docPr descr="Histograma de assignments_completed" id="31" name="image31.png"/>
            <a:graphic>
              <a:graphicData uri="http://schemas.openxmlformats.org/drawingml/2006/picture">
                <pic:pic>
                  <pic:nvPicPr>
                    <pic:cNvPr descr="Histograma de assignments_completed"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19863" cy="1862818"/>
            <wp:effectExtent b="0" l="0" r="0" t="0"/>
            <wp:docPr descr="Diagrama de caja de assignments_completed" id="32" name="image24.png"/>
            <a:graphic>
              <a:graphicData uri="http://schemas.openxmlformats.org/drawingml/2006/picture">
                <pic:pic>
                  <pic:nvPicPr>
                    <pic:cNvPr descr="Diagrama de caja de assignments_completed"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1862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7,84 · mediana 8,00 · SD 1,73 · IQR 2,70 · asimetría -0,58 · % atípicos 0,36% · rango 0–10.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Es la variable </w:t>
      </w:r>
      <w:r w:rsidDel="00000000" w:rsidR="00000000" w:rsidRPr="00000000">
        <w:rPr>
          <w:b w:val="1"/>
          <w:bCs w:val="1"/>
          <w:rtl w:val="0"/>
        </w:rPr>
        <w:t xml:space="preserve">más asimétrica</w:t>
      </w:r>
      <w:r w:rsidDel="00000000" w:rsidR="00000000" w:rsidRPr="00000000">
        <w:rPr>
          <w:rtl w:val="0"/>
        </w:rPr>
        <w:t xml:space="preserve"> del conjunto (sesgo -0,58, cola a la izquierda): la mayoría completa muchas tareas. </w:t>
      </w:r>
      <w:r w:rsidDel="00000000" w:rsidR="00000000" w:rsidRPr="00000000">
        <w:rPr>
          <w:b w:val="1"/>
          <w:bCs w:val="1"/>
          <w:rtl w:val="0"/>
        </w:rPr>
        <w:t xml:space="preserve">Hallazgo destacado: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16% de los estudiantes alcanza el máximo (10/10)</w:t>
      </w:r>
      <w:r w:rsidDel="00000000" w:rsidR="00000000" w:rsidRPr="00000000">
        <w:rPr>
          <w:rtl w:val="0"/>
        </w:rPr>
        <w:t xml:space="preserve">, generando una fuerte acumulación en el tope que el histograma muestra como una barra final muy alta. El cumplimiento de tareas es, en general, elevado.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practice_tests_taken — Ensayos / tests de práctica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98590" cy="3481388"/>
            <wp:effectExtent b="0" l="0" r="0" t="0"/>
            <wp:docPr descr="Histograma de practice_tests_taken" id="34" name="image40.png"/>
            <a:graphic>
              <a:graphicData uri="http://schemas.openxmlformats.org/drawingml/2006/picture">
                <pic:pic>
                  <pic:nvPicPr>
                    <pic:cNvPr descr="Histograma de practice_tests_taken"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43663" cy="1841046"/>
            <wp:effectExtent b="0" l="0" r="0" t="0"/>
            <wp:docPr descr="Diagrama de caja de practice_tests_taken" id="35" name="image37.png"/>
            <a:graphic>
              <a:graphicData uri="http://schemas.openxmlformats.org/drawingml/2006/picture">
                <pic:pic>
                  <pic:nvPicPr>
                    <pic:cNvPr descr="Diagrama de caja de practice_tests_taken"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184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4,02 · mediana 4,00 · SD 1,96 · IQR 2,69 · asimetría 0,11 · % atípicos 0,36% · rango 0–10.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Distribución </w:t>
      </w:r>
      <w:r w:rsidDel="00000000" w:rsidR="00000000" w:rsidRPr="00000000">
        <w:rPr>
          <w:b w:val="1"/>
          <w:bCs w:val="1"/>
          <w:rtl w:val="0"/>
        </w:rPr>
        <w:t xml:space="preserve">simétrica</w:t>
      </w:r>
      <w:r w:rsidDel="00000000" w:rsidR="00000000" w:rsidRPr="00000000">
        <w:rPr>
          <w:rtl w:val="0"/>
        </w:rPr>
        <w:t xml:space="preserve"> centrada en 4 ensayos.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2,3% no realiza ningún ensayo de práctica (valor 0), mientras que el grueso se mueve entre 2,7 y 5,4. La intensidad de práctica es moderada y bastante repartida.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group_study_hours — Estudio en grupo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45250" cy="3452813"/>
            <wp:effectExtent b="0" l="0" r="0" t="0"/>
            <wp:docPr descr="Histograma de group_study_hours" id="36" name="image41.png"/>
            <a:graphic>
              <a:graphicData uri="http://schemas.openxmlformats.org/drawingml/2006/picture">
                <pic:pic>
                  <pic:nvPicPr>
                    <pic:cNvPr descr="Histograma de group_study_hours"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272213" cy="1792061"/>
            <wp:effectExtent b="0" l="0" r="0" t="0"/>
            <wp:docPr descr="Diagrama de caja de group_study_hours" id="37" name="image39.png"/>
            <a:graphic>
              <a:graphicData uri="http://schemas.openxmlformats.org/drawingml/2006/picture">
                <pic:pic>
                  <pic:nvPicPr>
                    <pic:cNvPr descr="Diagrama de caja de group_study_hours"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179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1,53 · mediana 1,50 · SD 0,94 · IQR 1,35 · asimetría 0,30 · % atípicos 0,36% · rango 0–5,84.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Es la variable con </w:t>
      </w:r>
      <w:r w:rsidDel="00000000" w:rsidR="00000000" w:rsidRPr="00000000">
        <w:rPr>
          <w:b w:val="1"/>
          <w:bCs w:val="1"/>
          <w:rtl w:val="0"/>
        </w:rPr>
        <w:t xml:space="preserve">menor escala</w:t>
      </w:r>
      <w:r w:rsidDel="00000000" w:rsidR="00000000" w:rsidRPr="00000000">
        <w:rPr>
          <w:rtl w:val="0"/>
        </w:rPr>
        <w:t xml:space="preserve"> (media 1,5 hrs) y está sesgada a la derecha.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6,6% no dedica tiempo a estudio grupal</w:t>
      </w:r>
      <w:r w:rsidDel="00000000" w:rsidR="00000000" w:rsidRPr="00000000">
        <w:rPr>
          <w:rtl w:val="0"/>
        </w:rPr>
        <w:t xml:space="preserve"> (valor 0) y muy pocos superan las 4 hrs. El dato sugiere que el </w:t>
      </w:r>
      <w:r w:rsidDel="00000000" w:rsidR="00000000" w:rsidRPr="00000000">
        <w:rPr>
          <w:b w:val="1"/>
          <w:bCs w:val="1"/>
          <w:rtl w:val="0"/>
        </w:rPr>
        <w:t xml:space="preserve">estudio individual predomina</w:t>
      </w:r>
      <w:r w:rsidDel="00000000" w:rsidR="00000000" w:rsidRPr="00000000">
        <w:rPr>
          <w:rtl w:val="0"/>
        </w:rPr>
        <w:t xml:space="preserve"> claramente sobre el grupal.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notes_quality_score — Calidad de apuntes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05270" cy="3538538"/>
            <wp:effectExtent b="0" l="0" r="0" t="0"/>
            <wp:docPr descr="Histograma de notes_quality_score" id="38" name="image32.png"/>
            <a:graphic>
              <a:graphicData uri="http://schemas.openxmlformats.org/drawingml/2006/picture">
                <pic:pic>
                  <pic:nvPicPr>
                    <pic:cNvPr descr="Histograma de notes_quality_score"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19838" cy="1805668"/>
            <wp:effectExtent b="0" l="0" r="0" t="0"/>
            <wp:docPr descr="Diagrama de caja de notes_quality_score" id="39" name="image36.png"/>
            <a:graphic>
              <a:graphicData uri="http://schemas.openxmlformats.org/drawingml/2006/picture">
                <pic:pic>
                  <pic:nvPicPr>
                    <pic:cNvPr descr="Diagrama de caja de notes_quality_score"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180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6,95 · mediana 7,01 · SD 1,89 · IQR 2,70 · asimetría -0,29 · % atípicos 0,37% · rango 1–10.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Centrada en 7/10 con sesgo a la izquierda.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6,7% obtiene la calidad máxima (10), formando un pico en el extremo. En general los apuntes son de buena calidad, con pocos casos por debajo de 3.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time_management_score — Gestión del tiempo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94170" cy="3586163"/>
            <wp:effectExtent b="0" l="0" r="0" t="0"/>
            <wp:docPr descr="Histograma de time_management_score" id="40" name="image38.png"/>
            <a:graphic>
              <a:graphicData uri="http://schemas.openxmlformats.org/drawingml/2006/picture">
                <pic:pic>
                  <pic:nvPicPr>
                    <pic:cNvPr descr="Histograma de time_management_score"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100763" cy="1743075"/>
            <wp:effectExtent b="0" l="0" r="0" t="0"/>
            <wp:docPr descr="Diagrama de caja de time_management_score" id="41" name="image30.png"/>
            <a:graphic>
              <a:graphicData uri="http://schemas.openxmlformats.org/drawingml/2006/picture">
                <pic:pic>
                  <pic:nvPicPr>
                    <pic:cNvPr descr="Diagrama de caja de time_management_score"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6,46 · mediana 6,49 · SD 1,93 · IQR 2,71 · asimetría -0,17 · % atípicos 0,33% · rango 1–10.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Distribución </w:t>
      </w:r>
      <w:r w:rsidDel="00000000" w:rsidR="00000000" w:rsidRPr="00000000">
        <w:rPr>
          <w:b w:val="1"/>
          <w:bCs w:val="1"/>
          <w:rtl w:val="0"/>
        </w:rPr>
        <w:t xml:space="preserve">aproximadamente simétrica</w:t>
      </w:r>
      <w:r w:rsidDel="00000000" w:rsidR="00000000" w:rsidRPr="00000000">
        <w:rPr>
          <w:rtl w:val="0"/>
        </w:rPr>
        <w:t xml:space="preserve"> centrada en 6,5/10, la más "equilibrada" de los puntajes de habilidades.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4% alcanza el tope (10); la mayoría se ubica en un nivel intermedio de gestión del tiempo.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motivation_level — Motivación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62713" cy="3462167"/>
            <wp:effectExtent b="0" l="0" r="0" t="0"/>
            <wp:docPr descr="Histograma de motivation_level" id="12" name="image2.png"/>
            <a:graphic>
              <a:graphicData uri="http://schemas.openxmlformats.org/drawingml/2006/picture">
                <pic:pic>
                  <pic:nvPicPr>
                    <pic:cNvPr descr="Histograma de motivation_level"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346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48438" cy="1870982"/>
            <wp:effectExtent b="0" l="0" r="0" t="0"/>
            <wp:docPr descr="Diagrama de caja de motivation_level" id="13" name="image8.png"/>
            <a:graphic>
              <a:graphicData uri="http://schemas.openxmlformats.org/drawingml/2006/picture">
                <pic:pic>
                  <pic:nvPicPr>
                    <pic:cNvPr descr="Diagrama de caja de motivation_level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187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6,95 · mediana 7,01 · SD 1,89 · IQR 2,70 · asimetría -0,28 · % atípicos 0,36% · rango 1–10.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Centrada en 7/10 con sesgo a la izquierda.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6,8% reporta motivación máxima (10). La motivación es, en general,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, aunque existe una cola de estudiantes con valores bajos (hasta 1).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mental_health_score — Salud mental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05270" cy="3538538"/>
            <wp:effectExtent b="0" l="0" r="0" t="0"/>
            <wp:docPr descr="Histograma de mental_health_score" id="14" name="image11.png"/>
            <a:graphic>
              <a:graphicData uri="http://schemas.openxmlformats.org/drawingml/2006/picture">
                <pic:pic>
                  <pic:nvPicPr>
                    <pic:cNvPr descr="Histograma de mental_health_score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27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77013" cy="1879146"/>
            <wp:effectExtent b="0" l="0" r="0" t="0"/>
            <wp:docPr descr="Diagrama de caja de mental_health_score" id="15" name="image3.png"/>
            <a:graphic>
              <a:graphicData uri="http://schemas.openxmlformats.org/drawingml/2006/picture">
                <pic:pic>
                  <pic:nvPicPr>
                    <pic:cNvPr descr="Diagrama de caja de mental_health_score"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1879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6,98 · mediana 6,99 · SD 1,47 · IQR 2,03 · asimetría -0,12 · % atípicos 0,34% · rango 1–10.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Distribución </w:t>
      </w:r>
      <w:r w:rsidDel="00000000" w:rsidR="00000000" w:rsidRPr="00000000">
        <w:rPr>
          <w:b w:val="1"/>
          <w:bCs w:val="1"/>
          <w:rtl w:val="0"/>
        </w:rPr>
        <w:t xml:space="preserve">simétrica y compacta</w:t>
      </w:r>
      <w:r w:rsidDel="00000000" w:rsidR="00000000" w:rsidRPr="00000000">
        <w:rPr>
          <w:rtl w:val="0"/>
        </w:rPr>
        <w:t xml:space="preserve"> centrada en 7/10 (similar en forma a las horas de sueño).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el bienestar autopercibido es bueno y homogéneo; pocos casos extremos en ambos lados.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screen_time — Tiempo de pantalla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800850" cy="3643313"/>
            <wp:effectExtent b="0" l="0" r="0" t="0"/>
            <wp:docPr descr="Histograma de screen_time" id="16" name="image1.png"/>
            <a:graphic>
              <a:graphicData uri="http://schemas.openxmlformats.org/drawingml/2006/picture">
                <pic:pic>
                  <pic:nvPicPr>
                    <pic:cNvPr descr="Histograma de screen_time"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24638" cy="1892754"/>
            <wp:effectExtent b="0" l="0" r="0" t="0"/>
            <wp:docPr descr="Diagrama de caja de screen_time" id="17" name="image18.png"/>
            <a:graphic>
              <a:graphicData uri="http://schemas.openxmlformats.org/drawingml/2006/picture">
                <pic:pic>
                  <pic:nvPicPr>
                    <pic:cNvPr descr="Diagrama de caja de screen_time"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1892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4,02 · mediana 4,00 · SD 1,96 · IQR 2,70 · asimetría 0,13 · % atípicos 0,35% · rango 0–12.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Distribución </w:t>
      </w:r>
      <w:r w:rsidDel="00000000" w:rsidR="00000000" w:rsidRPr="00000000">
        <w:rPr>
          <w:b w:val="1"/>
          <w:bCs w:val="1"/>
          <w:rtl w:val="0"/>
        </w:rPr>
        <w:t xml:space="preserve">simétrica</w:t>
      </w:r>
      <w:r w:rsidDel="00000000" w:rsidR="00000000" w:rsidRPr="00000000">
        <w:rPr>
          <w:rtl w:val="0"/>
        </w:rPr>
        <w:t xml:space="preserve"> centrada en 4 hrs diarias (forma casi idéntica a la de los ensayos de práctica).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2,2% reporta 0 hrs de pantalla y existe una cola hasta 12 hrs; el uso es moderado en la mayoría.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social_media_hours — Horas en redes sociales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15088" cy="3436654"/>
            <wp:effectExtent b="0" l="0" r="0" t="0"/>
            <wp:docPr descr="Histograma de social_media_hours" id="18" name="image4.png"/>
            <a:graphic>
              <a:graphicData uri="http://schemas.openxmlformats.org/drawingml/2006/picture">
                <pic:pic>
                  <pic:nvPicPr>
                    <pic:cNvPr descr="Histograma de social_media_hours"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436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86538" cy="1881868"/>
            <wp:effectExtent b="0" l="0" r="0" t="0"/>
            <wp:docPr descr="Diagrama de caja de social_media_hours" id="19" name="image16.png"/>
            <a:graphic>
              <a:graphicData uri="http://schemas.openxmlformats.org/drawingml/2006/picture">
                <pic:pic>
                  <pic:nvPicPr>
                    <pic:cNvPr descr="Diagrama de caja de social_media_hours"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1881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2,53 · mediana 2,50 · SD 1,44 · IQR 2,02 · asimetría 0,23 · % atípicos 0,34% · rango 0–8.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Sesgada a la derecha, centrada en 2,5 hrs. </w:t>
      </w:r>
      <w:r w:rsidDel="00000000" w:rsidR="00000000" w:rsidRPr="00000000">
        <w:rPr>
          <w:b w:val="1"/>
          <w:bCs w:val="1"/>
          <w:rtl w:val="0"/>
        </w:rPr>
        <w:t xml:space="preserve">Hallazgo:</w:t>
      </w:r>
      <w:r w:rsidDel="00000000" w:rsidR="00000000" w:rsidRPr="00000000">
        <w:rPr>
          <w:rtl w:val="0"/>
        </w:rPr>
        <w:t xml:space="preserve"> un 4,75% no usa redes sociales (0 hrs) y hay una cola de </w:t>
      </w:r>
      <w:r w:rsidDel="00000000" w:rsidR="00000000" w:rsidRPr="00000000">
        <w:rPr>
          <w:b w:val="1"/>
          <w:bCs w:val="1"/>
          <w:rtl w:val="0"/>
        </w:rPr>
        <w:t xml:space="preserve">usuarios intensivos</w:t>
      </w:r>
      <w:r w:rsidDel="00000000" w:rsidR="00000000" w:rsidRPr="00000000">
        <w:rPr>
          <w:rtl w:val="0"/>
        </w:rPr>
        <w:t xml:space="preserve"> que llegan hasta 8 hrs diarias. El consumo típico es bajo-moderado.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final_grade — Nota final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76390" cy="3576638"/>
            <wp:effectExtent b="0" l="0" r="0" t="0"/>
            <wp:docPr descr="Histograma de final_grade" id="20" name="image10.png"/>
            <a:graphic>
              <a:graphicData uri="http://schemas.openxmlformats.org/drawingml/2006/picture">
                <pic:pic>
                  <pic:nvPicPr>
                    <pic:cNvPr descr="Histograma de final_grade"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15088" cy="1832882"/>
            <wp:effectExtent b="0" l="0" r="0" t="0"/>
            <wp:docPr descr="Diagrama de caja de final_grade" id="21" name="image28.png"/>
            <a:graphic>
              <a:graphicData uri="http://schemas.openxmlformats.org/drawingml/2006/picture">
                <pic:pic>
                  <pic:nvPicPr>
                    <pic:cNvPr descr="Diagrama de caja de final_grade"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1832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Estadísticos:</w:t>
      </w:r>
      <w:r w:rsidDel="00000000" w:rsidR="00000000" w:rsidRPr="00000000">
        <w:rPr>
          <w:rtl w:val="0"/>
        </w:rPr>
        <w:t xml:space="preserve"> media 53,1 · mediana 53,2 · SD 12,23 · IQR 16,51 · asimetría -0,04 · % atípicos 0,67% · rango 0–100.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La nota final tiene una distribución </w:t>
      </w:r>
      <w:r w:rsidDel="00000000" w:rsidR="00000000" w:rsidRPr="00000000">
        <w:rPr>
          <w:b w:val="1"/>
          <w:bCs w:val="1"/>
          <w:rtl w:val="0"/>
        </w:rPr>
        <w:t xml:space="preserve">prácticamente normal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(campana casi perfecta, sesgo ≈0), centrada en 53 puntos. </w:t>
      </w:r>
      <w:r w:rsidDel="00000000" w:rsidR="00000000" w:rsidRPr="00000000">
        <w:rPr>
          <w:b w:val="1"/>
          <w:bCs w:val="1"/>
          <w:rtl w:val="0"/>
        </w:rPr>
        <w:t xml:space="preserve">Hallazgo central:</w:t>
      </w:r>
      <w:r w:rsidDel="00000000" w:rsidR="00000000" w:rsidRPr="00000000">
        <w:rPr>
          <w:rtl w:val="0"/>
        </w:rPr>
        <w:t xml:space="preserve"> la media (53) queda </w:t>
      </w:r>
      <w:r w:rsidDel="00000000" w:rsidR="00000000" w:rsidRPr="00000000">
        <w:rPr>
          <w:b w:val="1"/>
          <w:bCs w:val="1"/>
          <w:rtl w:val="0"/>
        </w:rPr>
        <w:t xml:space="preserve">apenas por encima del umbral de aprobación (50)</w:t>
      </w:r>
      <w:r w:rsidDel="00000000" w:rsidR="00000000" w:rsidRPr="00000000">
        <w:rPr>
          <w:rtl w:val="0"/>
        </w:rPr>
        <w:t xml:space="preserve">, lo que explica que la población se reparta en ~60% aprobados / ~40% reprobados. El 0,67% de atípicos incluye los 4 registros erróneos con nota 0.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B) Variables Categóricas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gender — Género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58610" cy="3567113"/>
            <wp:effectExtent b="0" l="0" r="0" t="0"/>
            <wp:docPr descr="Frecuencias de gender" id="2" name="image15.png"/>
            <a:graphic>
              <a:graphicData uri="http://schemas.openxmlformats.org/drawingml/2006/picture">
                <pic:pic>
                  <pic:nvPicPr>
                    <pic:cNvPr descr="Frecuencias de gender"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La distribución es </w:t>
      </w:r>
      <w:r>
        <w:rPr>
          <w:b/>
        </w:rPr>
        <w:t>casi perfectamente paritaria</w:t>
      </w:r>
      <w:r>
        <w:rPr/>
        <w:t xml:space="preserve">: Female 48,0% y Male 48,0%, con una minoría "Other" del 4,0%. </w:t>
      </w:r>
      <w:r>
        <w:rPr>
          <w:b/>
        </w:rPr>
        <w:t>Hallazgo:</w:t>
      </w:r>
      <w:r>
        <w:rPr/>
        <w:t xml:space="preserve"> al no haber sobre-representación de ningún género, el riesgo académico podrá analizarse sin sesgo de composición y las intervenciones podrán diseñarse de forma neutra, salvo que el análisis posterior revele diferencias de reprobación entre géneros.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family_income — Ingreso familiar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34150" cy="3500438"/>
            <wp:effectExtent b="0" l="0" r="0" t="0"/>
            <wp:docPr descr="Frecuencias de family_income" id="3" name="image22.png"/>
            <a:graphic>
              <a:graphicData uri="http://schemas.openxmlformats.org/drawingml/2006/picture">
                <pic:pic>
                  <pic:nvPicPr>
                    <pic:cNvPr descr="Frecuencias de family_income"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Predomina el nivel </w:t>
      </w:r>
      <w:r>
        <w:rPr>
          <w:b/>
        </w:rPr>
        <w:t>Medio (45,0%)</w:t>
      </w:r>
      <w:r>
        <w:rPr/>
        <w:t xml:space="preserve">, seguido de Bajo (35,0%) y Alto (20,0%). </w:t>
      </w:r>
      <w:r>
        <w:rPr>
          <w:b/>
        </w:rPr>
        <w:t>Hallazgo:</w:t>
      </w:r>
      <w:r>
        <w:rPr/>
        <w:t xml:space="preserve"> </w:t>
      </w:r>
      <w:r>
        <w:rPr>
          <w:b/>
        </w:rPr>
        <w:t>8 de cada 10 estudiantes provienen de hogares de ingreso medio-bajo</w:t>
      </w:r>
      <w:r>
        <w:rPr/>
        <w:t>, el segmento socioeconómico donde los programas de apoyo (becas, recursos de estudio) pueden tener mayor impacto; es un factor clave para caracterizar los perfiles de riesgo y focalizar las intervenciones (ON-02 y ON-03).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parent_education — Educación de los padres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69710" cy="3519488"/>
            <wp:effectExtent b="0" l="0" r="0" t="0"/>
            <wp:docPr descr="Frecuencias de parent_education" id="4" name="image9.png"/>
            <a:graphic>
              <a:graphicData uri="http://schemas.openxmlformats.org/drawingml/2006/picture">
                <pic:pic>
                  <pic:nvPicPr>
                    <pic:cNvPr descr="Frecuencias de parent_education"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Forma una </w:t>
      </w:r>
      <w:r>
        <w:rPr>
          <w:b/>
        </w:rPr>
        <w:t>pirámide decreciente</w:t>
      </w:r>
      <w:r>
        <w:rPr/>
        <w:t xml:space="preserve">: High School 45,0% &gt; Bachelor 35,1% &gt; Master 15,0% &gt; PhD 4,9%. </w:t>
      </w:r>
      <w:r>
        <w:rPr>
          <w:b/>
        </w:rPr>
        <w:t>Hallazgo:</w:t>
      </w:r>
      <w:r>
        <w:rPr/>
        <w:t xml:space="preserve"> en la mayoría de los hogares la educación de los padres no supera la enseñanza media (45%) y sólo un 20% alcanza posgrado, lo que sugiere un menor acompañamiento académico en casa para gran parte de los estudiantes; es un posible factor de contexto asociado al riesgo de reprobar.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internet_access — Acceso a internet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74130" cy="3414713"/>
            <wp:effectExtent b="0" l="0" r="0" t="0"/>
            <wp:docPr descr="Frecuencias de internet_access" id="5" name="image5.png"/>
            <a:graphic>
              <a:graphicData uri="http://schemas.openxmlformats.org/drawingml/2006/picture">
                <pic:pic>
                  <pic:nvPicPr>
                    <pic:cNvPr descr="Frecuencias de internet_access"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Amplia mayoría con acceso (85,0%) frente a un 15,0% sin acceso. </w:t>
      </w:r>
      <w:r>
        <w:rPr>
          <w:b/>
        </w:rPr>
        <w:t>Hallazgo:</w:t>
      </w:r>
      <w:r>
        <w:rPr/>
        <w:t xml:space="preserve"> </w:t>
      </w:r>
      <w:r>
        <w:rPr>
          <w:b/>
        </w:rPr>
        <w:t>1 de cada 7 estudiantes no dispone de internet en el hogar</w:t>
      </w:r>
      <w:r>
        <w:rPr/>
        <w:t>, una barrera crítica para una institución que opera con plataforma virtual de aprendizaje: estos estudiantes enfrentan un riesgo estructural de rezago y son un objetivo directo de intervención (provisión de acceso o material alternativo).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device_type — Dispositivo principal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729730" cy="3605213"/>
            <wp:effectExtent b="0" l="0" r="0" t="0"/>
            <wp:docPr descr="Frecuencias de device_type" id="6" name="image7.png"/>
            <a:graphic>
              <a:graphicData uri="http://schemas.openxmlformats.org/drawingml/2006/picture">
                <pic:pic>
                  <pic:nvPicPr>
                    <pic:cNvPr descr="Frecuencias de device_type"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Predomina la </w:t>
      </w:r>
      <w:r>
        <w:rPr>
          <w:b/>
        </w:rPr>
        <w:t>Laptop (55,0%)</w:t>
      </w:r>
      <w:r>
        <w:rPr/>
        <w:t xml:space="preserve">, seguida de Mobile (30,0%), Tablet (10,0%) y None (5,0%). </w:t>
      </w:r>
      <w:r>
        <w:rPr>
          <w:b/>
        </w:rPr>
        <w:t>Hallazgo:</w:t>
      </w:r>
      <w:r>
        <w:rPr/>
        <w:t xml:space="preserve"> cerca de un tercio depende del celular y un 5% no posee dispositivo propio, lo que dificulta el uso pleno de la plataforma e-learning; junto con el acceso a internet, define una brecha tecnológica que puede traducirse en menor rendimiento.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school_type — Tipo de establecimiento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34163" cy="3554016"/>
            <wp:effectExtent b="0" l="0" r="0" t="0"/>
            <wp:docPr descr="Frecuencias de school_type" id="7" name="image20.png"/>
            <a:graphic>
              <a:graphicData uri="http://schemas.openxmlformats.org/drawingml/2006/picture">
                <pic:pic>
                  <pic:nvPicPr>
                    <pic:cNvPr descr="Frecuencias de school_type"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554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Dos tercios asisten a colegios </w:t>
      </w:r>
      <w:r>
        <w:rPr>
          <w:b/>
        </w:rPr>
        <w:t>públicos (65,1%)</w:t>
      </w:r>
      <w:r>
        <w:rPr/>
        <w:t xml:space="preserve"> y un tercio a privados (34,9%). </w:t>
      </w:r>
      <w:r>
        <w:rPr>
          <w:b/>
        </w:rPr>
        <w:t>Hallazgo:</w:t>
      </w:r>
      <w:r>
        <w:rPr/>
        <w:t xml:space="preserve"> la población está dominada por la educación pública (proporción 2:1); conviene verificar más adelante si el tipo de establecimiento de origen se asocia con distinta preparación previa y, por tanto, con el riesgo académico.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extracurriculars — Actividad extracurricular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40830" cy="3557588"/>
            <wp:effectExtent b="0" l="0" r="0" t="0"/>
            <wp:docPr descr="Frecuencias de extracurriculars" id="8" name="image6.png"/>
            <a:graphic>
              <a:graphicData uri="http://schemas.openxmlformats.org/drawingml/2006/picture">
                <pic:pic>
                  <pic:nvPicPr>
                    <pic:cNvPr descr="Frecuencias de extracurriculars"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Las seis categorías (Arts, Coding Club, Music, None, Sports, Debate) tienen </w:t>
      </w:r>
      <w:r>
        <w:rPr>
          <w:b/>
        </w:rPr>
        <w:t>frecuencias casi idénticas (~16,7% cada una)</w:t>
      </w:r>
      <w:r>
        <w:rPr/>
        <w:t xml:space="preserve">. </w:t>
      </w:r>
      <w:r>
        <w:rPr>
          <w:b/>
        </w:rPr>
        <w:t>Hallazgo:</w:t>
      </w:r>
      <w:r>
        <w:rPr/>
        <w:t xml:space="preserve"> ninguna actividad predomina y un 16,7% no participa de ninguna; al estar tan repartida, es poco probable que esta variable discrimine por sí sola el rendimiento, lo que deberá tenerse en cuenta al seleccionar los atributos del modelo.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grade_category — Categoría de nota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765290" cy="3624263"/>
            <wp:effectExtent b="0" l="0" r="0" t="0"/>
            <wp:docPr descr="Frecuencias de grade_category" id="9" name="image25.png"/>
            <a:graphic>
              <a:graphicData uri="http://schemas.openxmlformats.org/drawingml/2006/picture">
                <pic:pic>
                  <pic:nvPicPr>
                    <pic:cNvPr descr="Frecuencias de grade_category"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Forma una </w:t>
      </w:r>
      <w:r>
        <w:rPr>
          <w:b/>
        </w:rPr>
        <w:t>pirámide de notas</w:t>
      </w:r>
      <w:r>
        <w:rPr/>
        <w:t xml:space="preserve"> dominada por las bajas: F 39,8% y D 31,5% (juntas el </w:t>
      </w:r>
      <w:r>
        <w:rPr>
          <w:b/>
        </w:rPr>
        <w:t>71%</w:t>
      </w:r>
      <w:r>
        <w:rPr/>
        <w:t xml:space="preserve">), luego C 20,5%, B 7,0%, y la excelencia es muy rara: A 1,2% y A+ apenas 0,1%. </w:t>
      </w:r>
      <w:r>
        <w:rPr>
          <w:b/>
        </w:rPr>
        <w:t>Hallazgo:</w:t>
      </w:r>
      <w:r>
        <w:rPr/>
        <w:t xml:space="preserve"> el bajo rendimiento es la norma y no la excepción, lo que dimensiona la magnitud del problema que el proyecto busca atacar; además se detectan 4 registros vacíos a corregir en la preparación de datos.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pass_fail — Aprueba / Reprueba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658610" cy="3567113"/>
            <wp:effectExtent b="0" l="0" r="0" t="0"/>
            <wp:docPr descr="Frecuencias de pass_fail" id="10" name="image13.png"/>
            <a:graphic>
              <a:graphicData uri="http://schemas.openxmlformats.org/drawingml/2006/picture">
                <pic:pic>
                  <pic:nvPicPr>
                    <pic:cNvPr descr="Frecuencias de pass_fail"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La población se divide en </w:t>
      </w:r>
      <w:r>
        <w:rPr>
          <w:b/>
        </w:rPr>
        <w:t>Pass 60,2% y Fail 39,8%</w:t>
      </w:r>
      <w:r>
        <w:rPr/>
        <w:t xml:space="preserve">. </w:t>
      </w:r>
      <w:r>
        <w:rPr>
          <w:b/>
        </w:rPr>
        <w:t>Hallazgo:</w:t>
      </w:r>
      <w:r>
        <w:rPr/>
        <w:t xml:space="preserve"> casi </w:t>
      </w:r>
      <w:r>
        <w:rPr>
          <w:b/>
        </w:rPr>
        <w:t>4 de cada 10 estudiantes reprueban</w:t>
      </w:r>
      <w:r>
        <w:rPr/>
        <w:t>, el fenómeno central que motiva el estudio (ON-01); el desbalance es moderado, de modo que la clase "Fail" tiene representación suficiente para entrenar el modelo predictivo sin un desbalance severo.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C) Hallazgos Generales del Análisis Exploratorio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 análisis univariado del conjunto completo se desprenden los siguientes hallazgos transversales sobre los datos: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Distribuciones mayormente simétricas:</w:t>
      </w:r>
      <w:r w:rsidDel="00000000" w:rsidR="00000000" w:rsidRPr="00000000">
        <w:rPr>
          <w:rtl w:val="0"/>
        </w:rPr>
        <w:t xml:space="preserve"> la mayoría de las variables numéricas son aproximadamente simétricas (|asimetría| &lt; 0,6), y la nota final (final_grade) es prácticamente normal y está centrada en 53 puntos, justo sobre el umbral de aprobación.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Picos en los valores tope:</w:t>
      </w:r>
      <w:r w:rsidDel="00000000" w:rsidR="00000000" w:rsidRPr="00000000">
        <w:rPr>
          <w:rtl w:val="0"/>
        </w:rPr>
        <w:t xml:space="preserve"> varias variables muestran acumulaciones en sus límites superiores —asistencia = 100% (6,6%), tareas = 10 (16%), y varios puntajes = 10 (4–7%)— lo que produce barras finales destacadas en los histogramas.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Pequeños grupos en el valor 0:</w:t>
      </w:r>
      <w:r w:rsidDel="00000000" w:rsidR="00000000" w:rsidRPr="00000000">
        <w:rPr>
          <w:rtl w:val="0"/>
        </w:rPr>
        <w:t xml:space="preserve"> algunas variables de conducta presentan un subgrupo en cero: 1,2% no estudia, 6,6% no estudia en grupo, 4,75% no usa redes sociales y 2,3% no hace ensayos de práctica.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Variables sin poder discriminante:</w:t>
      </w:r>
      <w:r>
        <w:rPr/>
        <w:t xml:space="preserve"> el balance casi perfecto de gender (48/48), el reparto uniforme de extracurriculars (~16,7% cada una) y la distribución uniforme de age implican que, por sí solas, estas variables difícilmente diferenciarán a los estudiantes en riesgo; conviene tenerlo en cuenta al seleccionar los atributos del modelo predictivo (esta uniformidad es coherente con el carácter sintético ya declarado del conjunto).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Predominio de rendimientos bajos:</w:t>
      </w:r>
      <w:r w:rsidDel="00000000" w:rsidR="00000000" w:rsidRPr="00000000">
        <w:rPr>
          <w:rtl w:val="0"/>
        </w:rPr>
        <w:t xml:space="preserve"> la categoría de nota está dominada por F y D (71% combinado) y un 39,8% de los estudiantes reprueba, lo que define el problema central del estudio.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Calidad muy alta:</w:t>
      </w:r>
      <w:r w:rsidDel="00000000" w:rsidR="00000000" w:rsidRPr="00000000">
        <w:rPr>
          <w:rtl w:val="0"/>
        </w:rPr>
        <w:t xml:space="preserve"> salvo 4 registros erróneos (nota 0 con categoría vacía), no hay nulos ni duplicados; los valores atípicos por variable son escasos (0,3–0,7%).</w:t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D) Relaciones Observadas en los Datos (análisis de apoyo)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Como complemento al análisis univariado, se exploraron las relaciones entre las variables y la nota final, lo que arroja hallazgos descriptivos adicionales.</w:t>
      </w:r>
    </w:p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D.1. Relación de cada variable con la nota final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587490" cy="3529013"/>
            <wp:effectExtent b="0" l="0" r="0" t="0"/>
            <wp:docPr descr="Correlación con final_grade" id="11" name="image19.png"/>
            <a:graphic>
              <a:graphicData uri="http://schemas.openxmlformats.org/drawingml/2006/picture">
                <pic:pic>
                  <pic:nvPicPr>
                    <pic:cNvPr descr="Correlación con final_grade"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las horas de estudio (study_hours, r=0,43) y la nota previa (previous_grade, r=0,39) son las variables que </w:t>
      </w:r>
      <w:r>
        <w:rPr>
          <w:b/>
        </w:rPr>
        <w:t>más se asocian positivamente</w:t>
      </w:r>
      <w:r>
        <w:rPr/>
        <w:t xml:space="preserve"> con un buen rendimiento. En el otro extremo, el tiempo de pantalla (screen_time) y las horas en redes sociales (social_media_hours) presentan una </w:t>
      </w:r>
      <w:r>
        <w:rPr>
          <w:b/>
        </w:rPr>
        <w:t>relación negativa</w:t>
      </w:r>
      <w:r>
        <w:rPr/>
        <w:t xml:space="preserve"> (a mayor uso, menor nota). La edad (age) y el estudio en grupo (group_study_hours) prácticamente no se relacionan con la nota. Estos vínculos señalan qué hábitos conviene vigilar como factores asociados al rendimiento y posibles señales tempranas de riesgo (ON-02).</w:t>
      </w:r>
    </w:p>
    <w:p w:rsidR="00000000" w:rsidDel="00000000" w:rsidP="00000000" w:rsidRDefault="00000000" w:rsidRPr="00000000" w14:paraId="000000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D.2. Diferencias entre estudiantes que aprueban y que reprueban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303010" cy="3376613"/>
            <wp:effectExtent b="0" l="0" r="0" t="0"/>
            <wp:docPr descr="Diferencia de medias Aprueba menos Reprueba" id="1" name="image17.png"/>
            <a:graphic>
              <a:graphicData uri="http://schemas.openxmlformats.org/drawingml/2006/picture">
                <pic:pic>
                  <pic:nvPicPr>
                    <pic:cNvPr descr="Diferencia de medias Aprueba menos Reprueba"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/>
        </w:rPr>
        <w:t>Análisis:</w:t>
      </w:r>
      <w:r>
        <w:rPr/>
        <w:t xml:space="preserve"> al comparar los promedios de cada grupo, quienes </w:t>
      </w:r>
      <w:r>
        <w:rPr>
          <w:b/>
        </w:rPr>
        <w:t>aprueban</w:t>
      </w:r>
      <w:r>
        <w:rPr/>
        <w:t xml:space="preserve"> presentan en promedio una nota previa 9,3 puntos mayor, 3,1 puntos más de asistencia y 1,4 horas más de estudio que quienes reprueban. A la inversa, quienes </w:t>
      </w:r>
      <w:r>
        <w:rPr>
          <w:b/>
        </w:rPr>
        <w:t>reprueban</w:t>
      </w:r>
      <w:r>
        <w:rPr/>
        <w:t xml:space="preserve"> dedican en promedio más tiempo a pantallas y redes sociales. Estas diferencias perfilan, a nivel descriptivo, los hábitos que distinguen a cada grupo y adelantan las señales útiles para detectar tempranamente el riesgo y construir perfiles de intervención (ON-01 y ON-03).</w:t>
      </w:r>
    </w:p>
    <w:p>
      <w:pPr>
        <w:pStyle w:val="Heading2"/>
      </w:pPr>
      <w:r>
        <w:t>4.3.4. Calidad de los Datos</w:t>
      </w:r>
    </w:p>
    <w:p>
      <w:pPr/>
      <w:r>
        <w:t xml:space="preserve">Tras caracterizar las variables de forma individual, se evalúa la </w:t>
      </w:r>
      <w:r>
        <w:rPr>
          <w:b/>
        </w:rPr>
        <w:t>calidad del conjunto de datos</w:t>
      </w:r>
      <w:r>
        <w:t xml:space="preserve"> como insumo para las etapas de Preparación de Datos y Modelamiento. La revisión se realizó sobre los </w:t>
      </w:r>
      <w:r>
        <w:rPr>
          <w:b/>
        </w:rPr>
        <w:t>300.000 registros y 25 atributos</w:t>
      </w:r>
      <w:r>
        <w:t>, organizada según las dimensiones clásicas de calidad —completitud, unicidad, validez, consistencia, exactitud y presencia de valores atípicos—. El propósito es determinar si los datos son lo bastante confiables para sustentar la identificación temprana de estudiantes en riesgo (ON-01) y la construcción de perfiles (ON-03), y definir las acciones de limpieza necesarias.</w:t>
      </w:r>
    </w:p>
    <w:p>
      <w:pPr/>
      <w:r>
        <w:t>Los resultados por dimensión son los siguientes: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Completitud (valores faltantes):</w:t>
      </w:r>
      <w:r>
        <w:t xml:space="preserve"> el conjunto es prácticamente completo. De las 25 columnas, sólo grade_category presenta valores vacíos, y únicamente en </w:t>
      </w:r>
      <w:r>
        <w:rPr>
          <w:b/>
        </w:rPr>
        <w:t>4 registros (0,0013% del total)</w:t>
      </w:r>
      <w:r>
        <w:t>, que coinciden exactamente con los casos de final_grade = 0. El resto de los atributos no contiene nulos.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Unicidad (duplicados):</w:t>
      </w:r>
      <w:r>
        <w:t xml:space="preserve"> no existen registros duplicados; las 300.000 filas corresponden a estudiantes únicos. Esto evita que perfiles repetidos inflen artificialmente las frecuencias y sesguen tanto la clasificación como el agrupamiento.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Validez y rangos:</w:t>
      </w:r>
      <w:r>
        <w:t xml:space="preserve"> todos los valores caen dentro de sus dominios esperados —puntajes 1–10, calificaciones 0–100, asistencia 40–100%, edad 15–21— y las variables categóricas sólo contienen las categorías previstas, sin etiquetas mal escritas ni valores imposibles (por ejemplo, horas negativas).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Consistencia entre variables:</w:t>
      </w:r>
      <w:r>
        <w:t xml:space="preserve"> la variable pass_fail es coherente con final_grade (aprueba quien supera el umbral de 50 puntos) y grade_category respeta los tramos de nota correspondientes. La única incoherencia son los 4 registros con nota 0 y categoría vacía: una nota de 0 debería corresponder a la categoría F, lo que confirma que se trata de un error de registro y no de una categoría real.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Exactitud:</w:t>
      </w:r>
      <w:r>
        <w:t xml:space="preserve"> esos mismos 4 registros con final_grade = 0 se apartan del resto de la distribución (que en la práctica no baja de los ~20 puntos) y se interpretan como errores de carga o registros incompletos, no como desempeños reales de 0.</w:t>
      </w:r>
    </w:p>
    <w:p>
      <w:pPr>
        <w:numPr>
          <w:ilvl w:val="0"/>
          <w:numId w:val="11"/>
        </w:numPr>
        <w:ind w:left="600" w:hanging="360"/>
      </w:pPr>
      <w:r>
        <w:rPr>
          <w:b/>
        </w:rPr>
        <w:t>Valores atípicos:</w:t>
      </w:r>
      <w:r>
        <w:t xml:space="preserve"> la proporción de atípicos por variable es muy baja (entre 0,3% y 0,7%) y corresponde a valores extremos plausibles —estudiantes con muchas horas de estudio o asistencia perfecta—, no a errores. Se conservarán, evaluando su escalado según la sensibilidad de cada algoritmo (K-Means es sensible a los atípicos, mientras que J48 lo es menos).</w:t>
      </w:r>
    </w:p>
    <w:p>
      <w:pPr/>
      <w:r>
        <w:t>Tabla 40 – Resumen de la calidad de los datos y acciones de preparación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D9D9"/>
          </w:tcPr>
          <w:p>
            <w:pPr/>
            <w:r>
              <w:rPr>
                <w:b/>
              </w:rPr>
              <w:t>Dimensión</w:t>
            </w:r>
          </w:p>
        </w:tc>
        <w:tc>
          <w:tcPr>
            <w:tcW w:type="dxa" w:w="3120"/>
            <w:shd w:val="clear" w:color="auto" w:fill="D9D9D9"/>
          </w:tcPr>
          <w:p>
            <w:pPr/>
            <w:r>
              <w:rPr>
                <w:b/>
              </w:rPr>
              <w:t>Resultado</w:t>
            </w:r>
          </w:p>
        </w:tc>
        <w:tc>
          <w:tcPr>
            <w:tcW w:type="dxa" w:w="3120"/>
            <w:shd w:val="clear" w:color="auto" w:fill="D9D9D9"/>
          </w:tcPr>
          <w:p>
            <w:pPr/>
            <w:r>
              <w:rPr>
                <w:b/>
              </w:rPr>
              <w:t>Acción en la preparación de datos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Completitud</w:t>
            </w:r>
          </w:p>
        </w:tc>
        <w:tc>
          <w:tcPr>
            <w:tcW w:type="dxa" w:w="3120"/>
          </w:tcPr>
          <w:p>
            <w:pPr/>
            <w:r>
              <w:t>4 valores faltantes en grade_category (0,0013%)</w:t>
            </w:r>
          </w:p>
        </w:tc>
        <w:tc>
          <w:tcPr>
            <w:tcW w:type="dxa" w:w="3120"/>
          </w:tcPr>
          <w:p>
            <w:pPr/>
            <w:r>
              <w:t>Corregir (asignar la categoría F) o eliminar los 4 registros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Unicidad</w:t>
            </w:r>
          </w:p>
        </w:tc>
        <w:tc>
          <w:tcPr>
            <w:tcW w:type="dxa" w:w="3120"/>
          </w:tcPr>
          <w:p>
            <w:pPr/>
            <w:r>
              <w:t>Sin registros duplicados</w:t>
            </w:r>
          </w:p>
        </w:tc>
        <w:tc>
          <w:tcPr>
            <w:tcW w:type="dxa" w:w="3120"/>
          </w:tcPr>
          <w:p>
            <w:pPr/>
            <w:r>
              <w:t>Sin acción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Validez / Rangos</w:t>
            </w:r>
          </w:p>
        </w:tc>
        <w:tc>
          <w:tcPr>
            <w:tcW w:type="dxa" w:w="3120"/>
          </w:tcPr>
          <w:p>
            <w:pPr/>
            <w:r>
              <w:t>Todos los valores dentro de su dominio</w:t>
            </w:r>
          </w:p>
        </w:tc>
        <w:tc>
          <w:tcPr>
            <w:tcW w:type="dxa" w:w="3120"/>
          </w:tcPr>
          <w:p>
            <w:pPr/>
            <w:r>
              <w:t>Sin acción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Consistencia</w:t>
            </w:r>
          </w:p>
        </w:tc>
        <w:tc>
          <w:tcPr>
            <w:tcW w:type="dxa" w:w="3120"/>
          </w:tcPr>
          <w:p>
            <w:pPr/>
            <w:r>
              <w:t>Coherente, salvo los 4 registros con nota 0</w:t>
            </w:r>
          </w:p>
        </w:tc>
        <w:tc>
          <w:tcPr>
            <w:tcW w:type="dxa" w:w="3120"/>
          </w:tcPr>
          <w:p>
            <w:pPr/>
            <w:r>
              <w:t>Corregir junto con la limpieza anterior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Exactitud</w:t>
            </w:r>
          </w:p>
        </w:tc>
        <w:tc>
          <w:tcPr>
            <w:tcW w:type="dxa" w:w="3120"/>
          </w:tcPr>
          <w:p>
            <w:pPr/>
            <w:r>
              <w:t>4 registros con nota 0 (errores de carga)</w:t>
            </w:r>
          </w:p>
        </w:tc>
        <w:tc>
          <w:tcPr>
            <w:tcW w:type="dxa" w:w="3120"/>
          </w:tcPr>
          <w:p>
            <w:pPr/>
            <w:r>
              <w:t>Eliminar o corregir</w:t>
            </w:r>
          </w:p>
        </w:tc>
      </w:tr>
      <w:tr>
        <w:tc>
          <w:tcPr>
            <w:tcW w:type="dxa" w:w="3120"/>
          </w:tcPr>
          <w:p>
            <w:pPr/>
            <w:r>
              <w:rPr>
                <w:b/>
              </w:rPr>
              <w:t>Valores atípicos</w:t>
            </w:r>
          </w:p>
        </w:tc>
        <w:tc>
          <w:tcPr>
            <w:tcW w:type="dxa" w:w="3120"/>
          </w:tcPr>
          <w:p>
            <w:pPr/>
            <w:r>
              <w:t>0,3%–0,7% por variable, valores plausibles</w:t>
            </w:r>
          </w:p>
        </w:tc>
        <w:tc>
          <w:tcPr>
            <w:tcW w:type="dxa" w:w="3120"/>
          </w:tcPr>
          <w:p>
            <w:pPr/>
            <w:r>
              <w:t>Conservar; evaluar escalado según el algoritmo</w:t>
            </w:r>
          </w:p>
        </w:tc>
      </w:tr>
    </w:tbl>
    <w:p>
      <w:pPr/>
      <w:r>
        <w:t xml:space="preserve">En síntesis, se trata de un conjunto de datos de </w:t>
      </w:r>
      <w:r>
        <w:rPr>
          <w:b/>
        </w:rPr>
        <w:t>alta calidad</w:t>
      </w:r>
      <w:r>
        <w:t xml:space="preserve">: completo, sin duplicados, con valores dentro de rango y coherente entre sus variables. La única intervención indispensable es el tratamiento de los </w:t>
      </w:r>
      <w:r>
        <w:rPr>
          <w:b/>
        </w:rPr>
        <w:t>4 registros erróneos</w:t>
      </w:r>
      <w:r>
        <w:t xml:space="preserve"> (nota 0 con categoría vacía); dado su volumen ínfimo, pueden eliminarse sin afectar la representatividad de los 300.000 estudiantes. Con esta base confiable se puede avanzar a la etapa de Preparación de Datos y, posteriormente, al modelamiento que sustentará la detección temprana del riesgo académico (ON-01) y la construcción de perfiles de estudiantes (ON-03).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3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41.png"/><Relationship Id="rId42" Type="http://schemas.openxmlformats.org/officeDocument/2006/relationships/image" Target="media/image6.png"/><Relationship Id="rId41" Type="http://schemas.openxmlformats.org/officeDocument/2006/relationships/image" Target="media/image20.png"/><Relationship Id="rId22" Type="http://schemas.openxmlformats.org/officeDocument/2006/relationships/image" Target="media/image32.png"/><Relationship Id="rId44" Type="http://schemas.openxmlformats.org/officeDocument/2006/relationships/image" Target="media/image13.png"/><Relationship Id="rId21" Type="http://schemas.openxmlformats.org/officeDocument/2006/relationships/image" Target="media/image39.png"/><Relationship Id="rId43" Type="http://schemas.openxmlformats.org/officeDocument/2006/relationships/image" Target="media/image25.png"/><Relationship Id="rId24" Type="http://schemas.openxmlformats.org/officeDocument/2006/relationships/image" Target="media/image38.png"/><Relationship Id="rId46" Type="http://schemas.openxmlformats.org/officeDocument/2006/relationships/image" Target="media/image17.png"/><Relationship Id="rId23" Type="http://schemas.openxmlformats.org/officeDocument/2006/relationships/image" Target="media/image36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.png"/><Relationship Id="rId25" Type="http://schemas.openxmlformats.org/officeDocument/2006/relationships/image" Target="media/image30.png"/><Relationship Id="rId28" Type="http://schemas.openxmlformats.org/officeDocument/2006/relationships/image" Target="media/image1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23.png"/><Relationship Id="rId31" Type="http://schemas.openxmlformats.org/officeDocument/2006/relationships/image" Target="media/image18.png"/><Relationship Id="rId30" Type="http://schemas.openxmlformats.org/officeDocument/2006/relationships/image" Target="media/image1.png"/><Relationship Id="rId11" Type="http://schemas.openxmlformats.org/officeDocument/2006/relationships/image" Target="media/image35.png"/><Relationship Id="rId33" Type="http://schemas.openxmlformats.org/officeDocument/2006/relationships/image" Target="media/image16.png"/><Relationship Id="rId10" Type="http://schemas.openxmlformats.org/officeDocument/2006/relationships/image" Target="media/image29.png"/><Relationship Id="rId32" Type="http://schemas.openxmlformats.org/officeDocument/2006/relationships/image" Target="media/image4.png"/><Relationship Id="rId13" Type="http://schemas.openxmlformats.org/officeDocument/2006/relationships/image" Target="media/image27.png"/><Relationship Id="rId35" Type="http://schemas.openxmlformats.org/officeDocument/2006/relationships/image" Target="media/image28.png"/><Relationship Id="rId12" Type="http://schemas.openxmlformats.org/officeDocument/2006/relationships/image" Target="media/image21.png"/><Relationship Id="rId34" Type="http://schemas.openxmlformats.org/officeDocument/2006/relationships/image" Target="media/image10.png"/><Relationship Id="rId15" Type="http://schemas.openxmlformats.org/officeDocument/2006/relationships/image" Target="media/image26.png"/><Relationship Id="rId37" Type="http://schemas.openxmlformats.org/officeDocument/2006/relationships/image" Target="media/image22.png"/><Relationship Id="rId14" Type="http://schemas.openxmlformats.org/officeDocument/2006/relationships/image" Target="media/image34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5.png"/><Relationship Id="rId16" Type="http://schemas.openxmlformats.org/officeDocument/2006/relationships/image" Target="media/image31.png"/><Relationship Id="rId38" Type="http://schemas.openxmlformats.org/officeDocument/2006/relationships/image" Target="media/image9.png"/><Relationship Id="rId19" Type="http://schemas.openxmlformats.org/officeDocument/2006/relationships/image" Target="media/image37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