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5EA0"/>
          <w:sz w:val="36"/>
        </w:rPr>
        <w:t>Project Progress Report</w:t>
      </w:r>
    </w:p>
    <w:p>
      <w:pPr>
        <w:spacing w:after="240"/>
      </w:pPr>
      <w:r>
        <w:rPr>
          <w:i w:val="0"/>
          <w:color w:val="888888"/>
          <w:sz w:val="18"/>
        </w:rPr>
        <w:t>Unsupervised Learning Project | Milestone 2</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DCE6F1"/>
          </w:tcPr>
          <w:p>
            <w:r>
              <w:rPr>
                <w:b/>
                <w:color w:val="365F91"/>
                <w:sz w:val="18"/>
              </w:rPr>
            </w:r>
            <w:r>
              <w:rPr>
                <w:b/>
                <w:color w:val="365F91"/>
                <w:sz w:val="18"/>
              </w:rPr>
              <w:t>Team</w:t>
            </w:r>
          </w:p>
        </w:tc>
        <w:tc>
          <w:tcPr>
            <w:tcW w:type="dxa" w:w="4703"/>
            <w:shd w:val="clear" w:color="auto" w:fill="DCE6F1"/>
          </w:tcPr>
          <w:p>
            <w:r>
              <w:rPr>
                <w:b/>
                <w:color w:val="365F91"/>
                <w:sz w:val="18"/>
              </w:rPr>
            </w:r>
            <w:r>
              <w:rPr>
                <w:b/>
                <w:color w:val="365F91"/>
                <w:sz w:val="18"/>
              </w:rPr>
              <w:t>Francisco Rodrigues dos Santos (72908) · Duarte Ferreira (75419)</w:t>
            </w:r>
          </w:p>
        </w:tc>
      </w:tr>
      <w:tr>
        <w:tc>
          <w:tcPr>
            <w:tcW w:type="dxa" w:w="4703"/>
          </w:tcPr>
          <w:p>
            <w:r>
              <w:rPr>
                <w:sz w:val="18"/>
              </w:rPr>
            </w:r>
            <w:r>
              <w:rPr>
                <w:sz w:val="18"/>
              </w:rPr>
              <w:t>Project title</w:t>
            </w:r>
          </w:p>
        </w:tc>
        <w:tc>
          <w:tcPr>
            <w:tcW w:type="dxa" w:w="4703"/>
          </w:tcPr>
          <w:p>
            <w:r>
              <w:rPr>
                <w:sz w:val="18"/>
              </w:rPr>
            </w:r>
            <w:r>
              <w:rPr>
                <w:sz w:val="18"/>
              </w:rPr>
              <w:t>Hotel Booking Demand: Clustering of Booking Behaviour Profiles</w:t>
            </w:r>
          </w:p>
        </w:tc>
      </w:tr>
      <w:tr>
        <w:tc>
          <w:tcPr>
            <w:tcW w:type="dxa" w:w="4703"/>
          </w:tcPr>
          <w:p>
            <w:r>
              <w:rPr>
                <w:sz w:val="18"/>
              </w:rPr>
            </w:r>
            <w:r>
              <w:rPr>
                <w:sz w:val="18"/>
              </w:rPr>
              <w:t>Checkpoint date</w:t>
            </w:r>
          </w:p>
        </w:tc>
        <w:tc>
          <w:tcPr>
            <w:tcW w:type="dxa" w:w="4703"/>
          </w:tcPr>
          <w:p>
            <w:r>
              <w:rPr>
                <w:sz w:val="18"/>
              </w:rPr>
            </w:r>
            <w:r>
              <w:rPr>
                <w:sz w:val="18"/>
              </w:rPr>
              <w:t>30 April 2026</w:t>
            </w:r>
          </w:p>
        </w:tc>
      </w:tr>
      <w:tr>
        <w:tc>
          <w:tcPr>
            <w:tcW w:type="dxa" w:w="4703"/>
          </w:tcPr>
          <w:p>
            <w:r>
              <w:rPr>
                <w:sz w:val="18"/>
              </w:rPr>
            </w:r>
            <w:r>
              <w:rPr>
                <w:sz w:val="18"/>
              </w:rPr>
              <w:t>Repository</w:t>
            </w:r>
          </w:p>
        </w:tc>
        <w:tc>
          <w:tcPr>
            <w:tcW w:type="dxa" w:w="4703"/>
          </w:tcPr>
          <w:p>
            <w:r>
              <w:rPr>
                <w:sz w:val="18"/>
              </w:rPr>
            </w:r>
            <w:r>
              <w:rPr>
                <w:i/>
                <w:sz w:val="18"/>
              </w:rPr>
              <w:t>[GitHub URL — TBD]</w:t>
            </w:r>
          </w:p>
        </w:tc>
      </w:tr>
      <w:tr>
        <w:tc>
          <w:tcPr>
            <w:tcW w:type="dxa" w:w="4703"/>
          </w:tcPr>
          <w:p>
            <w:r>
              <w:rPr>
                <w:sz w:val="18"/>
              </w:rPr>
            </w:r>
            <w:r>
              <w:rPr>
                <w:sz w:val="18"/>
              </w:rPr>
              <w:t>Repository version shown in lab</w:t>
            </w:r>
          </w:p>
        </w:tc>
        <w:tc>
          <w:tcPr>
            <w:tcW w:type="dxa" w:w="4703"/>
          </w:tcPr>
          <w:p>
            <w:r>
              <w:rPr>
                <w:sz w:val="18"/>
              </w:rPr>
            </w:r>
            <w:r>
              <w:rPr>
                <w:i/>
                <w:sz w:val="18"/>
              </w:rPr>
              <w:t>[commit hash / tag — TBD]</w:t>
            </w:r>
          </w:p>
        </w:tc>
      </w:tr>
    </w:tbl>
    <w:p/>
    <w:p>
      <w:pPr>
        <w:pStyle w:val="Heading1"/>
      </w:pPr>
      <w:r>
        <w:t>1. RQ1 and segmentation time</w:t>
      </w:r>
    </w:p>
    <w:p>
      <w:pPr>
        <w:pStyle w:val="Heading2"/>
      </w:pPr>
      <w:r>
        <w:t>Segmentation question</w:t>
      </w:r>
    </w:p>
    <w:p>
      <w:r>
        <w:t>What recurring booking-behaviour profiles — defined over stay length, seasonality, distribution channel and commitment level — emerge from hotel reservation records, using only information available at the moment of booking confirmation? The goal is an exploratory segmentation usable for operational and marketing decisions at booking time. Clustering is justified because no supervised label captures "behaviour at booking time".</w:t>
      </w:r>
    </w:p>
    <w:p>
      <w:pPr>
        <w:pStyle w:val="Heading2"/>
      </w:pPr>
      <w:r>
        <w:t>Unit of analysis</w:t>
      </w:r>
    </w:p>
    <w:p>
      <w:r>
        <w:t>One row equals one booking record (not a customer). Conclusions are framed as recurring booking behaviours, not customer types.</w:t>
      </w:r>
    </w:p>
    <w:p>
      <w:pPr>
        <w:pStyle w:val="Heading2"/>
      </w:pPr>
      <w:r>
        <w:t>Segmentation (index) time</w:t>
      </w:r>
    </w:p>
    <w:p>
      <w:r>
        <w:t>Booking confirmation. Every clustering input is available at or before that point. Anything updated afterwards (cancellation outcome, room re-assignment, waiting-list days, post-event status) is reserved for post-hoc profiling only.</w:t>
      </w:r>
    </w:p>
    <w:p>
      <w:pPr>
        <w:pStyle w:val="Heading1"/>
      </w:pPr>
      <w:r>
        <w:t>2. Dataset version control and documentation</w:t>
      </w:r>
    </w:p>
    <w:p>
      <w:r>
        <w:t>Course release v1 (</w:t>
      </w:r>
      <w:r>
        <w:rPr>
          <w:rFonts w:ascii="Consolas" w:hAnsi="Consolas"/>
          <w:sz w:val="18"/>
        </w:rPr>
        <w:t>hotel_bookings_course_release_v1.csv</w:t>
      </w:r>
      <w:r>
        <w:t xml:space="preserve">), 119,390 rows by 32 columns. SHA-256 fingerprint </w:t>
      </w:r>
      <w:r>
        <w:rPr>
          <w:rFonts w:ascii="Consolas" w:hAnsi="Consolas"/>
          <w:sz w:val="18"/>
        </w:rPr>
        <w:t>7c2ae42a...c7b1fc06</w:t>
      </w:r>
      <w:r>
        <w:t xml:space="preserve">, recorded in </w:t>
      </w:r>
      <w:r>
        <w:rPr>
          <w:rFonts w:ascii="Consolas" w:hAnsi="Consolas"/>
          <w:sz w:val="18"/>
        </w:rPr>
        <w:t>data/raw/DATASET_MANIFEST.yml</w:t>
      </w:r>
      <w:r>
        <w:t>. Source: Kaggle (</w:t>
      </w:r>
      <w:r>
        <w:rPr>
          <w:rFonts w:ascii="Consolas" w:hAnsi="Consolas"/>
          <w:sz w:val="18"/>
        </w:rPr>
        <w:t>jessemostipak/hotel-booking-demand</w:t>
      </w:r>
      <w:r>
        <w:t xml:space="preserve">, CC BY 4.0); peer-reviewed reference António, de Almeida and Nunes (2019), </w:t>
      </w:r>
      <w:r>
        <w:rPr>
          <w:i/>
        </w:rPr>
        <w:t>Data in Brief</w:t>
      </w:r>
      <w:r>
        <w:t>, doi:10.1016/j.dib.2018.11.126. Raw CSV is not committed.</w:t>
      </w:r>
    </w:p>
    <w:p>
      <w:pPr>
        <w:pStyle w:val="Heading2"/>
      </w:pPr>
      <w:r>
        <w:t>Known data-quality issues</w:t>
      </w:r>
    </w:p>
    <w:p>
      <w:pPr>
        <w:pStyle w:val="ListBullet"/>
      </w:pPr>
      <w:r>
        <w:rPr>
          <w:rFonts w:ascii="Consolas" w:hAnsi="Consolas"/>
          <w:sz w:val="18"/>
        </w:rPr>
        <w:t>company</w:t>
      </w:r>
      <w:r>
        <w:t xml:space="preserve"> missing in 94.3 % of rows and </w:t>
      </w:r>
      <w:r>
        <w:rPr>
          <w:rFonts w:ascii="Consolas" w:hAnsi="Consolas"/>
          <w:sz w:val="18"/>
        </w:rPr>
        <w:t>agent</w:t>
      </w:r>
      <w:r>
        <w:t xml:space="preserve"> in 13.7 %; both are ID-like and dropped.</w:t>
      </w:r>
    </w:p>
    <w:p>
      <w:pPr>
        <w:pStyle w:val="ListBullet"/>
      </w:pPr>
      <w:r>
        <w:rPr>
          <w:rFonts w:ascii="Consolas" w:hAnsi="Consolas"/>
          <w:sz w:val="18"/>
        </w:rPr>
        <w:t>country</w:t>
      </w:r>
      <w:r>
        <w:t xml:space="preserve"> missing in 0.41 % and high-cardinality (~93 codes); rare-grouped at minimum frequency 100.</w:t>
      </w:r>
    </w:p>
    <w:p>
      <w:pPr>
        <w:pStyle w:val="ListBullet"/>
      </w:pPr>
      <w:r>
        <w:rPr>
          <w:rFonts w:ascii="Consolas" w:hAnsi="Consolas"/>
          <w:sz w:val="18"/>
        </w:rPr>
        <w:t>meal == "Undefined"</w:t>
      </w:r>
      <w:r>
        <w:t xml:space="preserve"> and a few negative </w:t>
      </w:r>
      <w:r>
        <w:rPr>
          <w:rFonts w:ascii="Consolas" w:hAnsi="Consolas"/>
          <w:sz w:val="18"/>
        </w:rPr>
        <w:t>adr</w:t>
      </w:r>
      <w:r>
        <w:t xml:space="preserve"> values are recoded to NaN before imputation.</w:t>
      </w:r>
    </w:p>
    <w:p>
      <w:pPr>
        <w:pStyle w:val="ListBullet"/>
      </w:pPr>
      <w:r>
        <w:t xml:space="preserve">Heavy right-skew in </w:t>
      </w:r>
      <w:r>
        <w:rPr>
          <w:rFonts w:ascii="Consolas" w:hAnsi="Consolas"/>
          <w:sz w:val="18"/>
        </w:rPr>
        <w:t>lead_time</w:t>
      </w:r>
      <w:r>
        <w:t xml:space="preserve">, </w:t>
      </w:r>
      <w:r>
        <w:rPr>
          <w:rFonts w:ascii="Consolas" w:hAnsi="Consolas"/>
          <w:sz w:val="18"/>
        </w:rPr>
        <w:t>previous_cancellations</w:t>
      </w:r>
      <w:r>
        <w:t xml:space="preserve">, </w:t>
      </w:r>
      <w:r>
        <w:rPr>
          <w:rFonts w:ascii="Consolas" w:hAnsi="Consolas"/>
          <w:sz w:val="18"/>
        </w:rPr>
        <w:t>previous_bookings_not_canceled</w:t>
      </w:r>
      <w:r>
        <w:t>, which is why we keep RobustScaler as a co-equal scaler variant.</w:t>
      </w:r>
    </w:p>
    <w:p>
      <w:pPr>
        <w:pStyle w:val="ListBullet"/>
      </w:pPr>
      <w:r>
        <w:t xml:space="preserve">The four raw </w:t>
      </w:r>
      <w:r>
        <w:rPr>
          <w:rFonts w:ascii="Consolas" w:hAnsi="Consolas"/>
          <w:sz w:val="18"/>
        </w:rPr>
        <w:t>arrival_date_*</w:t>
      </w:r>
      <w:r>
        <w:t xml:space="preserve"> columns are flagged by the course's </w:t>
      </w:r>
      <w:r>
        <w:rPr>
          <w:rFonts w:ascii="Consolas" w:hAnsi="Consolas"/>
          <w:sz w:val="18"/>
        </w:rPr>
        <w:t>column_roles.csv</w:t>
      </w:r>
      <w:r>
        <w:t xml:space="preserve"> for cyclic encoding.</w:t>
      </w:r>
    </w:p>
    <w:p>
      <w:pPr>
        <w:pStyle w:val="Heading1"/>
      </w:pPr>
      <w:r>
        <w:t>3. Completed Exploratory Data Analysis (EDA)</w:t>
      </w:r>
    </w:p>
    <w:p>
      <w:pPr>
        <w:pStyle w:val="Heading2"/>
      </w:pPr>
      <w:r>
        <w:t>Missingness summary</w:t>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DCE6F1"/>
          </w:tcPr>
          <w:p>
            <w:r>
              <w:rPr>
                <w:b/>
                <w:color w:val="365F91"/>
                <w:sz w:val="18"/>
              </w:rPr>
            </w:r>
            <w:r>
              <w:rPr>
                <w:b/>
                <w:color w:val="365F91"/>
                <w:sz w:val="18"/>
              </w:rPr>
              <w:t>Column</w:t>
            </w:r>
          </w:p>
        </w:tc>
        <w:tc>
          <w:tcPr>
            <w:tcW w:type="dxa" w:w="2351"/>
            <w:shd w:val="clear" w:color="auto" w:fill="DCE6F1"/>
          </w:tcPr>
          <w:p>
            <w:r>
              <w:rPr>
                <w:b/>
                <w:color w:val="365F91"/>
                <w:sz w:val="18"/>
              </w:rPr>
            </w:r>
            <w:r>
              <w:rPr>
                <w:b/>
                <w:color w:val="365F91"/>
                <w:sz w:val="18"/>
              </w:rPr>
              <w:t>Type</w:t>
            </w:r>
          </w:p>
        </w:tc>
        <w:tc>
          <w:tcPr>
            <w:tcW w:type="dxa" w:w="2351"/>
            <w:shd w:val="clear" w:color="auto" w:fill="DCE6F1"/>
          </w:tcPr>
          <w:p>
            <w:r>
              <w:rPr>
                <w:b/>
                <w:color w:val="365F91"/>
                <w:sz w:val="18"/>
              </w:rPr>
            </w:r>
            <w:r>
              <w:rPr>
                <w:b/>
                <w:color w:val="365F91"/>
                <w:sz w:val="18"/>
              </w:rPr>
              <w:t>n_missing</w:t>
            </w:r>
          </w:p>
        </w:tc>
        <w:tc>
          <w:tcPr>
            <w:tcW w:type="dxa" w:w="2351"/>
            <w:shd w:val="clear" w:color="auto" w:fill="DCE6F1"/>
          </w:tcPr>
          <w:p>
            <w:r>
              <w:rPr>
                <w:b/>
                <w:color w:val="365F91"/>
                <w:sz w:val="18"/>
              </w:rPr>
            </w:r>
            <w:r>
              <w:rPr>
                <w:b/>
                <w:color w:val="365F91"/>
                <w:sz w:val="18"/>
              </w:rPr>
              <w:t>%</w:t>
            </w:r>
          </w:p>
        </w:tc>
      </w:tr>
      <w:tr>
        <w:tc>
          <w:tcPr>
            <w:tcW w:type="dxa" w:w="2351"/>
          </w:tcPr>
          <w:p>
            <w:r>
              <w:rPr>
                <w:sz w:val="18"/>
              </w:rPr>
            </w:r>
            <w:r>
              <w:rPr>
                <w:rFonts w:ascii="Consolas" w:hAnsi="Consolas"/>
                <w:sz w:val="18"/>
              </w:rPr>
              <w:t>company</w:t>
            </w:r>
          </w:p>
        </w:tc>
        <w:tc>
          <w:tcPr>
            <w:tcW w:type="dxa" w:w="2351"/>
          </w:tcPr>
          <w:p>
            <w:r>
              <w:rPr>
                <w:sz w:val="18"/>
              </w:rPr>
            </w:r>
            <w:r>
              <w:rPr>
                <w:sz w:val="18"/>
              </w:rPr>
              <w:t>categorical</w:t>
            </w:r>
          </w:p>
        </w:tc>
        <w:tc>
          <w:tcPr>
            <w:tcW w:type="dxa" w:w="2351"/>
          </w:tcPr>
          <w:p>
            <w:r>
              <w:rPr>
                <w:sz w:val="18"/>
              </w:rPr>
            </w:r>
            <w:r>
              <w:rPr>
                <w:sz w:val="18"/>
              </w:rPr>
              <w:t>112,593</w:t>
            </w:r>
          </w:p>
        </w:tc>
        <w:tc>
          <w:tcPr>
            <w:tcW w:type="dxa" w:w="2351"/>
          </w:tcPr>
          <w:p>
            <w:r>
              <w:rPr>
                <w:sz w:val="18"/>
              </w:rPr>
            </w:r>
            <w:r>
              <w:rPr>
                <w:sz w:val="18"/>
              </w:rPr>
              <w:t>94.31</w:t>
            </w:r>
          </w:p>
        </w:tc>
      </w:tr>
      <w:tr>
        <w:tc>
          <w:tcPr>
            <w:tcW w:type="dxa" w:w="2351"/>
          </w:tcPr>
          <w:p>
            <w:r>
              <w:rPr>
                <w:sz w:val="18"/>
              </w:rPr>
            </w:r>
            <w:r>
              <w:rPr>
                <w:rFonts w:ascii="Consolas" w:hAnsi="Consolas"/>
                <w:sz w:val="18"/>
              </w:rPr>
              <w:t>agent</w:t>
            </w:r>
          </w:p>
        </w:tc>
        <w:tc>
          <w:tcPr>
            <w:tcW w:type="dxa" w:w="2351"/>
          </w:tcPr>
          <w:p>
            <w:r>
              <w:rPr>
                <w:sz w:val="18"/>
              </w:rPr>
            </w:r>
            <w:r>
              <w:rPr>
                <w:sz w:val="18"/>
              </w:rPr>
              <w:t>numerical (ID)</w:t>
            </w:r>
          </w:p>
        </w:tc>
        <w:tc>
          <w:tcPr>
            <w:tcW w:type="dxa" w:w="2351"/>
          </w:tcPr>
          <w:p>
            <w:r>
              <w:rPr>
                <w:sz w:val="18"/>
              </w:rPr>
            </w:r>
            <w:r>
              <w:rPr>
                <w:sz w:val="18"/>
              </w:rPr>
              <w:t>16,340</w:t>
            </w:r>
          </w:p>
        </w:tc>
        <w:tc>
          <w:tcPr>
            <w:tcW w:type="dxa" w:w="2351"/>
          </w:tcPr>
          <w:p>
            <w:r>
              <w:rPr>
                <w:sz w:val="18"/>
              </w:rPr>
            </w:r>
            <w:r>
              <w:rPr>
                <w:sz w:val="18"/>
              </w:rPr>
              <w:t>13.69</w:t>
            </w:r>
          </w:p>
        </w:tc>
      </w:tr>
      <w:tr>
        <w:tc>
          <w:tcPr>
            <w:tcW w:type="dxa" w:w="2351"/>
          </w:tcPr>
          <w:p>
            <w:r>
              <w:rPr>
                <w:sz w:val="18"/>
              </w:rPr>
            </w:r>
            <w:r>
              <w:rPr>
                <w:rFonts w:ascii="Consolas" w:hAnsi="Consolas"/>
                <w:sz w:val="18"/>
              </w:rPr>
              <w:t>country</w:t>
            </w:r>
          </w:p>
        </w:tc>
        <w:tc>
          <w:tcPr>
            <w:tcW w:type="dxa" w:w="2351"/>
          </w:tcPr>
          <w:p>
            <w:r>
              <w:rPr>
                <w:sz w:val="18"/>
              </w:rPr>
            </w:r>
            <w:r>
              <w:rPr>
                <w:sz w:val="18"/>
              </w:rPr>
              <w:t>categorical</w:t>
            </w:r>
          </w:p>
        </w:tc>
        <w:tc>
          <w:tcPr>
            <w:tcW w:type="dxa" w:w="2351"/>
          </w:tcPr>
          <w:p>
            <w:r>
              <w:rPr>
                <w:sz w:val="18"/>
              </w:rPr>
            </w:r>
            <w:r>
              <w:rPr>
                <w:sz w:val="18"/>
              </w:rPr>
              <w:t>488</w:t>
            </w:r>
          </w:p>
        </w:tc>
        <w:tc>
          <w:tcPr>
            <w:tcW w:type="dxa" w:w="2351"/>
          </w:tcPr>
          <w:p>
            <w:r>
              <w:rPr>
                <w:sz w:val="18"/>
              </w:rPr>
            </w:r>
            <w:r>
              <w:rPr>
                <w:sz w:val="18"/>
              </w:rPr>
              <w:t>0.41</w:t>
            </w:r>
          </w:p>
        </w:tc>
      </w:tr>
      <w:tr>
        <w:tc>
          <w:tcPr>
            <w:tcW w:type="dxa" w:w="2351"/>
          </w:tcPr>
          <w:p>
            <w:r>
              <w:rPr>
                <w:sz w:val="18"/>
              </w:rPr>
            </w:r>
            <w:r>
              <w:rPr>
                <w:rFonts w:ascii="Consolas" w:hAnsi="Consolas"/>
                <w:sz w:val="18"/>
              </w:rPr>
              <w:t>children</w:t>
            </w:r>
          </w:p>
        </w:tc>
        <w:tc>
          <w:tcPr>
            <w:tcW w:type="dxa" w:w="2351"/>
          </w:tcPr>
          <w:p>
            <w:r>
              <w:rPr>
                <w:sz w:val="18"/>
              </w:rPr>
            </w:r>
            <w:r>
              <w:rPr>
                <w:sz w:val="18"/>
              </w:rPr>
              <w:t>numerical</w:t>
            </w:r>
          </w:p>
        </w:tc>
        <w:tc>
          <w:tcPr>
            <w:tcW w:type="dxa" w:w="2351"/>
          </w:tcPr>
          <w:p>
            <w:r>
              <w:rPr>
                <w:sz w:val="18"/>
              </w:rPr>
            </w:r>
            <w:r>
              <w:rPr>
                <w:sz w:val="18"/>
              </w:rPr>
              <w:t>4</w:t>
            </w:r>
          </w:p>
        </w:tc>
        <w:tc>
          <w:tcPr>
            <w:tcW w:type="dxa" w:w="2351"/>
          </w:tcPr>
          <w:p>
            <w:r>
              <w:rPr>
                <w:sz w:val="18"/>
              </w:rPr>
            </w:r>
            <w:r>
              <w:rPr>
                <w:sz w:val="18"/>
              </w:rPr>
              <w:t>0.003</w:t>
            </w:r>
          </w:p>
        </w:tc>
      </w:tr>
      <w:tr>
        <w:tc>
          <w:tcPr>
            <w:tcW w:type="dxa" w:w="2351"/>
          </w:tcPr>
          <w:p>
            <w:r>
              <w:rPr>
                <w:sz w:val="18"/>
              </w:rPr>
            </w:r>
            <w:r>
              <w:rPr>
                <w:sz w:val="18"/>
              </w:rPr>
              <w:t>All other 28 columns</w:t>
            </w:r>
          </w:p>
        </w:tc>
        <w:tc>
          <w:tcPr>
            <w:tcW w:type="dxa" w:w="2351"/>
          </w:tcPr>
          <w:p>
            <w:r>
              <w:rPr>
                <w:sz w:val="18"/>
              </w:rPr>
            </w:r>
            <w:r>
              <w:rPr>
                <w:sz w:val="18"/>
              </w:rPr>
              <w:t>—</w:t>
            </w:r>
          </w:p>
        </w:tc>
        <w:tc>
          <w:tcPr>
            <w:tcW w:type="dxa" w:w="2351"/>
          </w:tcPr>
          <w:p>
            <w:r>
              <w:rPr>
                <w:sz w:val="18"/>
              </w:rPr>
            </w:r>
            <w:r>
              <w:rPr>
                <w:sz w:val="18"/>
              </w:rPr>
              <w:t>0</w:t>
            </w:r>
          </w:p>
        </w:tc>
        <w:tc>
          <w:tcPr>
            <w:tcW w:type="dxa" w:w="2351"/>
          </w:tcPr>
          <w:p>
            <w:r>
              <w:rPr>
                <w:sz w:val="18"/>
              </w:rPr>
            </w:r>
            <w:r>
              <w:rPr>
                <w:sz w:val="18"/>
              </w:rPr>
              <w:t>0.00</w:t>
            </w:r>
          </w:p>
        </w:tc>
      </w:tr>
    </w:tbl>
    <w:p/>
    <w:p>
      <w:pPr>
        <w:pStyle w:val="Heading2"/>
      </w:pPr>
      <w:r>
        <w:t>Outlier summary (1.5·IQR fences, numerical clustering inputs)</w:t>
      </w:r>
    </w:p>
    <w:p>
      <w:r>
        <w:rPr>
          <w:rFonts w:ascii="Consolas" w:hAnsi="Consolas"/>
          <w:sz w:val="18"/>
        </w:rPr>
        <w:t>lead_time</w:t>
      </w:r>
      <w:r>
        <w:t xml:space="preserve"> (Q1=18, Q3=164, fence 383), </w:t>
      </w:r>
      <w:r>
        <w:rPr>
          <w:rFonts w:ascii="Consolas" w:hAnsi="Consolas"/>
          <w:sz w:val="18"/>
        </w:rPr>
        <w:t>stays_in_week_nights</w:t>
      </w:r>
      <w:r>
        <w:t xml:space="preserve"> (Q1=1, Q3=3, fence 6) and </w:t>
      </w:r>
      <w:r>
        <w:rPr>
          <w:rFonts w:ascii="Consolas" w:hAnsi="Consolas"/>
          <w:sz w:val="18"/>
        </w:rPr>
        <w:t>stays_in_weekend_nights</w:t>
      </w:r>
      <w:r>
        <w:t xml:space="preserve"> (Q1=0, Q3=2, fence 5) are kept: long lead-times and long stays are real booking behaviour. The remaining numerical inputs (</w:t>
      </w:r>
      <w:r>
        <w:rPr>
          <w:rFonts w:ascii="Consolas" w:hAnsi="Consolas"/>
          <w:sz w:val="18"/>
        </w:rPr>
        <w:t>adults</w:t>
      </w:r>
      <w:r>
        <w:t xml:space="preserve">, </w:t>
      </w:r>
      <w:r>
        <w:rPr>
          <w:rFonts w:ascii="Consolas" w:hAnsi="Consolas"/>
          <w:sz w:val="18"/>
        </w:rPr>
        <w:t>children</w:t>
      </w:r>
      <w:r>
        <w:t xml:space="preserve">, </w:t>
      </w:r>
      <w:r>
        <w:rPr>
          <w:rFonts w:ascii="Consolas" w:hAnsi="Consolas"/>
          <w:sz w:val="18"/>
        </w:rPr>
        <w:t>babies</w:t>
      </w:r>
      <w:r>
        <w:t xml:space="preserve">, </w:t>
      </w:r>
      <w:r>
        <w:rPr>
          <w:rFonts w:ascii="Consolas" w:hAnsi="Consolas"/>
          <w:sz w:val="18"/>
        </w:rPr>
        <w:t>previous_cancellations</w:t>
      </w:r>
      <w:r>
        <w:t xml:space="preserve">, </w:t>
      </w:r>
      <w:r>
        <w:rPr>
          <w:rFonts w:ascii="Consolas" w:hAnsi="Consolas"/>
          <w:sz w:val="18"/>
        </w:rPr>
        <w:t>previous_bookings_not_canceled</w:t>
      </w:r>
      <w:r>
        <w:t>) all have zero IQR — non-zero values are exactly the signal we want, so rows are not removed. Heavy tails are absorbed by median imputation plus Standard or Robust scaling.</w:t>
      </w:r>
    </w:p>
    <w:p>
      <w:pPr>
        <w:pStyle w:val="Heading2"/>
      </w:pPr>
      <w:r>
        <w:t>Variables excluded from clustering inputs</w:t>
      </w:r>
    </w:p>
    <w:p>
      <w:pPr>
        <w:pStyle w:val="ListBullet"/>
      </w:pPr>
      <w:r>
        <w:rPr>
          <w:b/>
        </w:rPr>
        <w:t>Mandatory leakage exclusions</w:t>
      </w:r>
      <w:r>
        <w:t xml:space="preserve"> (post-event): </w:t>
      </w:r>
      <w:r>
        <w:rPr>
          <w:rFonts w:ascii="Consolas" w:hAnsi="Consolas"/>
          <w:sz w:val="18"/>
        </w:rPr>
        <w:t>is_canceled</w:t>
      </w:r>
      <w:r>
        <w:t xml:space="preserve">, </w:t>
      </w:r>
      <w:r>
        <w:rPr>
          <w:rFonts w:ascii="Consolas" w:hAnsi="Consolas"/>
          <w:sz w:val="18"/>
        </w:rPr>
        <w:t>reservation_status</w:t>
      </w:r>
      <w:r>
        <w:t xml:space="preserve">, </w:t>
      </w:r>
      <w:r>
        <w:rPr>
          <w:rFonts w:ascii="Consolas" w:hAnsi="Consolas"/>
          <w:sz w:val="18"/>
        </w:rPr>
        <w:t>reservation_status_date</w:t>
      </w:r>
      <w:r>
        <w:t>.</w:t>
      </w:r>
    </w:p>
    <w:p>
      <w:pPr>
        <w:pStyle w:val="ListBullet"/>
      </w:pPr>
      <w:r>
        <w:rPr>
          <w:b/>
        </w:rPr>
        <w:t>Post-confirmation exclusions</w:t>
      </w:r>
      <w:r>
        <w:t xml:space="preserve">: </w:t>
      </w:r>
      <w:r>
        <w:rPr>
          <w:rFonts w:ascii="Consolas" w:hAnsi="Consolas"/>
          <w:sz w:val="18"/>
        </w:rPr>
        <w:t>assigned_room_type</w:t>
      </w:r>
      <w:r>
        <w:t xml:space="preserve">, </w:t>
      </w:r>
      <w:r>
        <w:rPr>
          <w:rFonts w:ascii="Consolas" w:hAnsi="Consolas"/>
          <w:sz w:val="18"/>
        </w:rPr>
        <w:t>booking_changes</w:t>
      </w:r>
      <w:r>
        <w:t xml:space="preserve">, </w:t>
      </w:r>
      <w:r>
        <w:rPr>
          <w:rFonts w:ascii="Consolas" w:hAnsi="Consolas"/>
          <w:sz w:val="18"/>
        </w:rPr>
        <w:t>days_in_waiting_list</w:t>
      </w:r>
      <w:r>
        <w:t>.</w:t>
      </w:r>
    </w:p>
    <w:p>
      <w:pPr>
        <w:pStyle w:val="ListBullet"/>
      </w:pPr>
      <w:r>
        <w:rPr>
          <w:b/>
        </w:rPr>
        <w:t>Identifier exclusions</w:t>
      </w:r>
      <w:r>
        <w:t xml:space="preserve">: </w:t>
      </w:r>
      <w:r>
        <w:rPr>
          <w:rFonts w:ascii="Consolas" w:hAnsi="Consolas"/>
          <w:sz w:val="18"/>
        </w:rPr>
        <w:t>agent</w:t>
      </w:r>
      <w:r>
        <w:t xml:space="preserve">, </w:t>
      </w:r>
      <w:r>
        <w:rPr>
          <w:rFonts w:ascii="Consolas" w:hAnsi="Consolas"/>
          <w:sz w:val="18"/>
        </w:rPr>
        <w:t>company</w:t>
      </w:r>
      <w:r>
        <w:t>.</w:t>
      </w:r>
    </w:p>
    <w:p>
      <w:pPr>
        <w:pStyle w:val="ListBullet"/>
      </w:pPr>
      <w:r>
        <w:rPr>
          <w:b/>
        </w:rPr>
        <w:t>Re-coded into cyclic pairs and then dropped from the clustering input</w:t>
      </w:r>
      <w:r>
        <w:t xml:space="preserve">: </w:t>
      </w:r>
      <w:r>
        <w:rPr>
          <w:rFonts w:ascii="Consolas" w:hAnsi="Consolas"/>
          <w:sz w:val="18"/>
        </w:rPr>
        <w:t>arrival_date_month</w:t>
      </w:r>
      <w:r>
        <w:t xml:space="preserve"> becomes (</w:t>
      </w:r>
      <w:r>
        <w:rPr>
          <w:rFonts w:ascii="Consolas" w:hAnsi="Consolas"/>
          <w:sz w:val="18"/>
        </w:rPr>
        <w:t>arrival_month_sin</w:t>
      </w:r>
      <w:r>
        <w:t xml:space="preserve">, </w:t>
      </w:r>
      <w:r>
        <w:rPr>
          <w:rFonts w:ascii="Consolas" w:hAnsi="Consolas"/>
          <w:sz w:val="18"/>
        </w:rPr>
        <w:t>arrival_month_cos</w:t>
      </w:r>
      <w:r>
        <w:t xml:space="preserve">); </w:t>
      </w:r>
      <w:r>
        <w:rPr>
          <w:rFonts w:ascii="Consolas" w:hAnsi="Consolas"/>
          <w:sz w:val="18"/>
        </w:rPr>
        <w:t>arrival_date_week_number</w:t>
      </w:r>
      <w:r>
        <w:t xml:space="preserve"> becomes (</w:t>
      </w:r>
      <w:r>
        <w:rPr>
          <w:rFonts w:ascii="Consolas" w:hAnsi="Consolas"/>
          <w:sz w:val="18"/>
        </w:rPr>
        <w:t>arrival_week_sin</w:t>
      </w:r>
      <w:r>
        <w:t xml:space="preserve">, </w:t>
      </w:r>
      <w:r>
        <w:rPr>
          <w:rFonts w:ascii="Consolas" w:hAnsi="Consolas"/>
          <w:sz w:val="18"/>
        </w:rPr>
        <w:t>arrival_week_cos</w:t>
      </w:r>
      <w:r>
        <w:t>).</w:t>
      </w:r>
    </w:p>
    <w:p>
      <w:pPr>
        <w:pStyle w:val="ListBullet"/>
      </w:pPr>
      <w:r>
        <w:rPr>
          <w:b/>
        </w:rPr>
        <w:t>Dropped outright</w:t>
      </w:r>
      <w:r>
        <w:t xml:space="preserve">: </w:t>
      </w:r>
      <w:r>
        <w:rPr>
          <w:rFonts w:ascii="Consolas" w:hAnsi="Consolas"/>
          <w:sz w:val="18"/>
        </w:rPr>
        <w:t>arrival_date_year</w:t>
      </w:r>
      <w:r>
        <w:t xml:space="preserve"> (3-value dataset-window artefact, Jul-2015 to Aug-2017) and </w:t>
      </w:r>
      <w:r>
        <w:rPr>
          <w:rFonts w:ascii="Consolas" w:hAnsi="Consolas"/>
          <w:sz w:val="18"/>
        </w:rPr>
        <w:t>arrival_date_day_of_month</w:t>
      </w:r>
      <w:r>
        <w:t xml:space="preserve"> (sub-monthly noise).</w:t>
      </w:r>
    </w:p>
    <w:p>
      <w:pPr>
        <w:pStyle w:val="ListBullet"/>
      </w:pPr>
      <w:r>
        <w:rPr>
          <w:b/>
        </w:rPr>
        <w:t>Profiling-only</w:t>
      </w:r>
      <w:r>
        <w:t xml:space="preserve"> (kept in the profiling frame, never enter the distance computation): </w:t>
      </w:r>
      <w:r>
        <w:rPr>
          <w:rFonts w:ascii="Consolas" w:hAnsi="Consolas"/>
          <w:sz w:val="18"/>
        </w:rPr>
        <w:t>meal</w:t>
      </w:r>
      <w:r>
        <w:t xml:space="preserve">, </w:t>
      </w:r>
      <w:r>
        <w:rPr>
          <w:rFonts w:ascii="Consolas" w:hAnsi="Consolas"/>
          <w:sz w:val="18"/>
        </w:rPr>
        <w:t>required_car_parking_spaces</w:t>
      </w:r>
      <w:r>
        <w:t xml:space="preserve">, </w:t>
      </w:r>
      <w:r>
        <w:rPr>
          <w:rFonts w:ascii="Consolas" w:hAnsi="Consolas"/>
          <w:sz w:val="18"/>
        </w:rPr>
        <w:t>total_of_special_requests</w:t>
      </w:r>
      <w:r>
        <w:t xml:space="preserve">, </w:t>
      </w:r>
      <w:r>
        <w:rPr>
          <w:rFonts w:ascii="Consolas" w:hAnsi="Consolas"/>
          <w:sz w:val="18"/>
        </w:rPr>
        <w:t>adr</w:t>
      </w:r>
      <w:r>
        <w:t xml:space="preserve">. Price is a downstream consequence of the booking choices we cluster on; mixing it in conflates cluster </w:t>
      </w:r>
      <w:r>
        <w:rPr>
          <w:i/>
        </w:rPr>
        <w:t>definition</w:t>
      </w:r>
      <w:r>
        <w:t xml:space="preserve"> with cluster </w:t>
      </w:r>
      <w:r>
        <w:rPr>
          <w:i/>
        </w:rPr>
        <w:t>description</w:t>
      </w:r>
      <w:r>
        <w:t>.</w:t>
      </w:r>
    </w:p>
    <w:p>
      <w:r>
        <w:t xml:space="preserve">All exclusions are centralised in </w:t>
      </w:r>
      <w:r>
        <w:rPr>
          <w:rFonts w:ascii="Consolas" w:hAnsi="Consolas"/>
          <w:sz w:val="18"/>
        </w:rPr>
        <w:t>src/preprocessing/feature_config.py</w:t>
      </w:r>
      <w:r>
        <w:t>.</w:t>
      </w:r>
    </w:p>
    <w:p>
      <w:pPr>
        <w:pStyle w:val="Heading1"/>
      </w:pPr>
      <w:r>
        <w:t>4. Main representation (RQ2)</w:t>
      </w:r>
    </w:p>
    <w:p>
      <w:pPr>
        <w:pStyle w:val="Heading2"/>
      </w:pPr>
      <w:r>
        <w:t>Included variables</w:t>
      </w:r>
    </w:p>
    <w:p>
      <w:pPr>
        <w:pStyle w:val="ListBullet"/>
      </w:pPr>
      <w:r>
        <w:rPr>
          <w:b/>
        </w:rPr>
        <w:t>Numerical (13)</w:t>
      </w:r>
      <w:r>
        <w:t xml:space="preserve">: </w:t>
      </w:r>
      <w:r>
        <w:rPr>
          <w:rFonts w:ascii="Consolas" w:hAnsi="Consolas"/>
          <w:sz w:val="18"/>
        </w:rPr>
        <w:t>lead_time</w:t>
      </w:r>
      <w:r>
        <w:t xml:space="preserve">, </w:t>
      </w:r>
      <w:r>
        <w:rPr>
          <w:rFonts w:ascii="Consolas" w:hAnsi="Consolas"/>
          <w:sz w:val="18"/>
        </w:rPr>
        <w:t>stays_in_weekend_nights</w:t>
      </w:r>
      <w:r>
        <w:t xml:space="preserve">, </w:t>
      </w:r>
      <w:r>
        <w:rPr>
          <w:rFonts w:ascii="Consolas" w:hAnsi="Consolas"/>
          <w:sz w:val="18"/>
        </w:rPr>
        <w:t>stays_in_week_nights</w:t>
      </w:r>
      <w:r>
        <w:t xml:space="preserve">, </w:t>
      </w:r>
      <w:r>
        <w:rPr>
          <w:rFonts w:ascii="Consolas" w:hAnsi="Consolas"/>
          <w:sz w:val="18"/>
        </w:rPr>
        <w:t>adults</w:t>
      </w:r>
      <w:r>
        <w:t xml:space="preserve">, </w:t>
      </w:r>
      <w:r>
        <w:rPr>
          <w:rFonts w:ascii="Consolas" w:hAnsi="Consolas"/>
          <w:sz w:val="18"/>
        </w:rPr>
        <w:t>children</w:t>
      </w:r>
      <w:r>
        <w:t xml:space="preserve">, </w:t>
      </w:r>
      <w:r>
        <w:rPr>
          <w:rFonts w:ascii="Consolas" w:hAnsi="Consolas"/>
          <w:sz w:val="18"/>
        </w:rPr>
        <w:t>babies</w:t>
      </w:r>
      <w:r>
        <w:t xml:space="preserve">, </w:t>
      </w:r>
      <w:r>
        <w:rPr>
          <w:rFonts w:ascii="Consolas" w:hAnsi="Consolas"/>
          <w:sz w:val="18"/>
        </w:rPr>
        <w:t>is_repeated_guest</w:t>
      </w:r>
      <w:r>
        <w:t xml:space="preserve">, </w:t>
      </w:r>
      <w:r>
        <w:rPr>
          <w:rFonts w:ascii="Consolas" w:hAnsi="Consolas"/>
          <w:sz w:val="18"/>
        </w:rPr>
        <w:t>previous_cancellations</w:t>
      </w:r>
      <w:r>
        <w:t xml:space="preserve">, </w:t>
      </w:r>
      <w:r>
        <w:rPr>
          <w:rFonts w:ascii="Consolas" w:hAnsi="Consolas"/>
          <w:sz w:val="18"/>
        </w:rPr>
        <w:t>previous_bookings_not_canceled</w:t>
      </w:r>
      <w:r>
        <w:t xml:space="preserve">, plus the four cyclic features </w:t>
      </w:r>
      <w:r>
        <w:rPr>
          <w:rFonts w:ascii="Consolas" w:hAnsi="Consolas"/>
          <w:sz w:val="18"/>
        </w:rPr>
        <w:t>arrival_month_sin</w:t>
      </w:r>
      <w:r>
        <w:t xml:space="preserve">, </w:t>
      </w:r>
      <w:r>
        <w:rPr>
          <w:rFonts w:ascii="Consolas" w:hAnsi="Consolas"/>
          <w:sz w:val="18"/>
        </w:rPr>
        <w:t>arrival_month_cos</w:t>
      </w:r>
      <w:r>
        <w:t xml:space="preserve">, </w:t>
      </w:r>
      <w:r>
        <w:rPr>
          <w:rFonts w:ascii="Consolas" w:hAnsi="Consolas"/>
          <w:sz w:val="18"/>
        </w:rPr>
        <w:t>arrival_week_sin</w:t>
      </w:r>
      <w:r>
        <w:t xml:space="preserve">, </w:t>
      </w:r>
      <w:r>
        <w:rPr>
          <w:rFonts w:ascii="Consolas" w:hAnsi="Consolas"/>
          <w:sz w:val="18"/>
        </w:rPr>
        <w:t>arrival_week_cos</w:t>
      </w:r>
      <w:r>
        <w:t xml:space="preserve">. </w:t>
      </w:r>
      <w:r>
        <w:rPr>
          <w:rFonts w:ascii="Consolas" w:hAnsi="Consolas"/>
          <w:sz w:val="18"/>
        </w:rPr>
        <w:t>is_repeated_guest</w:t>
      </w:r>
      <w:r>
        <w:t xml:space="preserve"> (binary 0/1) stays in the numerical block as a single column rather than being one-hot-encoded into two collinear columns.</w:t>
      </w:r>
    </w:p>
    <w:p>
      <w:pPr>
        <w:pStyle w:val="ListBullet"/>
      </w:pPr>
      <w:r>
        <w:rPr>
          <w:b/>
        </w:rPr>
        <w:t>Categorical (7)</w:t>
      </w:r>
      <w:r>
        <w:t xml:space="preserve">: </w:t>
      </w:r>
      <w:r>
        <w:rPr>
          <w:rFonts w:ascii="Consolas" w:hAnsi="Consolas"/>
          <w:sz w:val="18"/>
        </w:rPr>
        <w:t>hotel</w:t>
      </w:r>
      <w:r>
        <w:t xml:space="preserve">, </w:t>
      </w:r>
      <w:r>
        <w:rPr>
          <w:rFonts w:ascii="Consolas" w:hAnsi="Consolas"/>
          <w:sz w:val="18"/>
        </w:rPr>
        <w:t>country</w:t>
      </w:r>
      <w:r>
        <w:t xml:space="preserve">, </w:t>
      </w:r>
      <w:r>
        <w:rPr>
          <w:rFonts w:ascii="Consolas" w:hAnsi="Consolas"/>
          <w:sz w:val="18"/>
        </w:rPr>
        <w:t>market_segment</w:t>
      </w:r>
      <w:r>
        <w:t xml:space="preserve">, </w:t>
      </w:r>
      <w:r>
        <w:rPr>
          <w:rFonts w:ascii="Consolas" w:hAnsi="Consolas"/>
          <w:sz w:val="18"/>
        </w:rPr>
        <w:t>distribution_channel</w:t>
      </w:r>
      <w:r>
        <w:t xml:space="preserve">, </w:t>
      </w:r>
      <w:r>
        <w:rPr>
          <w:rFonts w:ascii="Consolas" w:hAnsi="Consolas"/>
          <w:sz w:val="18"/>
        </w:rPr>
        <w:t>reserved_room_type</w:t>
      </w:r>
      <w:r>
        <w:t xml:space="preserve">, </w:t>
      </w:r>
      <w:r>
        <w:rPr>
          <w:rFonts w:ascii="Consolas" w:hAnsi="Consolas"/>
          <w:sz w:val="18"/>
        </w:rPr>
        <w:t>deposit_type</w:t>
      </w:r>
      <w:r>
        <w:t xml:space="preserve">, </w:t>
      </w:r>
      <w:r>
        <w:rPr>
          <w:rFonts w:ascii="Consolas" w:hAnsi="Consolas"/>
          <w:sz w:val="18"/>
        </w:rPr>
        <w:t>customer_type</w:t>
      </w:r>
      <w:r>
        <w:t>.</w:t>
      </w:r>
    </w:p>
    <w:p>
      <w:pPr>
        <w:pStyle w:val="Heading2"/>
      </w:pPr>
      <w:r>
        <w:t>Excluded and profiling-only variables</w:t>
      </w:r>
    </w:p>
    <w:p>
      <w:r>
        <w:t>Leakage and identifier exclusions are listed in section 3 (</w:t>
      </w:r>
      <w:r>
        <w:rPr>
          <w:rFonts w:ascii="Consolas" w:hAnsi="Consolas"/>
          <w:sz w:val="18"/>
        </w:rPr>
        <w:t>Milestone2_Report.md:56-58</w:t>
      </w:r>
      <w:r>
        <w:t xml:space="preserve">). Specific to the representation, four variables are kept in the profiling frame but never enter the distance: </w:t>
      </w:r>
      <w:r>
        <w:rPr>
          <w:rFonts w:ascii="Consolas" w:hAnsi="Consolas"/>
          <w:sz w:val="18"/>
        </w:rPr>
        <w:t>meal</w:t>
      </w:r>
      <w:r>
        <w:t xml:space="preserve">, </w:t>
      </w:r>
      <w:r>
        <w:rPr>
          <w:rFonts w:ascii="Consolas" w:hAnsi="Consolas"/>
          <w:sz w:val="18"/>
        </w:rPr>
        <w:t>required_car_parking_spaces</w:t>
      </w:r>
      <w:r>
        <w:t xml:space="preserve">, </w:t>
      </w:r>
      <w:r>
        <w:rPr>
          <w:rFonts w:ascii="Consolas" w:hAnsi="Consolas"/>
          <w:sz w:val="18"/>
        </w:rPr>
        <w:t>total_of_special_requests</w:t>
      </w:r>
      <w:r>
        <w:t xml:space="preserve">, </w:t>
      </w:r>
      <w:r>
        <w:rPr>
          <w:rFonts w:ascii="Consolas" w:hAnsi="Consolas"/>
          <w:sz w:val="18"/>
        </w:rPr>
        <w:t>adr</w:t>
      </w:r>
      <w:r>
        <w:t xml:space="preserve">. Each is observable at booking time, so it is not a leakage case; the reason for exclusion is that they are </w:t>
      </w:r>
      <w:r>
        <w:rPr>
          <w:i/>
        </w:rPr>
        <w:t>consequences</w:t>
      </w:r>
      <w:r>
        <w:t xml:space="preserve"> of the booking choices we cluster on (price, on-site requests). Including them would conflate cluster </w:t>
      </w:r>
      <w:r>
        <w:rPr>
          <w:i/>
        </w:rPr>
        <w:t>definition</w:t>
      </w:r>
      <w:r>
        <w:t xml:space="preserve"> with cluster </w:t>
      </w:r>
      <w:r>
        <w:rPr>
          <w:i/>
        </w:rPr>
        <w:t>description</w:t>
      </w:r>
      <w:r>
        <w:t xml:space="preserve"> and let the descriptors do the modelling work.</w:t>
      </w:r>
    </w:p>
    <w:p>
      <w:pPr>
        <w:pStyle w:val="Heading2"/>
      </w:pPr>
      <w:r>
        <w:t>Numerical preprocessing</w:t>
      </w:r>
    </w:p>
    <w:p>
      <w:r>
        <w:t xml:space="preserve">Median imputation, then scaling. Cyclic encoding for both month and week-of-year so December and January (or week 52 and week 1) are close in feature space rather than 11 or 51 units apart. Two scaler variants run side-by-side under the same protocol: </w:t>
      </w:r>
      <w:r>
        <w:rPr>
          <w:b/>
        </w:rPr>
        <w:t>StandardScaler</w:t>
      </w:r>
      <w:r>
        <w:t xml:space="preserve"> (zero mean, unit variance) and </w:t>
      </w:r>
      <w:r>
        <w:rPr>
          <w:b/>
        </w:rPr>
        <w:t>RobustScaler</w:t>
      </w:r>
      <w:r>
        <w:t xml:space="preserve"> (median, IQR-based, resistant to long tails). We report both so any conclusion has to hold up under either.</w:t>
      </w:r>
    </w:p>
    <w:p>
      <w:pPr>
        <w:pStyle w:val="Heading2"/>
      </w:pPr>
      <w:r>
        <w:t>Categorical preprocessing</w:t>
      </w:r>
    </w:p>
    <w:p>
      <w:r>
        <w:t xml:space="preserve">Imputation with constant value </w:t>
      </w:r>
      <w:r>
        <w:rPr>
          <w:rFonts w:ascii="Consolas" w:hAnsi="Consolas"/>
          <w:sz w:val="18"/>
        </w:rPr>
        <w:t>"Unknown"</w:t>
      </w:r>
      <w:r>
        <w:t xml:space="preserve">. A custom </w:t>
      </w:r>
      <w:r>
        <w:rPr>
          <w:rFonts w:ascii="Consolas" w:hAnsi="Consolas"/>
          <w:sz w:val="18"/>
        </w:rPr>
        <w:t>RareCategoryGrouper</w:t>
      </w:r>
      <w:r>
        <w:t xml:space="preserve"> collapses categories below 50 occurrences (100 for </w:t>
      </w:r>
      <w:r>
        <w:rPr>
          <w:rFonts w:ascii="Consolas" w:hAnsi="Consolas"/>
          <w:sz w:val="18"/>
        </w:rPr>
        <w:t>country</w:t>
      </w:r>
      <w:r>
        <w:t xml:space="preserve">) into </w:t>
      </w:r>
      <w:r>
        <w:rPr>
          <w:rFonts w:ascii="Consolas" w:hAnsi="Consolas"/>
          <w:sz w:val="18"/>
        </w:rPr>
        <w:t>"Other"</w:t>
      </w:r>
      <w:r>
        <w:t xml:space="preserve"> before encoding. </w:t>
      </w:r>
      <w:r>
        <w:rPr>
          <w:rFonts w:ascii="Consolas" w:hAnsi="Consolas"/>
          <w:sz w:val="18"/>
        </w:rPr>
        <w:t>OneHotEncoder</w:t>
      </w:r>
      <w:r>
        <w:t xml:space="preserve"> then maps unseen categories at scoring time to all-zeros, in a single encoding pass without double-counting.</w:t>
      </w:r>
    </w:p>
    <w:p>
      <w:pPr>
        <w:pStyle w:val="Heading2"/>
      </w:pPr>
      <w:r>
        <w:t>Final representation</w:t>
      </w:r>
    </w:p>
    <w:p>
      <w:r>
        <w:rPr>
          <w:rFonts w:ascii="Consolas" w:hAnsi="Consolas"/>
          <w:sz w:val="18"/>
        </w:rPr>
        <w:t>representation_id = repA</w:t>
      </w:r>
      <w:r>
        <w:t xml:space="preserve">. Implied geometry is </w:t>
      </w:r>
      <w:r>
        <w:rPr>
          <w:b/>
        </w:rPr>
        <w:t>Euclidean</w:t>
      </w:r>
      <w:r>
        <w:t xml:space="preserve"> on a dense matrix of 13 numerical plus about 40 one-hot dimensions, totalling 53 features on the 5,000-row fast-check. Internal indices in section 5 are computed in this same space, with no metric switch in between.</w:t>
      </w:r>
    </w:p>
    <w:p>
      <w:pPr>
        <w:pStyle w:val="Heading1"/>
      </w:pPr>
      <w:r>
        <w:t>5. Baseline modelling evidence</w:t>
      </w:r>
    </w:p>
    <w:p>
      <w:pPr>
        <w:pStyle w:val="Heading2"/>
      </w:pPr>
      <w:r>
        <w:t>Methods and configuration</w:t>
      </w:r>
    </w:p>
    <w:p>
      <w:pPr>
        <w:pStyle w:val="ListBullet"/>
      </w:pPr>
      <w:r>
        <w:rPr>
          <w:b/>
        </w:rPr>
        <w:t>Method 1</w:t>
      </w:r>
      <w:r>
        <w:t>: MiniBatch K-Means (</w:t>
      </w:r>
      <w:r>
        <w:rPr>
          <w:rFonts w:ascii="Consolas" w:hAnsi="Consolas"/>
          <w:sz w:val="18"/>
        </w:rPr>
        <w:t>n_init=10</w:t>
      </w:r>
      <w:r>
        <w:t xml:space="preserve">, </w:t>
      </w:r>
      <w:r>
        <w:rPr>
          <w:rFonts w:ascii="Consolas" w:hAnsi="Consolas"/>
          <w:sz w:val="18"/>
        </w:rPr>
        <w:t>batch_size=1024</w:t>
      </w:r>
      <w:r>
        <w:t xml:space="preserve">, </w:t>
      </w:r>
      <w:r>
        <w:rPr>
          <w:rFonts w:ascii="Consolas" w:hAnsi="Consolas"/>
          <w:sz w:val="18"/>
        </w:rPr>
        <w:t>max_iter=300</w:t>
      </w:r>
      <w:r>
        <w:t xml:space="preserve">). The centroid update rule and Euclidean objective are identical to full-batch K-Means; only the per-step subsampling differs. Mini-batch is needed at </w:t>
      </w:r>
      <w:r>
        <w:rPr>
          <w:i/>
        </w:rPr>
        <w:t>n</w:t>
      </w:r>
      <w:r>
        <w:t xml:space="preserve"> = 119k for a tractable seed sweep.</w:t>
      </w:r>
    </w:p>
    <w:p>
      <w:pPr>
        <w:pStyle w:val="ListBullet"/>
      </w:pPr>
      <w:r>
        <w:rPr>
          <w:b/>
        </w:rPr>
        <w:t>Method 2</w:t>
      </w:r>
      <w:r>
        <w:t>: iK-means (Mirkin, 2005); auto-determines K via anomalous-pattern peeling on a PCA-projected discovery space, then refits in the full 53-dim space.</w:t>
      </w:r>
    </w:p>
    <w:p>
      <w:pPr>
        <w:pStyle w:val="ListBullet"/>
      </w:pPr>
      <w:r>
        <w:rPr>
          <w:b/>
        </w:rPr>
        <w:t>Predefined K range</w:t>
      </w:r>
      <w:r>
        <w:t>: {2, 3, 4, 5, 6, 7, 8}; bounded a-priori (below 2 trivial, above 8 not interpretable as an RQ1-actionable segmentation for operational and marketing decisions at booking time).</w:t>
      </w:r>
    </w:p>
    <w:p>
      <w:pPr>
        <w:pStyle w:val="ListBullet"/>
      </w:pPr>
      <w:r>
        <w:rPr>
          <w:b/>
        </w:rPr>
        <w:t>Seeds</w:t>
      </w:r>
      <w:r>
        <w:t>: ten lock-stepped seeds {0..9}, giving 45 ARI pairs per (method, scaler, K) cell.</w:t>
      </w:r>
    </w:p>
    <w:p>
      <w:pPr>
        <w:pStyle w:val="ListBullet"/>
      </w:pPr>
      <w:r>
        <w:rPr>
          <w:b/>
        </w:rPr>
        <w:t>Distance</w:t>
      </w:r>
      <w:r>
        <w:t xml:space="preserve">: Euclidean. </w:t>
      </w:r>
      <w:r>
        <w:rPr>
          <w:b/>
        </w:rPr>
        <w:t>Silhouette</w:t>
      </w:r>
      <w:r>
        <w:t xml:space="preserve"> is sub-sampled (2,000 / 5,000 points per seed) to keep its O(</w:t>
      </w:r>
      <w:r>
        <w:rPr>
          <w:i/>
        </w:rPr>
        <w:t>n</w:t>
      </w:r>
      <w:r>
        <w:t>²) cost tractable.</w:t>
      </w:r>
    </w:p>
    <w:p>
      <w:pPr>
        <w:pStyle w:val="Heading2"/>
      </w:pPr>
      <w:r>
        <w:t>Internal indices (5,000-row fast-check, *p* = 53, mean ± std over 10 seeds)</w:t>
      </w:r>
    </w:p>
    <w:tbl>
      <w:tblPr>
        <w:tblStyle w:val="TableGrid"/>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CE6F1"/>
          </w:tcPr>
          <w:p>
            <w:r>
              <w:rPr>
                <w:b/>
                <w:color w:val="365F91"/>
                <w:sz w:val="18"/>
              </w:rPr>
            </w:r>
            <w:r>
              <w:rPr>
                <w:b/>
                <w:color w:val="365F91"/>
                <w:sz w:val="18"/>
              </w:rPr>
              <w:t>K</w:t>
            </w:r>
          </w:p>
        </w:tc>
        <w:tc>
          <w:tcPr>
            <w:tcW w:type="dxa" w:w="1344"/>
            <w:shd w:val="clear" w:color="auto" w:fill="DCE6F1"/>
          </w:tcPr>
          <w:p>
            <w:r>
              <w:rPr>
                <w:b/>
                <w:color w:val="365F91"/>
                <w:sz w:val="18"/>
              </w:rPr>
            </w:r>
            <w:r>
              <w:rPr>
                <w:b/>
                <w:color w:val="365F91"/>
                <w:sz w:val="18"/>
              </w:rPr>
              <w:t>Sil. (Std)</w:t>
            </w:r>
          </w:p>
        </w:tc>
        <w:tc>
          <w:tcPr>
            <w:tcW w:type="dxa" w:w="1344"/>
            <w:shd w:val="clear" w:color="auto" w:fill="DCE6F1"/>
          </w:tcPr>
          <w:p>
            <w:r>
              <w:rPr>
                <w:b/>
                <w:color w:val="365F91"/>
                <w:sz w:val="18"/>
              </w:rPr>
            </w:r>
            <w:r>
              <w:rPr>
                <w:b/>
                <w:color w:val="365F91"/>
                <w:sz w:val="18"/>
              </w:rPr>
              <w:t>Sil. (Rob)</w:t>
            </w:r>
          </w:p>
        </w:tc>
        <w:tc>
          <w:tcPr>
            <w:tcW w:type="dxa" w:w="1344"/>
            <w:shd w:val="clear" w:color="auto" w:fill="DCE6F1"/>
          </w:tcPr>
          <w:p>
            <w:r>
              <w:rPr>
                <w:b/>
                <w:color w:val="365F91"/>
                <w:sz w:val="18"/>
              </w:rPr>
            </w:r>
            <w:r>
              <w:rPr>
                <w:b/>
                <w:color w:val="365F91"/>
                <w:sz w:val="18"/>
              </w:rPr>
              <w:t>DB (Std)</w:t>
            </w:r>
          </w:p>
        </w:tc>
        <w:tc>
          <w:tcPr>
            <w:tcW w:type="dxa" w:w="1344"/>
            <w:shd w:val="clear" w:color="auto" w:fill="DCE6F1"/>
          </w:tcPr>
          <w:p>
            <w:r>
              <w:rPr>
                <w:b/>
                <w:color w:val="365F91"/>
                <w:sz w:val="18"/>
              </w:rPr>
            </w:r>
            <w:r>
              <w:rPr>
                <w:b/>
                <w:color w:val="365F91"/>
                <w:sz w:val="18"/>
              </w:rPr>
              <w:t>DB (Rob)</w:t>
            </w:r>
          </w:p>
        </w:tc>
        <w:tc>
          <w:tcPr>
            <w:tcW w:type="dxa" w:w="1344"/>
            <w:shd w:val="clear" w:color="auto" w:fill="DCE6F1"/>
          </w:tcPr>
          <w:p>
            <w:r>
              <w:rPr>
                <w:b/>
                <w:color w:val="365F91"/>
                <w:sz w:val="18"/>
              </w:rPr>
            </w:r>
            <w:r>
              <w:rPr>
                <w:b/>
                <w:color w:val="365F91"/>
                <w:sz w:val="18"/>
              </w:rPr>
              <w:t>CH (Std)</w:t>
            </w:r>
          </w:p>
        </w:tc>
        <w:tc>
          <w:tcPr>
            <w:tcW w:type="dxa" w:w="1344"/>
            <w:shd w:val="clear" w:color="auto" w:fill="DCE6F1"/>
          </w:tcPr>
          <w:p>
            <w:r>
              <w:rPr>
                <w:b/>
                <w:color w:val="365F91"/>
                <w:sz w:val="18"/>
              </w:rPr>
            </w:r>
            <w:r>
              <w:rPr>
                <w:b/>
                <w:color w:val="365F91"/>
                <w:sz w:val="18"/>
              </w:rPr>
              <w:t>CH (Rob)</w:t>
            </w:r>
          </w:p>
        </w:tc>
      </w:tr>
      <w:tr>
        <w:tc>
          <w:tcPr>
            <w:tcW w:type="dxa" w:w="1344"/>
          </w:tcPr>
          <w:p>
            <w:r>
              <w:rPr>
                <w:sz w:val="18"/>
              </w:rPr>
            </w:r>
            <w:r>
              <w:rPr>
                <w:b/>
                <w:sz w:val="18"/>
              </w:rPr>
              <w:t>2</w:t>
            </w:r>
          </w:p>
        </w:tc>
        <w:tc>
          <w:tcPr>
            <w:tcW w:type="dxa" w:w="1344"/>
          </w:tcPr>
          <w:p>
            <w:r>
              <w:rPr>
                <w:sz w:val="18"/>
              </w:rPr>
            </w:r>
            <w:r>
              <w:rPr>
                <w:b/>
                <w:sz w:val="18"/>
              </w:rPr>
              <w:t>0.1332 ± 0.0041</w:t>
            </w:r>
          </w:p>
        </w:tc>
        <w:tc>
          <w:tcPr>
            <w:tcW w:type="dxa" w:w="1344"/>
          </w:tcPr>
          <w:p>
            <w:r>
              <w:rPr>
                <w:sz w:val="18"/>
              </w:rPr>
            </w:r>
            <w:r>
              <w:rPr>
                <w:sz w:val="18"/>
              </w:rPr>
              <w:t>0.0974 ± 0.0214</w:t>
            </w:r>
          </w:p>
        </w:tc>
        <w:tc>
          <w:tcPr>
            <w:tcW w:type="dxa" w:w="1344"/>
          </w:tcPr>
          <w:p>
            <w:r>
              <w:rPr>
                <w:sz w:val="18"/>
              </w:rPr>
            </w:r>
            <w:r>
              <w:rPr>
                <w:sz w:val="18"/>
              </w:rPr>
              <w:t>2.59</w:t>
            </w:r>
          </w:p>
        </w:tc>
        <w:tc>
          <w:tcPr>
            <w:tcW w:type="dxa" w:w="1344"/>
          </w:tcPr>
          <w:p>
            <w:r>
              <w:rPr>
                <w:sz w:val="18"/>
              </w:rPr>
            </w:r>
            <w:r>
              <w:rPr>
                <w:sz w:val="18"/>
              </w:rPr>
              <w:t>3.08</w:t>
            </w:r>
          </w:p>
        </w:tc>
        <w:tc>
          <w:tcPr>
            <w:tcW w:type="dxa" w:w="1344"/>
          </w:tcPr>
          <w:p>
            <w:r>
              <w:rPr>
                <w:sz w:val="18"/>
              </w:rPr>
            </w:r>
            <w:r>
              <w:rPr>
                <w:sz w:val="18"/>
              </w:rPr>
              <w:t>581</w:t>
            </w:r>
          </w:p>
        </w:tc>
        <w:tc>
          <w:tcPr>
            <w:tcW w:type="dxa" w:w="1344"/>
          </w:tcPr>
          <w:p>
            <w:r>
              <w:rPr>
                <w:sz w:val="18"/>
              </w:rPr>
            </w:r>
            <w:r>
              <w:rPr>
                <w:sz w:val="18"/>
              </w:rPr>
              <w:t>347</w:t>
            </w:r>
          </w:p>
        </w:tc>
      </w:tr>
      <w:tr>
        <w:tc>
          <w:tcPr>
            <w:tcW w:type="dxa" w:w="1344"/>
          </w:tcPr>
          <w:p>
            <w:r>
              <w:rPr>
                <w:sz w:val="18"/>
              </w:rPr>
            </w:r>
            <w:r>
              <w:rPr>
                <w:sz w:val="18"/>
              </w:rPr>
              <w:t>3</w:t>
            </w:r>
          </w:p>
        </w:tc>
        <w:tc>
          <w:tcPr>
            <w:tcW w:type="dxa" w:w="1344"/>
          </w:tcPr>
          <w:p>
            <w:r>
              <w:rPr>
                <w:sz w:val="18"/>
              </w:rPr>
            </w:r>
            <w:r>
              <w:rPr>
                <w:sz w:val="18"/>
              </w:rPr>
              <w:t>0.1229 ± 0.0059</w:t>
            </w:r>
          </w:p>
        </w:tc>
        <w:tc>
          <w:tcPr>
            <w:tcW w:type="dxa" w:w="1344"/>
          </w:tcPr>
          <w:p>
            <w:r>
              <w:rPr>
                <w:sz w:val="18"/>
              </w:rPr>
            </w:r>
            <w:r>
              <w:rPr>
                <w:sz w:val="18"/>
              </w:rPr>
              <w:t>0.0878 ± 0.0299</w:t>
            </w:r>
          </w:p>
        </w:tc>
        <w:tc>
          <w:tcPr>
            <w:tcW w:type="dxa" w:w="1344"/>
          </w:tcPr>
          <w:p>
            <w:r>
              <w:rPr>
                <w:sz w:val="18"/>
              </w:rPr>
            </w:r>
            <w:r>
              <w:rPr>
                <w:sz w:val="18"/>
              </w:rPr>
              <w:t>2.24</w:t>
            </w:r>
          </w:p>
        </w:tc>
        <w:tc>
          <w:tcPr>
            <w:tcW w:type="dxa" w:w="1344"/>
          </w:tcPr>
          <w:p>
            <w:r>
              <w:rPr>
                <w:sz w:val="18"/>
              </w:rPr>
            </w:r>
            <w:r>
              <w:rPr>
                <w:sz w:val="18"/>
              </w:rPr>
              <w:t>2.63</w:t>
            </w:r>
          </w:p>
        </w:tc>
        <w:tc>
          <w:tcPr>
            <w:tcW w:type="dxa" w:w="1344"/>
          </w:tcPr>
          <w:p>
            <w:r>
              <w:rPr>
                <w:sz w:val="18"/>
              </w:rPr>
            </w:r>
            <w:r>
              <w:rPr>
                <w:sz w:val="18"/>
              </w:rPr>
              <w:t>519</w:t>
            </w:r>
          </w:p>
        </w:tc>
        <w:tc>
          <w:tcPr>
            <w:tcW w:type="dxa" w:w="1344"/>
          </w:tcPr>
          <w:p>
            <w:r>
              <w:rPr>
                <w:sz w:val="18"/>
              </w:rPr>
            </w:r>
            <w:r>
              <w:rPr>
                <w:sz w:val="18"/>
              </w:rPr>
              <w:t>367</w:t>
            </w:r>
          </w:p>
        </w:tc>
      </w:tr>
      <w:tr>
        <w:tc>
          <w:tcPr>
            <w:tcW w:type="dxa" w:w="1344"/>
          </w:tcPr>
          <w:p>
            <w:r>
              <w:rPr>
                <w:sz w:val="18"/>
              </w:rPr>
            </w:r>
            <w:r>
              <w:rPr>
                <w:sz w:val="18"/>
              </w:rPr>
              <w:t>4</w:t>
            </w:r>
          </w:p>
        </w:tc>
        <w:tc>
          <w:tcPr>
            <w:tcW w:type="dxa" w:w="1344"/>
          </w:tcPr>
          <w:p>
            <w:r>
              <w:rPr>
                <w:sz w:val="18"/>
              </w:rPr>
            </w:r>
            <w:r>
              <w:rPr>
                <w:sz w:val="18"/>
              </w:rPr>
              <w:t>0.1210 ± 0.0082</w:t>
            </w:r>
          </w:p>
        </w:tc>
        <w:tc>
          <w:tcPr>
            <w:tcW w:type="dxa" w:w="1344"/>
          </w:tcPr>
          <w:p>
            <w:r>
              <w:rPr>
                <w:sz w:val="18"/>
              </w:rPr>
            </w:r>
            <w:r>
              <w:rPr>
                <w:sz w:val="18"/>
              </w:rPr>
              <w:t>0.0884 ± 0.0167</w:t>
            </w:r>
          </w:p>
        </w:tc>
        <w:tc>
          <w:tcPr>
            <w:tcW w:type="dxa" w:w="1344"/>
          </w:tcPr>
          <w:p>
            <w:r>
              <w:rPr>
                <w:sz w:val="18"/>
              </w:rPr>
            </w:r>
            <w:r>
              <w:rPr>
                <w:sz w:val="18"/>
              </w:rPr>
              <w:t>2.12</w:t>
            </w:r>
          </w:p>
        </w:tc>
        <w:tc>
          <w:tcPr>
            <w:tcW w:type="dxa" w:w="1344"/>
          </w:tcPr>
          <w:p>
            <w:r>
              <w:rPr>
                <w:sz w:val="18"/>
              </w:rPr>
            </w:r>
            <w:r>
              <w:rPr>
                <w:sz w:val="18"/>
              </w:rPr>
              <w:t>2.46</w:t>
            </w:r>
          </w:p>
        </w:tc>
        <w:tc>
          <w:tcPr>
            <w:tcW w:type="dxa" w:w="1344"/>
          </w:tcPr>
          <w:p>
            <w:r>
              <w:rPr>
                <w:sz w:val="18"/>
              </w:rPr>
            </w:r>
            <w:r>
              <w:rPr>
                <w:sz w:val="18"/>
              </w:rPr>
              <w:t>475</w:t>
            </w:r>
          </w:p>
        </w:tc>
        <w:tc>
          <w:tcPr>
            <w:tcW w:type="dxa" w:w="1344"/>
          </w:tcPr>
          <w:p>
            <w:r>
              <w:rPr>
                <w:sz w:val="18"/>
              </w:rPr>
            </w:r>
            <w:r>
              <w:rPr>
                <w:sz w:val="18"/>
              </w:rPr>
              <w:t>397</w:t>
            </w:r>
          </w:p>
        </w:tc>
      </w:tr>
      <w:tr>
        <w:tc>
          <w:tcPr>
            <w:tcW w:type="dxa" w:w="1344"/>
          </w:tcPr>
          <w:p>
            <w:r>
              <w:rPr>
                <w:sz w:val="18"/>
              </w:rPr>
            </w:r>
            <w:r>
              <w:rPr>
                <w:sz w:val="18"/>
              </w:rPr>
              <w:t>5</w:t>
            </w:r>
          </w:p>
        </w:tc>
        <w:tc>
          <w:tcPr>
            <w:tcW w:type="dxa" w:w="1344"/>
          </w:tcPr>
          <w:p>
            <w:r>
              <w:rPr>
                <w:sz w:val="18"/>
              </w:rPr>
            </w:r>
            <w:r>
              <w:rPr>
                <w:sz w:val="18"/>
              </w:rPr>
              <w:t>0.1200 ± 0.0142</w:t>
            </w:r>
          </w:p>
        </w:tc>
        <w:tc>
          <w:tcPr>
            <w:tcW w:type="dxa" w:w="1344"/>
          </w:tcPr>
          <w:p>
            <w:r>
              <w:rPr>
                <w:sz w:val="18"/>
              </w:rPr>
            </w:r>
            <w:r>
              <w:rPr>
                <w:sz w:val="18"/>
              </w:rPr>
              <w:t>0.0864 ± 0.0177</w:t>
            </w:r>
          </w:p>
        </w:tc>
        <w:tc>
          <w:tcPr>
            <w:tcW w:type="dxa" w:w="1344"/>
          </w:tcPr>
          <w:p>
            <w:r>
              <w:rPr>
                <w:sz w:val="18"/>
              </w:rPr>
            </w:r>
            <w:r>
              <w:rPr>
                <w:sz w:val="18"/>
              </w:rPr>
              <w:t>2.00</w:t>
            </w:r>
          </w:p>
        </w:tc>
        <w:tc>
          <w:tcPr>
            <w:tcW w:type="dxa" w:w="1344"/>
          </w:tcPr>
          <w:p>
            <w:r>
              <w:rPr>
                <w:sz w:val="18"/>
              </w:rPr>
            </w:r>
            <w:r>
              <w:rPr>
                <w:sz w:val="18"/>
              </w:rPr>
              <w:t>2.32</w:t>
            </w:r>
          </w:p>
        </w:tc>
        <w:tc>
          <w:tcPr>
            <w:tcW w:type="dxa" w:w="1344"/>
          </w:tcPr>
          <w:p>
            <w:r>
              <w:rPr>
                <w:sz w:val="18"/>
              </w:rPr>
            </w:r>
            <w:r>
              <w:rPr>
                <w:sz w:val="18"/>
              </w:rPr>
              <w:t>459</w:t>
            </w:r>
          </w:p>
        </w:tc>
        <w:tc>
          <w:tcPr>
            <w:tcW w:type="dxa" w:w="1344"/>
          </w:tcPr>
          <w:p>
            <w:r>
              <w:rPr>
                <w:sz w:val="18"/>
              </w:rPr>
            </w:r>
            <w:r>
              <w:rPr>
                <w:sz w:val="18"/>
              </w:rPr>
              <w:t>421</w:t>
            </w:r>
          </w:p>
        </w:tc>
      </w:tr>
      <w:tr>
        <w:tc>
          <w:tcPr>
            <w:tcW w:type="dxa" w:w="1344"/>
          </w:tcPr>
          <w:p>
            <w:r>
              <w:rPr>
                <w:sz w:val="18"/>
              </w:rPr>
            </w:r>
            <w:r>
              <w:rPr>
                <w:sz w:val="18"/>
              </w:rPr>
              <w:t>6</w:t>
            </w:r>
          </w:p>
        </w:tc>
        <w:tc>
          <w:tcPr>
            <w:tcW w:type="dxa" w:w="1344"/>
          </w:tcPr>
          <w:p>
            <w:r>
              <w:rPr>
                <w:sz w:val="18"/>
              </w:rPr>
            </w:r>
            <w:r>
              <w:rPr>
                <w:sz w:val="18"/>
              </w:rPr>
              <w:t>0.1130 ± 0.0199</w:t>
            </w:r>
          </w:p>
        </w:tc>
        <w:tc>
          <w:tcPr>
            <w:tcW w:type="dxa" w:w="1344"/>
          </w:tcPr>
          <w:p>
            <w:r>
              <w:rPr>
                <w:sz w:val="18"/>
              </w:rPr>
            </w:r>
            <w:r>
              <w:rPr>
                <w:sz w:val="18"/>
              </w:rPr>
              <w:t>0.0775 ± 0.0192</w:t>
            </w:r>
          </w:p>
        </w:tc>
        <w:tc>
          <w:tcPr>
            <w:tcW w:type="dxa" w:w="1344"/>
          </w:tcPr>
          <w:p>
            <w:r>
              <w:rPr>
                <w:sz w:val="18"/>
              </w:rPr>
            </w:r>
            <w:r>
              <w:rPr>
                <w:sz w:val="18"/>
              </w:rPr>
              <w:t>2.00</w:t>
            </w:r>
          </w:p>
        </w:tc>
        <w:tc>
          <w:tcPr>
            <w:tcW w:type="dxa" w:w="1344"/>
          </w:tcPr>
          <w:p>
            <w:r>
              <w:rPr>
                <w:sz w:val="18"/>
              </w:rPr>
            </w:r>
            <w:r>
              <w:rPr>
                <w:sz w:val="18"/>
              </w:rPr>
              <w:t>2.31</w:t>
            </w:r>
          </w:p>
        </w:tc>
        <w:tc>
          <w:tcPr>
            <w:tcW w:type="dxa" w:w="1344"/>
          </w:tcPr>
          <w:p>
            <w:r>
              <w:rPr>
                <w:sz w:val="18"/>
              </w:rPr>
            </w:r>
            <w:r>
              <w:rPr>
                <w:sz w:val="18"/>
              </w:rPr>
              <w:t>446</w:t>
            </w:r>
          </w:p>
        </w:tc>
        <w:tc>
          <w:tcPr>
            <w:tcW w:type="dxa" w:w="1344"/>
          </w:tcPr>
          <w:p>
            <w:r>
              <w:rPr>
                <w:sz w:val="18"/>
              </w:rPr>
            </w:r>
            <w:r>
              <w:rPr>
                <w:sz w:val="18"/>
              </w:rPr>
              <w:t>388</w:t>
            </w:r>
          </w:p>
        </w:tc>
      </w:tr>
      <w:tr>
        <w:tc>
          <w:tcPr>
            <w:tcW w:type="dxa" w:w="1344"/>
          </w:tcPr>
          <w:p>
            <w:r>
              <w:rPr>
                <w:sz w:val="18"/>
              </w:rPr>
            </w:r>
            <w:r>
              <w:rPr>
                <w:sz w:val="18"/>
              </w:rPr>
              <w:t>7</w:t>
            </w:r>
          </w:p>
        </w:tc>
        <w:tc>
          <w:tcPr>
            <w:tcW w:type="dxa" w:w="1344"/>
          </w:tcPr>
          <w:p>
            <w:r>
              <w:rPr>
                <w:sz w:val="18"/>
              </w:rPr>
            </w:r>
            <w:r>
              <w:rPr>
                <w:sz w:val="18"/>
              </w:rPr>
              <w:t>0.1140 ± 0.0160</w:t>
            </w:r>
          </w:p>
        </w:tc>
        <w:tc>
          <w:tcPr>
            <w:tcW w:type="dxa" w:w="1344"/>
          </w:tcPr>
          <w:p>
            <w:r>
              <w:rPr>
                <w:sz w:val="18"/>
              </w:rPr>
            </w:r>
            <w:r>
              <w:rPr>
                <w:sz w:val="18"/>
              </w:rPr>
              <w:t>0.0798 ± 0.0134</w:t>
            </w:r>
          </w:p>
        </w:tc>
        <w:tc>
          <w:tcPr>
            <w:tcW w:type="dxa" w:w="1344"/>
          </w:tcPr>
          <w:p>
            <w:r>
              <w:rPr>
                <w:sz w:val="18"/>
              </w:rPr>
            </w:r>
            <w:r>
              <w:rPr>
                <w:sz w:val="18"/>
              </w:rPr>
              <w:t>1.85</w:t>
            </w:r>
          </w:p>
        </w:tc>
        <w:tc>
          <w:tcPr>
            <w:tcW w:type="dxa" w:w="1344"/>
          </w:tcPr>
          <w:p>
            <w:r>
              <w:rPr>
                <w:sz w:val="18"/>
              </w:rPr>
            </w:r>
            <w:r>
              <w:rPr>
                <w:sz w:val="18"/>
              </w:rPr>
              <w:t>2.21</w:t>
            </w:r>
          </w:p>
        </w:tc>
        <w:tc>
          <w:tcPr>
            <w:tcW w:type="dxa" w:w="1344"/>
          </w:tcPr>
          <w:p>
            <w:r>
              <w:rPr>
                <w:sz w:val="18"/>
              </w:rPr>
            </w:r>
            <w:r>
              <w:rPr>
                <w:sz w:val="18"/>
              </w:rPr>
              <w:t>450</w:t>
            </w:r>
          </w:p>
        </w:tc>
        <w:tc>
          <w:tcPr>
            <w:tcW w:type="dxa" w:w="1344"/>
          </w:tcPr>
          <w:p>
            <w:r>
              <w:rPr>
                <w:sz w:val="18"/>
              </w:rPr>
            </w:r>
            <w:r>
              <w:rPr>
                <w:sz w:val="18"/>
              </w:rPr>
              <w:t>373</w:t>
            </w:r>
          </w:p>
        </w:tc>
      </w:tr>
      <w:tr>
        <w:tc>
          <w:tcPr>
            <w:tcW w:type="dxa" w:w="1344"/>
          </w:tcPr>
          <w:p>
            <w:r>
              <w:rPr>
                <w:sz w:val="18"/>
              </w:rPr>
            </w:r>
            <w:r>
              <w:rPr>
                <w:sz w:val="18"/>
              </w:rPr>
              <w:t>8</w:t>
            </w:r>
          </w:p>
        </w:tc>
        <w:tc>
          <w:tcPr>
            <w:tcW w:type="dxa" w:w="1344"/>
          </w:tcPr>
          <w:p>
            <w:r>
              <w:rPr>
                <w:sz w:val="18"/>
              </w:rPr>
            </w:r>
            <w:r>
              <w:rPr>
                <w:sz w:val="18"/>
              </w:rPr>
              <w:t>0.1101 ± 0.0185</w:t>
            </w:r>
          </w:p>
        </w:tc>
        <w:tc>
          <w:tcPr>
            <w:tcW w:type="dxa" w:w="1344"/>
          </w:tcPr>
          <w:p>
            <w:r>
              <w:rPr>
                <w:sz w:val="18"/>
              </w:rPr>
            </w:r>
            <w:r>
              <w:rPr>
                <w:sz w:val="18"/>
              </w:rPr>
              <w:t>0.0761 ± 0.0122</w:t>
            </w:r>
          </w:p>
        </w:tc>
        <w:tc>
          <w:tcPr>
            <w:tcW w:type="dxa" w:w="1344"/>
          </w:tcPr>
          <w:p>
            <w:r>
              <w:rPr>
                <w:sz w:val="18"/>
              </w:rPr>
            </w:r>
            <w:r>
              <w:rPr>
                <w:sz w:val="18"/>
              </w:rPr>
              <w:t>1.85</w:t>
            </w:r>
          </w:p>
        </w:tc>
        <w:tc>
          <w:tcPr>
            <w:tcW w:type="dxa" w:w="1344"/>
          </w:tcPr>
          <w:p>
            <w:r>
              <w:rPr>
                <w:sz w:val="18"/>
              </w:rPr>
            </w:r>
            <w:r>
              <w:rPr>
                <w:sz w:val="18"/>
              </w:rPr>
              <w:t>2.20</w:t>
            </w:r>
          </w:p>
        </w:tc>
        <w:tc>
          <w:tcPr>
            <w:tcW w:type="dxa" w:w="1344"/>
          </w:tcPr>
          <w:p>
            <w:r>
              <w:rPr>
                <w:sz w:val="18"/>
              </w:rPr>
            </w:r>
            <w:r>
              <w:rPr>
                <w:sz w:val="18"/>
              </w:rPr>
              <w:t>442</w:t>
            </w:r>
          </w:p>
        </w:tc>
        <w:tc>
          <w:tcPr>
            <w:tcW w:type="dxa" w:w="1344"/>
          </w:tcPr>
          <w:p>
            <w:r>
              <w:rPr>
                <w:sz w:val="18"/>
              </w:rPr>
            </w:r>
            <w:r>
              <w:rPr>
                <w:sz w:val="18"/>
              </w:rPr>
              <w:t>375</w:t>
            </w:r>
          </w:p>
        </w:tc>
      </w:tr>
    </w:tbl>
    <w:p/>
    <w:p>
      <w:r>
        <w:t xml:space="preserve">DB and CH cells show the seed-mean only; per-seed std is logged in </w:t>
      </w:r>
      <w:r>
        <w:rPr>
          <w:rFonts w:ascii="Consolas" w:hAnsi="Consolas"/>
          <w:sz w:val="18"/>
        </w:rPr>
        <w:t>experiments.csv</w:t>
      </w:r>
      <w:r>
        <w:t xml:space="preserve"> and is omitted here for table compactness.</w:t>
      </w:r>
    </w:p>
    <w:p>
      <w:r>
        <w:rPr>
          <w:b/>
        </w:rPr>
        <w:t>K = 2 maximises silhouette under both scalers.</w:t>
      </w:r>
      <w:r>
        <w:t xml:space="preserve"> CH and DB favour higher K (as expected; they reward smaller, denser clusters), but their gain plateaus from K = 5. The cyclic-week feature added at this checkpoint tightened the silhouette spread substantially: standard-scaler std at K = 2 dropped from 0.033 (5 seeds, no week cyclic) to 0.004 (10 seeds, with week cyclic) — about 8x less seed-to-seed noise on the headline metric.</w:t>
      </w:r>
    </w:p>
    <w:p>
      <w:pPr>
        <w:pStyle w:val="Heading2"/>
      </w:pPr>
      <w:r>
        <w:t>iK-means (auto-K) and runtime</w:t>
      </w:r>
    </w:p>
    <w:p>
      <w:r>
        <w:t>iK-means picked K = 4 under StandardScaler (silhouette 0.144) and K = 3 under RobustScaler (silhouette 0.847). The very high robust-scaler silhouette is plausibly an artefact of anomalous-pattern peeling on long-tailed inputs (heavy outliers form tight far-away mini-clusters) and is flagged for follow-up under the full pass.</w:t>
      </w:r>
    </w:p>
    <w:p>
      <w:r>
        <w:t>The fast-check pipeline (</w:t>
      </w:r>
      <w:r>
        <w:rPr>
          <w:rFonts w:ascii="Consolas" w:hAnsi="Consolas"/>
          <w:sz w:val="18"/>
        </w:rPr>
        <w:t>bash run_all --fast</w:t>
      </w:r>
      <w:r>
        <w:t>, Windows 11, Python 3.13) runs k-means and iK-means end-to-end in about 2 minutes (140 k-means fits in ~90 s, 20 iK-means fits in ~15 s). The full 119,390-row pass is part of the 13-May Core-Protocol-Freeze.</w:t>
      </w:r>
    </w:p>
    <w:p>
      <w:pPr>
        <w:pStyle w:val="Heading2"/>
      </w:pPr>
      <w:r>
        <w:t>First cluster-interpretation note (StandardScaler, K = 2)</w:t>
      </w:r>
    </w:p>
    <w:p>
      <w:r>
        <w:t>The two clusters split along stay-length, seasonality and deposit:</w:t>
      </w:r>
    </w:p>
    <w:p>
      <w:pPr>
        <w:pStyle w:val="ListBullet"/>
      </w:pPr>
      <w:r>
        <w:rPr>
          <w:b/>
        </w:rPr>
        <w:t>Cluster 0 — short-stay, online-distributed, low-commitment</w:t>
      </w:r>
      <w:r>
        <w:t>: lead-time about 70 days median, total nights about 2.9, online-TA share 59 %, no-deposit share 93 %, non-refundable 7 %.</w:t>
      </w:r>
    </w:p>
    <w:p>
      <w:pPr>
        <w:pStyle w:val="ListBullet"/>
      </w:pPr>
      <w:r>
        <w:rPr>
          <w:b/>
        </w:rPr>
        <w:t>Cluster 1 — long-stay, offline / groups, higher non-refundable</w:t>
      </w:r>
      <w:r>
        <w:t>: lead-time about 130 days median, total nights about 7.7, online-TA share 28 %, no-deposit share 78 %, non-refundable 21 %.</w:t>
      </w:r>
    </w:p>
    <w:p>
      <w:r>
        <w:t xml:space="preserve">Both clusters have non-trivial sizes, and </w:t>
      </w:r>
      <w:r>
        <w:rPr>
          <w:rFonts w:ascii="Consolas" w:hAnsi="Consolas"/>
          <w:sz w:val="18"/>
        </w:rPr>
        <w:t>is_canceled</w:t>
      </w:r>
      <w:r>
        <w:t xml:space="preserve"> (held out from clustering) varies materially across them in the post-hoc profiling layer. That is a first sign the partition is picking up real behavioural variance and not just noise.</w:t>
      </w:r>
    </w:p>
    <w:p>
      <w:pPr>
        <w:pStyle w:val="Heading1"/>
      </w:pPr>
      <w:r>
        <w:t>6. Sensitivity / robustness plan</w:t>
      </w:r>
    </w:p>
    <w:p>
      <w:r>
        <w:rPr>
          <w:b/>
        </w:rPr>
        <w:t>Main representation:</w:t>
      </w:r>
      <w:r>
        <w:t xml:space="preserve"> </w:t>
      </w:r>
      <w:r>
        <w:rPr>
          <w:rFonts w:ascii="Consolas" w:hAnsi="Consolas"/>
          <w:sz w:val="18"/>
        </w:rPr>
        <w:t>repA</w:t>
      </w:r>
      <w:r>
        <w:t xml:space="preserve"> (defined in section 4). The variants below are perturbations of </w:t>
      </w:r>
      <w:r>
        <w:rPr>
          <w:rFonts w:ascii="Consolas" w:hAnsi="Consolas"/>
          <w:sz w:val="18"/>
        </w:rPr>
        <w:t>repA</w:t>
      </w:r>
      <w:r>
        <w:t>.</w:t>
      </w:r>
    </w:p>
    <w:p>
      <w:r>
        <w:rPr>
          <w:b/>
        </w:rPr>
        <w:t>Resampling rule:</w:t>
      </w:r>
      <w:r>
        <w:t xml:space="preserve"> 10 lock-stepped seeds </w:t>
      </w:r>
      <w:r>
        <w:rPr>
          <w:rFonts w:ascii="Consolas" w:hAnsi="Consolas"/>
          <w:sz w:val="18"/>
        </w:rPr>
        <w:t>{0..9}</w:t>
      </w:r>
      <w:r>
        <w:t xml:space="preserve"> per (method, scaler, K) cell, giving the 45 ARI pairs reported below. Same seed scheme as section 5.</w:t>
      </w:r>
    </w:p>
    <w:p>
      <w:pPr>
        <w:pStyle w:val="Heading2"/>
      </w:pPr>
      <w:r>
        <w:t>Stability evidence so far</w:t>
      </w:r>
    </w:p>
    <w:p>
      <w:r>
        <w:t xml:space="preserve">Stability is measured as </w:t>
      </w:r>
      <w:r>
        <w:rPr>
          <w:b/>
        </w:rPr>
        <w:t>mean pairwise Adjusted Rand Index</w:t>
      </w:r>
      <w:r>
        <w:t xml:space="preserve"> over 45 seed pairs at fixed (method, scaler, K). Selection rule: ARI of at least 0.80 to accept a K as stable.</w:t>
      </w:r>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DCE6F1"/>
          </w:tcPr>
          <w:p>
            <w:r>
              <w:rPr>
                <w:b/>
                <w:color w:val="365F91"/>
                <w:sz w:val="18"/>
              </w:rPr>
            </w:r>
            <w:r>
              <w:rPr>
                <w:b/>
                <w:color w:val="365F91"/>
                <w:sz w:val="18"/>
              </w:rPr>
              <w:t>K</w:t>
            </w:r>
          </w:p>
        </w:tc>
        <w:tc>
          <w:tcPr>
            <w:tcW w:type="dxa" w:w="3135"/>
            <w:shd w:val="clear" w:color="auto" w:fill="DCE6F1"/>
          </w:tcPr>
          <w:p>
            <w:r>
              <w:rPr>
                <w:b/>
                <w:color w:val="365F91"/>
                <w:sz w:val="18"/>
              </w:rPr>
            </w:r>
            <w:r>
              <w:rPr>
                <w:b/>
                <w:color w:val="365F91"/>
                <w:sz w:val="18"/>
              </w:rPr>
              <w:t>ARI (StandardScaler)</w:t>
            </w:r>
          </w:p>
        </w:tc>
        <w:tc>
          <w:tcPr>
            <w:tcW w:type="dxa" w:w="3135"/>
            <w:shd w:val="clear" w:color="auto" w:fill="DCE6F1"/>
          </w:tcPr>
          <w:p>
            <w:r>
              <w:rPr>
                <w:b/>
                <w:color w:val="365F91"/>
                <w:sz w:val="18"/>
              </w:rPr>
            </w:r>
            <w:r>
              <w:rPr>
                <w:b/>
                <w:color w:val="365F91"/>
                <w:sz w:val="18"/>
              </w:rPr>
              <w:t>ARI (RobustScaler)</w:t>
            </w:r>
          </w:p>
        </w:tc>
      </w:tr>
      <w:tr>
        <w:tc>
          <w:tcPr>
            <w:tcW w:type="dxa" w:w="3135"/>
          </w:tcPr>
          <w:p>
            <w:r>
              <w:rPr>
                <w:sz w:val="18"/>
              </w:rPr>
            </w:r>
            <w:r>
              <w:rPr>
                <w:sz w:val="18"/>
              </w:rPr>
              <w:t>2</w:t>
            </w:r>
          </w:p>
        </w:tc>
        <w:tc>
          <w:tcPr>
            <w:tcW w:type="dxa" w:w="3135"/>
          </w:tcPr>
          <w:p>
            <w:r>
              <w:rPr>
                <w:sz w:val="18"/>
              </w:rPr>
            </w:r>
            <w:r>
              <w:rPr>
                <w:sz w:val="18"/>
              </w:rPr>
              <w:t>0.334</w:t>
            </w:r>
          </w:p>
        </w:tc>
        <w:tc>
          <w:tcPr>
            <w:tcW w:type="dxa" w:w="3135"/>
          </w:tcPr>
          <w:p>
            <w:r>
              <w:rPr>
                <w:sz w:val="18"/>
              </w:rPr>
            </w:r>
            <w:r>
              <w:rPr>
                <w:sz w:val="18"/>
              </w:rPr>
              <w:t>0.171</w:t>
            </w:r>
          </w:p>
        </w:tc>
      </w:tr>
      <w:tr>
        <w:tc>
          <w:tcPr>
            <w:tcW w:type="dxa" w:w="3135"/>
          </w:tcPr>
          <w:p>
            <w:r>
              <w:rPr>
                <w:sz w:val="18"/>
              </w:rPr>
            </w:r>
            <w:r>
              <w:rPr>
                <w:sz w:val="18"/>
              </w:rPr>
              <w:t>5</w:t>
            </w:r>
          </w:p>
        </w:tc>
        <w:tc>
          <w:tcPr>
            <w:tcW w:type="dxa" w:w="3135"/>
          </w:tcPr>
          <w:p>
            <w:r>
              <w:rPr>
                <w:sz w:val="18"/>
              </w:rPr>
            </w:r>
            <w:r>
              <w:rPr>
                <w:b/>
                <w:sz w:val="18"/>
              </w:rPr>
              <w:t>0.468</w:t>
            </w:r>
          </w:p>
        </w:tc>
        <w:tc>
          <w:tcPr>
            <w:tcW w:type="dxa" w:w="3135"/>
          </w:tcPr>
          <w:p>
            <w:r>
              <w:rPr>
                <w:sz w:val="18"/>
              </w:rPr>
            </w:r>
            <w:r>
              <w:rPr>
                <w:sz w:val="18"/>
              </w:rPr>
              <w:t>0.401</w:t>
            </w:r>
          </w:p>
        </w:tc>
      </w:tr>
      <w:tr>
        <w:tc>
          <w:tcPr>
            <w:tcW w:type="dxa" w:w="3135"/>
          </w:tcPr>
          <w:p>
            <w:r>
              <w:rPr>
                <w:sz w:val="18"/>
              </w:rPr>
            </w:r>
            <w:r>
              <w:rPr>
                <w:sz w:val="18"/>
              </w:rPr>
              <w:t>7</w:t>
            </w:r>
          </w:p>
        </w:tc>
        <w:tc>
          <w:tcPr>
            <w:tcW w:type="dxa" w:w="3135"/>
          </w:tcPr>
          <w:p>
            <w:r>
              <w:rPr>
                <w:sz w:val="18"/>
              </w:rPr>
            </w:r>
            <w:r>
              <w:rPr>
                <w:sz w:val="18"/>
              </w:rPr>
              <w:t>0.422</w:t>
            </w:r>
          </w:p>
        </w:tc>
        <w:tc>
          <w:tcPr>
            <w:tcW w:type="dxa" w:w="3135"/>
          </w:tcPr>
          <w:p>
            <w:r>
              <w:rPr>
                <w:sz w:val="18"/>
              </w:rPr>
            </w:r>
            <w:r>
              <w:rPr>
                <w:b/>
                <w:sz w:val="18"/>
              </w:rPr>
              <w:t>0.436</w:t>
            </w:r>
          </w:p>
        </w:tc>
      </w:tr>
    </w:tbl>
    <w:p/>
    <w:p>
      <w:r>
        <w:t>No K reaches the 0.80 threshold yet — the partition is silhouette-informative but seed-fragile. This is the central robustness question that motivates the planned variants below.</w:t>
      </w:r>
    </w:p>
    <w:p>
      <w:pPr>
        <w:pStyle w:val="Heading2"/>
      </w:pPr>
      <w:r>
        <w:t>Controlled variants planned</w:t>
      </w:r>
    </w:p>
    <w:p>
      <w:r>
        <w:t xml:space="preserve">Three comparisons, anchored against </w:t>
      </w:r>
      <w:r>
        <w:rPr>
          <w:rFonts w:ascii="Consolas" w:hAnsi="Consolas"/>
          <w:sz w:val="18"/>
        </w:rPr>
        <w:t>repA</w:t>
      </w:r>
      <w:r>
        <w:t>-StandardScaler:</w:t>
      </w:r>
    </w:p>
    <w:p>
      <w:pPr>
        <w:pStyle w:val="ListNumber"/>
      </w:pPr>
      <w:r>
        <w:rPr>
          <w:rFonts w:ascii="Consolas" w:hAnsi="Consolas"/>
          <w:sz w:val="18"/>
        </w:rPr>
        <w:t>repA</w:t>
      </w:r>
      <w:r>
        <w:t xml:space="preserve">-standard vs </w:t>
      </w:r>
      <w:r>
        <w:rPr>
          <w:rFonts w:ascii="Consolas" w:hAnsi="Consolas"/>
          <w:sz w:val="18"/>
        </w:rPr>
        <w:t>repA</w:t>
      </w:r>
      <w:r>
        <w:t>-robust — already running in the same pipeline; the table above quantifies it. Does the silhouette-best K and its stability survive a scaler swap from Standard to Robust?</w:t>
      </w:r>
    </w:p>
    <w:p>
      <w:pPr>
        <w:pStyle w:val="ListNumber"/>
      </w:pPr>
      <w:r>
        <w:rPr>
          <w:rFonts w:ascii="Consolas" w:hAnsi="Consolas"/>
          <w:sz w:val="18"/>
        </w:rPr>
        <w:t>repA</w:t>
      </w:r>
      <w:r>
        <w:t xml:space="preserve"> vs an engineered representation </w:t>
      </w:r>
      <w:r>
        <w:rPr>
          <w:rFonts w:ascii="Consolas" w:hAnsi="Consolas"/>
          <w:sz w:val="18"/>
        </w:rPr>
        <w:t>repB</w:t>
      </w:r>
      <w:r>
        <w:t xml:space="preserve"> (in </w:t>
      </w:r>
      <w:r>
        <w:rPr>
          <w:rFonts w:ascii="Consolas" w:hAnsi="Consolas"/>
          <w:sz w:val="18"/>
        </w:rPr>
        <w:t>pipeline_v2.py</w:t>
      </w:r>
      <w:r>
        <w:t xml:space="preserve">: </w:t>
      </w:r>
      <w:r>
        <w:rPr>
          <w:rFonts w:ascii="Consolas" w:hAnsi="Consolas"/>
          <w:sz w:val="18"/>
        </w:rPr>
        <w:t>total_nights</w:t>
      </w:r>
      <w:r>
        <w:t xml:space="preserve">, </w:t>
      </w:r>
      <w:r>
        <w:rPr>
          <w:rFonts w:ascii="Consolas" w:hAnsi="Consolas"/>
          <w:sz w:val="18"/>
        </w:rPr>
        <w:t>party_size</w:t>
      </w:r>
      <w:r>
        <w:t xml:space="preserve">, </w:t>
      </w:r>
      <w:r>
        <w:rPr>
          <w:rFonts w:ascii="Consolas" w:hAnsi="Consolas"/>
          <w:sz w:val="18"/>
        </w:rPr>
        <w:t>has_kids</w:t>
      </w:r>
      <w:r>
        <w:t xml:space="preserve">, </w:t>
      </w:r>
      <w:r>
        <w:rPr>
          <w:rFonts w:ascii="Consolas" w:hAnsi="Consolas"/>
          <w:sz w:val="18"/>
        </w:rPr>
        <w:t>weekend_share</w:t>
      </w:r>
      <w:r>
        <w:t xml:space="preserve">, plus </w:t>
      </w:r>
      <w:r>
        <w:rPr>
          <w:rFonts w:ascii="Consolas" w:hAnsi="Consolas"/>
          <w:sz w:val="18"/>
        </w:rPr>
        <w:t>VarianceThreshold</w:t>
      </w:r>
      <w:r>
        <w:t xml:space="preserve"> on rare dummies and block-equalised numerical-vs-categorical contribution). Does the K = 2 silhouette dominance survive feature engineering that re-balances the implicit Euclidean metric?</w:t>
      </w:r>
    </w:p>
    <w:p>
      <w:pPr>
        <w:pStyle w:val="ListNumber"/>
      </w:pPr>
      <w:r>
        <w:rPr>
          <w:rFonts w:ascii="Consolas" w:hAnsi="Consolas"/>
          <w:sz w:val="18"/>
        </w:rPr>
        <w:t>repA</w:t>
      </w:r>
      <w:r>
        <w:t xml:space="preserve"> with vs without PCA-20. Does compressing the 53-dim space to 20 PCs change which K is silhouette-best? Particularly relevant for iK-means, whose discovery phase already runs in PCA space.</w:t>
      </w:r>
    </w:p>
    <w:p>
      <w:r>
        <w:rPr>
          <w:b/>
        </w:rPr>
        <w:t>Acceptance bar.</w:t>
      </w:r>
      <w:r>
        <w:t xml:space="preserve"> A partition is considered "robust" only if it (i) maximises silhouette in at least 3 of the 4 variants and (ii) reaches mean ARI of at least 0.80 in at least one variant.</w:t>
      </w:r>
    </w:p>
    <w:p>
      <w:pPr>
        <w:pStyle w:val="Heading1"/>
      </w:pPr>
      <w:r>
        <w:t>7. Experiment logging and repository status</w:t>
      </w:r>
    </w:p>
    <w:p>
      <w:r>
        <w:rPr>
          <w:b/>
        </w:rPr>
        <w:t>`experiments.csv`</w:t>
      </w:r>
      <w:r>
        <w:t xml:space="preserve"> is auto-appended at every run via </w:t>
      </w:r>
      <w:r>
        <w:rPr>
          <w:rFonts w:ascii="Consolas" w:hAnsi="Consolas"/>
          <w:sz w:val="18"/>
        </w:rPr>
        <w:t>src/utils/experiment_logger.py</w:t>
      </w:r>
      <w:r>
        <w:t xml:space="preserve"> (300 rows after the latest run). Schema: </w:t>
      </w:r>
      <w:r>
        <w:rPr>
          <w:rFonts w:ascii="Consolas" w:hAnsi="Consolas"/>
          <w:sz w:val="18"/>
        </w:rPr>
        <w:t>task, method, variant, k, seed, silhouette, calinski_harabasz, davies_bouldin, ari_vs_seed0, bic, aic, log_likelihood, n_iter, converged, notes</w:t>
      </w:r>
      <w:r>
        <w:t xml:space="preserve">. A </w:t>
      </w:r>
      <w:r>
        <w:rPr>
          <w:rFonts w:ascii="Consolas" w:hAnsi="Consolas"/>
          <w:sz w:val="18"/>
        </w:rPr>
        <w:t>date / run_id</w:t>
      </w:r>
      <w:r>
        <w:t xml:space="preserve"> pair, an explicit </w:t>
      </w:r>
      <w:r>
        <w:rPr>
          <w:rFonts w:ascii="Consolas" w:hAnsi="Consolas"/>
          <w:sz w:val="18"/>
        </w:rPr>
        <w:t>representation_id</w:t>
      </w:r>
      <w:r>
        <w:t xml:space="preserve"> column, a </w:t>
      </w:r>
      <w:r>
        <w:rPr>
          <w:rFonts w:ascii="Consolas" w:hAnsi="Consolas"/>
          <w:sz w:val="18"/>
        </w:rPr>
        <w:t>parameters</w:t>
      </w:r>
      <w:r>
        <w:t xml:space="preserve"> JSON column (full hyperparameter vector), and a </w:t>
      </w:r>
      <w:r>
        <w:rPr>
          <w:rFonts w:ascii="Consolas" w:hAnsi="Consolas"/>
          <w:sz w:val="18"/>
        </w:rPr>
        <w:t>sample_rule</w:t>
      </w:r>
      <w:r>
        <w:t xml:space="preserve"> column (</w:t>
      </w:r>
      <w:r>
        <w:rPr>
          <w:rFonts w:ascii="Consolas" w:hAnsi="Consolas"/>
          <w:sz w:val="18"/>
        </w:rPr>
        <w:t>fast-check-5k</w:t>
      </w:r>
      <w:r>
        <w:t xml:space="preserve"> vs </w:t>
      </w:r>
      <w:r>
        <w:rPr>
          <w:rFonts w:ascii="Consolas" w:hAnsi="Consolas"/>
          <w:sz w:val="18"/>
        </w:rPr>
        <w:t>full-119k</w:t>
      </w:r>
      <w:r>
        <w:t>) will be added before the 13-May Core-Protocol-Freeze.</w:t>
      </w:r>
    </w:p>
    <w:p>
      <w:r>
        <w:rPr>
          <w:b/>
        </w:rPr>
        <w:t>`environment.yml`</w:t>
      </w:r>
      <w:r>
        <w:t xml:space="preserve"> (conda, Python 3.11) is checked in; a pinned </w:t>
      </w:r>
      <w:r>
        <w:rPr>
          <w:rFonts w:ascii="Consolas" w:hAnsi="Consolas"/>
          <w:sz w:val="18"/>
        </w:rPr>
        <w:t>requirements.txt</w:t>
      </w:r>
      <w:r>
        <w:t xml:space="preserve"> for the actual lab environment (Python 3.13 on Windows 11) is being prepared from </w:t>
      </w:r>
      <w:r>
        <w:rPr>
          <w:rFonts w:ascii="Consolas" w:hAnsi="Consolas"/>
          <w:sz w:val="18"/>
        </w:rPr>
        <w:t>pip freeze</w:t>
      </w:r>
      <w:r>
        <w:t xml:space="preserve"> for the 20-May Reproducibility Freeze.</w:t>
      </w:r>
    </w:p>
    <w:p>
      <w:r>
        <w:rPr>
          <w:b/>
        </w:rPr>
        <w:t>`run_all`</w:t>
      </w:r>
      <w:r>
        <w:t xml:space="preserve"> (bash) and </w:t>
      </w:r>
      <w:r>
        <w:rPr>
          <w:b/>
        </w:rPr>
        <w:t>`run_all.ps1`</w:t>
      </w:r>
      <w:r>
        <w:t xml:space="preserve"> (PowerShell wrapper for native Windows) execute the Task 1 pipeline end-to-end: SHA-256 validation, preprocessing, baseline clustering with k-means and iK-means under both scalers. Every figure in </w:t>
      </w:r>
      <w:r>
        <w:rPr>
          <w:rFonts w:ascii="Consolas" w:hAnsi="Consolas"/>
          <w:sz w:val="18"/>
        </w:rPr>
        <w:t>figures/</w:t>
      </w:r>
      <w:r>
        <w:t xml:space="preserve"> and every table in </w:t>
      </w:r>
      <w:r>
        <w:rPr>
          <w:rFonts w:ascii="Consolas" w:hAnsi="Consolas"/>
          <w:sz w:val="18"/>
        </w:rPr>
        <w:t>tables/</w:t>
      </w:r>
      <w:r>
        <w:t xml:space="preserve"> is regenerated without manual steps.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