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A12626"/>
          <w:sz w:val="20"/>
        </w:rPr>
        <w:t xml:space="preserve">Dữ liệu DEMO — không phải dữ liệu kinh doanh thật. Các con số dưới đây là </w:t>
      </w:r>
      <w:r>
        <w:rPr>
          <w:rFonts w:ascii="Arial" w:hAnsi="Arial"/>
          <w:b/>
          <w:i w:val="0"/>
          <w:color w:val="A12626"/>
          <w:sz w:val="20"/>
        </w:rPr>
        <w:t>số DEMO để tập</w:t>
      </w:r>
      <w:r>
        <w:rPr>
          <w:rFonts w:ascii="Arial" w:hAnsi="Arial"/>
          <w:b/>
          <w:i w:val="0"/>
          <w:color w:val="A12626"/>
          <w:sz w:val="20"/>
        </w:rPr>
        <w:t>, KHÔNG phải giá/chính sách thật của Wir.</w:t>
      </w:r>
    </w:p>
    <w:p>
      <w:pPr>
        <w:pStyle w:val="Title"/>
      </w:pPr>
      <w:r>
        <w:t>Chính sách giá sỉ (DEMO)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 w:val="0"/>
          <w:color w:val="555F6D"/>
        </w:rPr>
        <w:t xml:space="preserve">Dán bảng này vào prompt hoặc tải vào Files của Project "Wir – Kinh doanh sỉ". ChatGPT chỉ báo giá sỉ </w:t>
      </w:r>
      <w:r>
        <w:rPr>
          <w:rFonts w:ascii="Arial" w:hAnsi="Arial"/>
          <w:b/>
          <w:i w:val="0"/>
          <w:color w:val="555F6D"/>
        </w:rPr>
        <w:t>trong khung</w:t>
      </w:r>
      <w:r>
        <w:rPr>
          <w:rFonts w:ascii="Arial" w:hAnsi="Arial"/>
          <w:b w:val="0"/>
          <w:i w:val="0"/>
          <w:color w:val="555F6D"/>
        </w:rPr>
        <w:t xml:space="preserve">, và </w:t>
      </w:r>
      <w:r>
        <w:rPr>
          <w:rFonts w:ascii="Arial" w:hAnsi="Arial"/>
          <w:b/>
          <w:i w:val="0"/>
          <w:color w:val="555F6D"/>
        </w:rPr>
        <w:t>dừng, chuyển quản lý</w:t>
      </w:r>
      <w:r>
        <w:rPr>
          <w:rFonts w:ascii="Arial" w:hAnsi="Arial"/>
          <w:b w:val="0"/>
          <w:i w:val="0"/>
          <w:color w:val="555F6D"/>
        </w:rPr>
        <w:t xml:space="preserve"> khi khách đòi thứ ngoài khung. Mọi số là DEMO.</w:t>
      </w:r>
    </w:p>
    <w:p>
      <w:pPr>
        <w:pStyle w:val="Heading1"/>
      </w:pPr>
      <w:r>
        <w:rPr>
          <w:rFonts w:ascii="Arial" w:hAnsi="Arial"/>
          <w:b w:val="0"/>
          <w:i w:val="0"/>
        </w:rPr>
        <w:t>1. Bảng chiết khấu sỉ theo giá trị đơn (4 mức)</w:t>
      </w:r>
    </w:p>
    <w:tbl>
      <w:tblPr>
        <w:tblW w:w="9638" w:type="dxa"/>
        <w:jc w:val="lef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63"/>
        <w:gridCol w:w="3533"/>
        <w:gridCol w:w="1606"/>
        <w:gridCol w:w="3536"/>
      </w:tblGrid>
      <w:tr>
        <w:tc>
          <w:tcPr>
            <w:tcW w:w="963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Mức</w:t>
            </w:r>
          </w:p>
        </w:tc>
        <w:tc>
          <w:tcPr>
            <w:tcW w:w="3533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Giá trị đơn (trước CK)</w:t>
            </w:r>
          </w:p>
        </w:tc>
        <w:tc>
          <w:tcPr>
            <w:tcW w:w="1606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Chiết khấu</w:t>
            </w:r>
          </w:p>
        </w:tc>
        <w:tc>
          <w:tcPr>
            <w:tcW w:w="3536" w:type="dxa"/>
            <w:shd w:val="clear" w:color="auto" w:fill="E8EEF4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Ghi chú</w:t>
            </w:r>
          </w:p>
        </w:tc>
      </w:tr>
      <w:tr>
        <w:tc>
          <w:tcPr>
            <w:tcW w:w="963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S1</w:t>
            </w:r>
          </w:p>
        </w:tc>
        <w:tc>
          <w:tcPr>
            <w:tcW w:w="3533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5 – dưới 15 triệu</w:t>
            </w:r>
          </w:p>
        </w:tc>
        <w:tc>
          <w:tcPr>
            <w:tcW w:w="1606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5%</w:t>
            </w:r>
          </w:p>
        </w:tc>
        <w:tc>
          <w:tcPr>
            <w:tcW w:w="3536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Đơn sỉ nhỏ / khách mới</w:t>
            </w:r>
          </w:p>
        </w:tc>
      </w:tr>
      <w:tr>
        <w:tc>
          <w:tcPr>
            <w:tcW w:w="963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S2</w:t>
            </w:r>
          </w:p>
        </w:tc>
        <w:tc>
          <w:tcPr>
            <w:tcW w:w="3533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15 – dưới 40 triệu</w:t>
            </w:r>
          </w:p>
        </w:tc>
        <w:tc>
          <w:tcPr>
            <w:tcW w:w="1606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10%</w:t>
            </w:r>
          </w:p>
        </w:tc>
        <w:tc>
          <w:tcPr>
            <w:tcW w:w="3536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Đại lý ổn định</w:t>
            </w:r>
          </w:p>
        </w:tc>
      </w:tr>
      <w:tr>
        <w:tc>
          <w:tcPr>
            <w:tcW w:w="963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S3</w:t>
            </w:r>
          </w:p>
        </w:tc>
        <w:tc>
          <w:tcPr>
            <w:tcW w:w="3533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40 – dưới 100 triệu</w:t>
            </w:r>
          </w:p>
        </w:tc>
        <w:tc>
          <w:tcPr>
            <w:tcW w:w="1606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15%</w:t>
            </w:r>
          </w:p>
        </w:tc>
        <w:tc>
          <w:tcPr>
            <w:tcW w:w="3536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Đại lý lớn</w:t>
            </w:r>
          </w:p>
        </w:tc>
      </w:tr>
      <w:tr>
        <w:tc>
          <w:tcPr>
            <w:tcW w:w="963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S4</w:t>
            </w:r>
          </w:p>
        </w:tc>
        <w:tc>
          <w:tcPr>
            <w:tcW w:w="3533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từ 100 triệu trở lên</w:t>
            </w:r>
          </w:p>
        </w:tc>
        <w:tc>
          <w:tcPr>
            <w:tcW w:w="1606" w:type="dx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0"/>
              </w:rPr>
              <w:t>20%</w:t>
            </w:r>
          </w:p>
        </w:tc>
        <w:tc>
          <w:tcPr>
            <w:tcW w:w="3536" w:type="dxa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0"/>
              </w:rPr>
              <w:t>Đối tác chiến lược</w:t>
            </w:r>
          </w:p>
        </w:tc>
      </w:tr>
    </w:tbl>
    <w:p>
      <w:pPr>
        <w:spacing w:after="40"/>
      </w:pP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 w:val="0"/>
          <w:color w:val="555F6D"/>
        </w:rPr>
        <w:t xml:space="preserve">Giá trị đơn tăng → chiết khấu tăng. Chiết khấu tính trên tổng giá bán lẻ demo trước CK. </w:t>
      </w:r>
      <w:r>
        <w:rPr>
          <w:rFonts w:ascii="Arial" w:hAnsi="Arial"/>
          <w:b/>
          <w:i w:val="0"/>
          <w:color w:val="555F6D"/>
        </w:rPr>
        <w:t>Trần chiết khấu chuẩn = 20%.</w:t>
      </w:r>
    </w:p>
    <w:p>
      <w:pPr>
        <w:pStyle w:val="Heading1"/>
      </w:pPr>
      <w:r>
        <w:rPr>
          <w:rFonts w:ascii="Arial" w:hAnsi="Arial"/>
          <w:b w:val="0"/>
          <w:i w:val="0"/>
        </w:rPr>
        <w:t>2. Điều khoản thanh toán &amp; giao hàng (DEMO)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Đặt cọc:</w:t>
      </w:r>
      <w:r>
        <w:rPr>
          <w:rFonts w:ascii="Arial" w:hAnsi="Arial"/>
          <w:b w:val="0"/>
          <w:i w:val="0"/>
        </w:rPr>
        <w:t xml:space="preserve"> đơn sỉ ≥ 40 triệu cọc </w:t>
      </w:r>
      <w:r>
        <w:rPr>
          <w:rFonts w:ascii="Arial" w:hAnsi="Arial"/>
          <w:b/>
          <w:i w:val="0"/>
        </w:rPr>
        <w:t>30%</w:t>
      </w:r>
      <w:r>
        <w:rPr>
          <w:rFonts w:ascii="Arial" w:hAnsi="Arial"/>
          <w:b w:val="0"/>
          <w:i w:val="0"/>
        </w:rPr>
        <w:t xml:space="preserve"> khi chốt, phần còn lại trước khi giao.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Công nợ:</w:t>
      </w:r>
      <w:r>
        <w:rPr>
          <w:rFonts w:ascii="Arial" w:hAnsi="Arial"/>
          <w:b w:val="0"/>
          <w:i w:val="0"/>
        </w:rPr>
        <w:t xml:space="preserve"> cho nợ </w:t>
      </w:r>
      <w:r>
        <w:rPr>
          <w:rFonts w:ascii="Arial" w:hAnsi="Arial"/>
          <w:b/>
          <w:i w:val="0"/>
        </w:rPr>
        <w:t>tối đa 15 ngày</w:t>
      </w:r>
      <w:r>
        <w:rPr>
          <w:rFonts w:ascii="Arial" w:hAnsi="Arial"/>
          <w:b w:val="0"/>
          <w:i w:val="0"/>
        </w:rPr>
        <w:t xml:space="preserve"> với đại lý đã ký hợp đồng + đủ hồ sơ pháp lý (GPKD). Khách mới: thanh toán trước hoặc COD.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Giao hàng:</w:t>
      </w:r>
      <w:r>
        <w:rPr>
          <w:rFonts w:ascii="Arial" w:hAnsi="Arial"/>
          <w:b w:val="0"/>
          <w:i w:val="0"/>
        </w:rPr>
        <w:t xml:space="preserve"> nội thành 1–3 ngày, tỉnh 3–7 ngày; phí ship theo biểu hiện hành (</w:t>
      </w:r>
      <w:r>
        <w:rPr>
          <w:rFonts w:ascii="Arial" w:hAnsi="Arial"/>
          <w:b/>
          <w:i w:val="0"/>
          <w:color w:val="0B5C8E"/>
        </w:rPr>
        <w:t>[CẦN ĐIỀN]</w:t>
      </w:r>
      <w:r>
        <w:rPr>
          <w:rFonts w:ascii="Arial" w:hAnsi="Arial"/>
          <w:b w:val="0"/>
          <w:i w:val="0"/>
        </w:rPr>
        <w:t xml:space="preserve"> mức phí cụ thể).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Đổi trả:</w:t>
      </w:r>
      <w:r>
        <w:rPr>
          <w:rFonts w:ascii="Arial" w:hAnsi="Arial"/>
          <w:b w:val="0"/>
          <w:i w:val="0"/>
        </w:rPr>
        <w:t xml:space="preserve"> theo chính sách công ty (</w:t>
      </w:r>
      <w:r>
        <w:rPr>
          <w:rFonts w:ascii="Arial" w:hAnsi="Arial"/>
          <w:b/>
          <w:i w:val="0"/>
          <w:color w:val="0B5C8E"/>
        </w:rPr>
        <w:t>[CẦN ĐIỀN]</w:t>
      </w:r>
      <w:r>
        <w:rPr>
          <w:rFonts w:ascii="Arial" w:hAnsi="Arial"/>
          <w:b w:val="0"/>
          <w:i w:val="0"/>
        </w:rPr>
        <w:t xml:space="preserve"> chi tiết) — ChatGPT không tự hứa điều kiện đổi trả riêng.</w:t>
      </w:r>
    </w:p>
    <w:p>
      <w:pPr>
        <w:pStyle w:val="Heading1"/>
      </w:pPr>
      <w:r>
        <w:rPr>
          <w:rFonts w:ascii="Arial" w:hAnsi="Arial"/>
          <w:b w:val="0"/>
          <w:i w:val="0"/>
        </w:rPr>
        <w:t>3. Điều CHƯA có chính sách (HÀNG RÀO — ChatGPT KHÔNG tự quyết) ⛔</w:t>
      </w:r>
    </w:p>
    <w:p>
      <w:r>
        <w:rPr>
          <w:rFonts w:ascii="Arial" w:hAnsi="Arial"/>
          <w:b w:val="0"/>
          <w:i w:val="0"/>
        </w:rPr>
        <w:t xml:space="preserve">Khách hỏi/đòi các điều dưới đây → </w:t>
      </w:r>
      <w:r>
        <w:rPr>
          <w:rFonts w:ascii="Arial" w:hAnsi="Arial"/>
          <w:b/>
          <w:i w:val="0"/>
        </w:rPr>
        <w:t>vượt khung</w:t>
      </w:r>
      <w:r>
        <w:rPr>
          <w:rFonts w:ascii="Arial" w:hAnsi="Arial"/>
          <w:b w:val="0"/>
          <w:i w:val="0"/>
        </w:rPr>
        <w:t>, phải chuyển quản lý: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Độc quyền phân phối theo khu vực</w:t>
      </w:r>
      <w:r>
        <w:rPr>
          <w:rFonts w:ascii="Arial" w:hAnsi="Arial"/>
          <w:b w:val="0"/>
          <w:i w:val="0"/>
        </w:rPr>
        <w:t xml:space="preserve"> (vd L05 — Hải Phòng). Chưa có chính sách.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Chiết khấu đặc biệt vượt 20%</w:t>
      </w:r>
      <w:r>
        <w:rPr>
          <w:rFonts w:ascii="Arial" w:hAnsi="Arial"/>
          <w:b w:val="0"/>
          <w:i w:val="0"/>
        </w:rPr>
        <w:t xml:space="preserve"> (ngoài 4 mức trên).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Cho công nợ dài hơn 15 ngày</w:t>
      </w:r>
      <w:r>
        <w:rPr>
          <w:rFonts w:ascii="Arial" w:hAnsi="Arial"/>
          <w:b w:val="0"/>
          <w:i w:val="0"/>
        </w:rPr>
        <w:t xml:space="preserve"> (vd L09 đòi 45 ngày).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Ký gửi / gối đầu hàng</w:t>
      </w:r>
      <w:r>
        <w:rPr>
          <w:rFonts w:ascii="Arial" w:hAnsi="Arial"/>
          <w:b w:val="0"/>
          <w:i w:val="0"/>
        </w:rPr>
        <w:t xml:space="preserve"> (nhận hàng bán xong mới trả tiền).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Giá riêng theo từng SKU</w:t>
      </w:r>
      <w:r>
        <w:rPr>
          <w:rFonts w:ascii="Arial" w:hAnsi="Arial"/>
          <w:b w:val="0"/>
          <w:i w:val="0"/>
        </w:rPr>
        <w:t xml:space="preserve"> ngoài bảng, hoặc combo giá đặc biệt chưa duyệt.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Sản phẩm tầng tiêm (Karima/Karisma):</w:t>
      </w:r>
      <w:r>
        <w:rPr>
          <w:rFonts w:ascii="Arial" w:hAnsi="Arial"/>
          <w:b w:val="0"/>
          <w:i w:val="0"/>
        </w:rPr>
        <w:t xml:space="preserve"> không nằm trong chính sách sỉ tiêu dùng — chỉ bác sĩ/cơ sở được cấp phép (vd L02 → chuyển quản lý).</w:t>
      </w:r>
    </w:p>
    <w:p>
      <w:pPr>
        <w:pStyle w:val="Heading1"/>
      </w:pPr>
      <w:r>
        <w:rPr>
          <w:rFonts w:ascii="Arial" w:hAnsi="Arial"/>
          <w:b w:val="0"/>
          <w:i w:val="0"/>
        </w:rPr>
        <w:t>4. Câu ChatGPT được nói khi chạm hàng rào (đúng 1 câu)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/>
          <w:color w:val="555F6D"/>
        </w:rPr>
        <w:t>"Mức này vượt chính sách sỉ hiện hành, em cần xin ý kiến quản lý trước khi xác nhận với anh/chị."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Sau câu đó: </w:t>
      </w:r>
      <w:r>
        <w:rPr>
          <w:rFonts w:ascii="Arial" w:hAnsi="Arial"/>
          <w:b/>
          <w:i w:val="0"/>
        </w:rPr>
        <w:t>không</w:t>
      </w:r>
      <w:r>
        <w:rPr>
          <w:rFonts w:ascii="Arial" w:hAnsi="Arial"/>
          <w:b w:val="0"/>
          <w:i w:val="0"/>
        </w:rPr>
        <w:t xml:space="preserve"> báo con số, </w:t>
      </w:r>
      <w:r>
        <w:rPr>
          <w:rFonts w:ascii="Arial" w:hAnsi="Arial"/>
          <w:b/>
          <w:i w:val="0"/>
        </w:rPr>
        <w:t>không</w:t>
      </w:r>
      <w:r>
        <w:rPr>
          <w:rFonts w:ascii="Arial" w:hAnsi="Arial"/>
          <w:b w:val="0"/>
          <w:i w:val="0"/>
        </w:rPr>
        <w:t xml:space="preserve"> hứa hẹn; ghi nhận yêu cầu + chuyển quản lý. 🔒 điểm dừng người duyệt.</w:t>
      </w:r>
    </w:p>
    <w:p>
      <w:pPr>
        <w:pStyle w:val="Heading1"/>
      </w:pPr>
      <w:r>
        <w:rPr>
          <w:rFonts w:ascii="Arial" w:hAnsi="Arial"/>
          <w:b w:val="0"/>
          <w:i w:val="0"/>
        </w:rPr>
        <w:t>5. Chỗ còn thiếu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Giá bán lẻ nền để tính CK: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Arial" w:hAnsi="Arial"/>
          <w:b/>
          <w:i w:val="0"/>
          <w:color w:val="0B5C8E"/>
        </w:rPr>
        <w:t>[CẦN ĐIỀN]</w:t>
      </w:r>
      <w:r>
        <w:rPr>
          <w:rFonts w:ascii="Arial" w:hAnsi="Arial"/>
          <w:b w:val="0"/>
          <w:i w:val="0"/>
        </w:rPr>
        <w:t xml:space="preserve"> — bảng trên chỉ cho </w:t>
      </w:r>
      <w:r>
        <w:rPr>
          <w:rFonts w:ascii="Arial" w:hAnsi="Arial"/>
          <w:b/>
          <w:i w:val="0"/>
        </w:rPr>
        <w:t>tỷ lệ</w:t>
      </w:r>
      <w:r>
        <w:rPr>
          <w:rFonts w:ascii="Arial" w:hAnsi="Arial"/>
          <w:b w:val="0"/>
          <w:i w:val="0"/>
        </w:rPr>
        <w:t xml:space="preserve"> CK; ChatGPT thiếu giá nền thì </w:t>
      </w:r>
      <w:r>
        <w:rPr>
          <w:rFonts w:ascii="Arial" w:hAnsi="Arial"/>
          <w:b/>
          <w:i w:val="0"/>
        </w:rPr>
        <w:t>không</w:t>
      </w:r>
      <w:r>
        <w:rPr>
          <w:rFonts w:ascii="Arial" w:hAnsi="Arial"/>
          <w:b w:val="0"/>
          <w:i w:val="0"/>
        </w:rPr>
        <w:t xml:space="preserve"> tự bịa số tiền cuối.</w:t>
      </w:r>
    </w:p>
    <w:p>
      <w:pPr>
        <w:pStyle w:val="ListBullet"/>
        <w:spacing w:after="60"/>
      </w:pPr>
      <w:r>
        <w:rPr>
          <w:rFonts w:ascii="Arial" w:hAnsi="Arial"/>
          <w:b/>
          <w:i w:val="0"/>
        </w:rPr>
        <w:t>Phí ship, điều kiện đổi trả:</w:t>
      </w:r>
      <w:r>
        <w:rPr>
          <w:rFonts w:ascii="Arial" w:hAnsi="Arial"/>
          <w:b w:val="0"/>
          <w:i w:val="0"/>
        </w:rPr>
        <w:t xml:space="preserve"> để trống cố ý (</w:t>
      </w:r>
      <w:r>
        <w:rPr>
          <w:rFonts w:ascii="Arial" w:hAnsi="Arial"/>
          <w:b/>
          <w:i w:val="0"/>
          <w:color w:val="0B5C8E"/>
        </w:rPr>
        <w:t>[CẦN ĐIỀN]</w:t>
      </w:r>
      <w:r>
        <w:rPr>
          <w:rFonts w:ascii="Arial" w:hAnsi="Arial"/>
          <w:b w:val="0"/>
          <w:i w:val="0"/>
        </w:rPr>
        <w:t>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sách giá sỉ (DEMO)</dc:title>
  <dc:subject/>
  <dc:creator>Wir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