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t>Model Architecture</w:t>
      </w:r>
    </w:p>
    <w:p>
      <w:pPr>
        <w:spacing w:after="120"/>
      </w:pPr>
      <w:r>
        <w:t>Two seq2seq models are trained sequentially on the same dataset and</w:t>
      </w:r>
    </w:p>
    <w:p>
      <w:pPr>
        <w:spacing w:after="120"/>
      </w:pPr>
      <w:r>
        <w:t>hyperparameters, differing only in how the decoder consumes encoder</w:t>
      </w:r>
    </w:p>
    <w:p>
      <w:pPr>
        <w:spacing w:after="120"/>
      </w:pPr>
      <w:r>
        <w:t>context. This controlled comparison isolates the contribution of</w:t>
      </w:r>
    </w:p>
    <w:p>
      <w:pPr>
        <w:spacing w:after="120"/>
      </w:pPr>
      <w:r>
        <w:t>attention.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Shared Components</w:t>
      </w:r>
    </w:p>
    <w:p>
      <w:pPr>
        <w:spacing w:after="120"/>
      </w:pPr>
      <w:r/>
      <w:r>
        <w:rPr>
          <w:b/>
        </w:rPr>
        <w:t>Embeddings.</w:t>
      </w:r>
      <w:r>
        <w:t xml:space="preserve"> A single </w:t>
      </w:r>
      <w:r>
        <w:rPr>
          <w:rFonts w:ascii="Courier New" w:hAnsi="Courier New"/>
          <w:sz w:val="20"/>
        </w:rPr>
        <w:t>nn.Embedding(16 000, 300)</w:t>
      </w:r>
      <w:r>
        <w:t xml:space="preserve"> layer is shared</w:t>
      </w:r>
    </w:p>
    <w:p>
      <w:pPr>
        <w:spacing w:after="120"/>
      </w:pPr>
      <w:r>
        <w:t>between encoder and decoder (weight tying). Weights are initialised</w:t>
      </w:r>
    </w:p>
    <w:p>
      <w:pPr>
        <w:spacing w:after="120"/>
      </w:pPr>
      <w:r>
        <w:t>from pretrained FastText skip-gram vectors (300-d, 99.99% coverage),</w:t>
      </w:r>
    </w:p>
    <w:p>
      <w:pPr>
        <w:spacing w:after="120"/>
      </w:pPr>
      <w:r>
        <w:t>then fine-tuned during training. Embedding dropout: 0.30.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Encoder (shared by both models)</w:t>
      </w:r>
    </w:p>
    <w:p>
      <w:pPr>
        <w:spacing w:after="120"/>
      </w:pPr>
      <w:r>
        <w:t>A 2-layer bidirectional LSTM reads the source token sequence and</w:t>
      </w:r>
    </w:p>
    <w:p>
      <w:pPr>
        <w:spacing w:after="120"/>
      </w:pPr>
      <w:r>
        <w:t>produces per-timestep hidden states and final states.</w:t>
      </w:r>
    </w:p>
    <w:p>
      <w:pPr>
        <w:spacing w:after="120"/>
      </w:pPr>
      <w:r>
        <w:t>*Parameter count: 14 433 792*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Bridge</w:t>
      </w:r>
    </w:p>
    <w:p>
      <w:pPr>
        <w:spacing w:after="120"/>
      </w:pPr>
      <w:r>
        <w:t>Projects the bidirectional final states into the decoder's initial</w:t>
      </w:r>
    </w:p>
    <w:p>
      <w:pPr>
        <w:spacing w:after="120"/>
      </w:pPr>
      <w:r>
        <w:t>states. Forward and backward layer-pair states are concatenated</w:t>
      </w:r>
    </w:p>
    <w:p>
      <w:pPr>
        <w:spacing w:after="120"/>
      </w:pPr>
      <w:r>
        <w:t>(512+512 = 1024) then passed through a linear+tanh projection per</w:t>
      </w:r>
    </w:p>
    <w:p>
      <w:pPr>
        <w:spacing w:after="120"/>
      </w:pPr>
      <w:r>
        <w:t xml:space="preserve">layer, yielding </w:t>
      </w:r>
      <w:r>
        <w:rPr>
          <w:rFonts w:ascii="Courier New" w:hAnsi="Courier New"/>
          <w:sz w:val="20"/>
        </w:rPr>
        <w:t>h_0, c_0</w:t>
      </w:r>
      <w:r>
        <w:t xml:space="preserve"> of shape </w:t>
      </w:r>
      <w:r>
        <w:rPr>
          <w:rFonts w:ascii="Courier New" w:hAnsi="Courier New"/>
          <w:sz w:val="20"/>
        </w:rPr>
        <w:t>[2, B, 1024]</w:t>
      </w:r>
      <w:r>
        <w:t>.</w:t>
      </w:r>
    </w:p>
    <w:p>
      <w:pPr>
        <w:spacing w:after="120"/>
      </w:pPr>
      <w:r>
        <w:t>*Parameter count: 2 099 200*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1_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sz w:val="18"/>
        </w:rPr>
        <w:t>Figure A1 — Full architecture overview: Baseline (left) vs Attention (right)</w:t>
      </w:r>
    </w:p>
    <w:p>
      <w:pPr>
        <w:spacing w:after="120"/>
      </w:pPr>
      <w:r>
        <w:t>*Figure A1: Side-by-side architecture overview. Both models share the same encoder, bridge, bottleneck, and output head. The only difference is the decoder's context source: a fixed last-timestep vector (baseline) vs a dynamically recomputed Bahdanau attention vector (attention).*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Decoder — Baseline (no attention)</w:t>
      </w:r>
    </w:p>
    <w:p>
      <w:pPr>
        <w:spacing w:after="120"/>
      </w:pPr>
      <w:r>
        <w:t xml:space="preserve">The context is fixed: the last encoder timestep </w:t>
      </w:r>
      <w:r>
        <w:rPr>
          <w:rFonts w:ascii="Courier New" w:hAnsi="Courier New"/>
          <w:sz w:val="20"/>
        </w:rPr>
        <w:t>encoder_outputs[:, −1, :]</w:t>
      </w:r>
      <w:r/>
    </w:p>
    <w:p>
      <w:pPr>
        <w:spacing w:after="120"/>
      </w:pPr>
      <w:r>
        <w:t>is concatenated to every embedded input token and held constant</w:t>
      </w:r>
    </w:p>
    <w:p>
      <w:pPr>
        <w:spacing w:after="120"/>
      </w:pPr>
      <w:r>
        <w:t>throughout decoding.</w:t>
      </w:r>
    </w:p>
    <w:p>
      <w:pPr>
        <w:spacing w:after="120"/>
      </w:pPr>
      <w:r>
        <w:t xml:space="preserve">*Parameter count: 32 079 488* — the </w:t>
      </w:r>
      <w:r>
        <w:rPr>
          <w:rFonts w:ascii="Courier New" w:hAnsi="Courier New"/>
          <w:sz w:val="20"/>
        </w:rPr>
        <w:t>Linear(512→16 000)</w:t>
      </w:r>
      <w:r>
        <w:t xml:space="preserve"> output head</w:t>
      </w:r>
    </w:p>
    <w:p>
      <w:pPr>
        <w:spacing w:after="120"/>
      </w:pPr>
      <w:r>
        <w:t>accounts for 8.2 M; the 2048→512 bottleneck avoids a costly direct</w:t>
      </w:r>
    </w:p>
    <w:p>
      <w:pPr>
        <w:spacing w:after="120"/>
      </w:pPr>
      <w:r>
        <w:t>2048×16 000 projection (would add 24 M parameters).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57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2_baseline_deco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sz w:val="18"/>
        </w:rPr>
        <w:t>Figure A2 — Baseline decoder: single timestep data flow</w:t>
      </w:r>
    </w:p>
    <w:p>
      <w:pPr>
        <w:spacing w:after="120"/>
      </w:pPr>
      <w:r>
        <w:t>*Figure A2: Baseline decoder at one timestep. The orange ctx\_fixed vector (encoder last timestep) is concatenated to the embedded input before the LSTM and again after, then passed through the bottleneck projection to logits. It never changes — the decoder has no mechanism to focus on different source positions.*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Decoder — Attention (Bahdanau additive)</w:t>
      </w:r>
    </w:p>
    <w:p>
      <w:pPr>
        <w:spacing w:after="120"/>
      </w:pPr>
      <w:r>
        <w:t xml:space="preserve">Identical to baseline except the context vector </w:t>
      </w:r>
      <w:r>
        <w:rPr>
          <w:rFonts w:ascii="Courier New" w:hAnsi="Courier New"/>
          <w:sz w:val="20"/>
        </w:rPr>
        <w:t>c_t</w:t>
      </w:r>
      <w:r>
        <w:t xml:space="preserve"> is **recomputed</w:t>
      </w:r>
    </w:p>
    <w:p>
      <w:pPr>
        <w:spacing w:after="120"/>
      </w:pPr>
      <w:r>
        <w:t>at every step** as a weighted sum over all encoder outputs.</w:t>
      </w:r>
    </w:p>
    <w:p>
      <w:pPr>
        <w:spacing w:after="120"/>
      </w:pPr>
      <w:r>
        <w:t xml:space="preserve">Attention projection dimensions: W_enc and W_dec both map to </w:t>
      </w:r>
      <w:r>
        <w:rPr>
          <w:b/>
        </w:rPr>
        <w:t>256</w:t>
      </w:r>
      <w:r>
        <w:t>,</w:t>
      </w:r>
    </w:p>
    <w:p>
      <w:pPr>
        <w:spacing w:after="120"/>
      </w:pPr>
      <w:r>
        <w:t>keeping the energy computation lightweight (attn_dim = 256).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44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3_attention_deco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sz w:val="18"/>
        </w:rPr>
        <w:t>Figure A3 — Attention decoder: single timestep data flow (Bahdanau)</w:t>
      </w:r>
    </w:p>
    <w:p>
      <w:pPr>
        <w:spacing w:after="120"/>
      </w:pPr>
      <w:r>
        <w:t>*Figure A3: Attention decoder at one timestep. The right-hand column (purple/red) shows the Bahdanau mechanism: W\_dec(s\_t) and precomputed W\_enc(h\_i) keys combine to produce per-position energies, softmax normalises them to α\_t, and the weighted sum over encoder outputs gives c\_t. Crucially, c\_t is carried back as c\_{t-1} for the next step, and the LSTM receives the previous c\_t concatenated with the embedded token as its input — context informs generation before the recurrent step.*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Parameter Summary</w:t>
      </w:r>
    </w:p>
    <w:p>
      <w:pPr>
        <w:spacing w:after="120"/>
      </w:pPr>
      <w:r>
        <w:t xml:space="preserve">Notation: LSTM layer params = </w:t>
      </w:r>
      <w:r>
        <w:rPr>
          <w:rFonts w:ascii="Courier New" w:hAnsi="Courier New"/>
          <w:sz w:val="20"/>
        </w:rPr>
        <w:t>4H(I + H) + 8H</w:t>
      </w:r>
      <w:r>
        <w:t xml:space="preserve"> where I = input size, H = hidden size.</w:t>
      </w:r>
    </w:p>
    <w:p>
      <w:pPr>
        <w:spacing w:after="120"/>
      </w:pPr>
      <w:r>
        <w:t>Embedding shared between encoder and decoder; counted once in the total.</w:t>
      </w:r>
    </w:p>
    <w:p>
      <w:pPr>
        <w:pStyle w:val="Heading3"/>
        <w:spacing w:before="200"/>
      </w:pPr>
      <w:r>
        <w:t>Encoder — 14 433 792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Sub-component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Calculation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Params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Embedding (shared)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16 000 × 300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4 800 000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BiLSTM L1 (×2 dirs)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 × [4×512×(300+512) + 8×512]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3 334 144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BiLSTM L2 (×2 dirs)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 × [4×512×(1024+512) + 8×512]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6 299 648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Encoder total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14 433 792</w:t>
            </w:r>
            <w:r/>
          </w:p>
        </w:tc>
      </w:tr>
    </w:tbl>
    <w:p/>
    <w:p>
      <w:pPr>
        <w:pStyle w:val="Heading3"/>
        <w:spacing w:before="200"/>
      </w:pPr>
      <w:r>
        <w:t>Bridge — 2 099 200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Sub-component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Calculation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Params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h_projection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1024×1024 + 1024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1 049 600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c_projection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1024×1024 + 1024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1 049 600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Bridge total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2 099 200</w:t>
            </w:r>
            <w:r/>
          </w:p>
        </w:tc>
      </w:tr>
    </w:tbl>
    <w:p/>
    <w:p>
      <w:pPr>
        <w:pStyle w:val="Heading3"/>
        <w:spacing w:before="200"/>
      </w:pPr>
      <w:r>
        <w:t>Decoder — Baseline 32 079 488 · Attention 32 604 032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Sub-component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Calculation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Baseline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b/>
              </w:rPr>
              <w:t>Attention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Embedding (ref, shared)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16 000 × 300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4 800 000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4 800 000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LSTM L1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4×1024×(1324+1024) + 8×1024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9 625 600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9 625 600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LSTM L2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4×1024×(1024+1024) + 8×1024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8 396 800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8 396 800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Attn W_enc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1024×256 (bias=False)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262 144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Attn W_dec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1024×256 (bias=False)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262 144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Attn v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256×1 (bias=False)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256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Proj Linear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2048×512 + 512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1 049 088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1 049 088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t>Output Linear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512×16 000 + 16 000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8 208 000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t>8 208 000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Decoder total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32 079 488</w:t>
            </w:r>
            <w:r/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/>
            <w:r>
              <w:rPr>
                <w:b/>
              </w:rPr>
              <w:t>32 604 032</w:t>
            </w:r>
            <w:r/>
          </w:p>
        </w:tc>
      </w:tr>
    </w:tbl>
    <w:p/>
    <w:p>
      <w:pPr>
        <w:pStyle w:val="Heading3"/>
        <w:spacing w:before="200"/>
      </w:pPr>
      <w:r>
        <w:t>Grand Total (embedding counted once)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Model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Calculation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Baseline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4 800 000 + 9 633 792 + 2 099 200 + 18 022 400 + 9 257 088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43 812 480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Attention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Baseline + 262 144 + 262 144 + 256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b/>
              </w:rPr>
              <w:t>44 337 024</w:t>
            </w:r>
            <w:r/>
          </w:p>
        </w:tc>
      </w:tr>
    </w:tbl>
    <w:p/>
    <w:p>
      <w:pPr>
        <w:spacing w:after="120"/>
      </w:pPr>
      <w:r>
        <w:t xml:space="preserve">The attention mechanism adds only </w:t>
      </w:r>
      <w:r>
        <w:rPr>
          <w:b/>
        </w:rPr>
        <w:t>524 544 parameters (&lt;1.2% overhead)</w:t>
      </w:r>
      <w:r/>
    </w:p>
    <w:p>
      <w:pPr>
        <w:spacing w:after="120"/>
      </w:pPr>
      <w:r>
        <w:t>while giving the decoder full dynamic access to all encoder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9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4_parameter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sz w:val="18"/>
        </w:rPr>
        <w:t>Figure A4 — Parameter breakdown: stacked bars and attention overhead</w:t>
      </w:r>
    </w:p>
    <w:p>
      <w:pPr>
        <w:spacing w:after="120"/>
      </w:pPr>
      <w:r>
        <w:t>*Figure A4: Left — stacked bar showing contribution of each component to total parameter count (Embedding 4.8M, Encoder BiLSTM 9.6M, Bridge 2.1M, Decoder LSTM 18.0M, Bottleneck+Output 9.3M). Right — donut showing the attention overhead (524,544 params) is only 1.2% of the total 44.3M.*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Weight Initialisation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Layer type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Init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nn.Linear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Xavier uniform; bias = 0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LSTM </w:t>
            </w:r>
            <w:r>
              <w:rPr>
                <w:rFonts w:ascii="Courier New" w:hAnsi="Courier New"/>
                <w:sz w:val="20"/>
              </w:rPr>
              <w:t>weight_ih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Xavier uniform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LSTM </w:t>
            </w:r>
            <w:r>
              <w:rPr>
                <w:rFonts w:ascii="Courier New" w:hAnsi="Courier New"/>
                <w:sz w:val="20"/>
              </w:rPr>
              <w:t>weight_hh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Orthogonal (Saxe 2013)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LSTM forget-gate bias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1.0 (Jozefowicz 2015)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Embedding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Pretrained FastText (not reset)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  <w:spacing w:before="200"/>
      </w:pPr>
      <w:r>
        <w:t>Appendix</w:t>
      </w:r>
    </w:p>
    <w:p>
      <w:pPr>
        <w:pStyle w:val="Heading2"/>
        <w:spacing w:before="200"/>
      </w:pPr>
      <w:r>
        <w:t>A. Glossary of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Term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Seq2Seq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Encoder–decoder architecture mapping a variable-length input sequence to a variable-length output sequence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BiLSTM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Bidirectional LSTM — runs two LSTMs in opposite directions over the input; each position sees both past and future context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Hidden state h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LSTM recurrent memory vector propagated across timesteps; encodes sequence history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Cell state c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LSTM long-term memory; gated separately from h; mitigates vanishing gradient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Bridge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Linear projection mapping encoder final states to decoder initial states; necessary because encoder is bidirectional (dim 512×2) while decoder is unidirectional (dim 1024)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Teacher forcing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During training, feeding the ground-truth previous token as decoder input instead of the model's own prediction; accelerates convergence but creates exposure bias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Exposure bias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Train/inference mismatch: model trained with teacher forcing but must use its own outputs at inference time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Bahdanau attention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Additive attention (Bahdanau et al., 2015); energy computed as </w:t>
            </w:r>
            <w:r>
              <w:rPr>
                <w:rFonts w:ascii="Courier New" w:hAnsi="Courier New"/>
                <w:sz w:val="20"/>
              </w:rPr>
              <w:t>v·tanh(W_enc·h_i + W_dec·s_t)</w:t>
            </w:r>
            <w:r>
              <w:t>; allows soft alignment between decoder state and all encoder positions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Context vector c_t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Weighted sum of encoder outputs; attention weights α_t determine contribution of each source position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BPE / SentencePiece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Byte-Pair Encoding tokeniser; splits rare words into subword units; vocabulary bounded to 16 000 tokens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Perplexity (PPL)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exp(cross-entropy loss)</w:t>
            </w:r>
            <w:r>
              <w:t>; measures how surprised the model is by the validation set; lower is better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Bottleneck projection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Linear(2048→512)</w:t>
            </w:r>
            <w:r>
              <w:t xml:space="preserve"> before the output head; reduces parameters from 32.8 M to 8.2 M for the final projection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Weight tying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Encoder and decoder share a single embedding matrix; reduces parameters by 4.8 M and improves generalisation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Orthogonal init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LSTM recurrent weights initialised as orthogonal matrices; preserves gradient norms through time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b/>
              </w:rPr>
              <w:t>Forget-gate bias = 1</w:t>
            </w:r>
            <w:r/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Initialising LSTM forget-gate bias to 1.0 encourages the network to remember inputs early in training (Jozefowicz et al., 2015)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B. Formal Equations</w:t>
      </w:r>
    </w:p>
    <w:p>
      <w:pPr>
        <w:pStyle w:val="Heading3"/>
        <w:spacing w:before="200"/>
      </w:pPr>
      <w:r>
        <w:t>B.1 LSTM Cell (single layer, single direction)</w:t>
      </w:r>
    </w:p>
    <w:p>
      <w:pPr>
        <w:spacing w:after="120"/>
      </w:pPr>
      <w:r>
        <w:t>$$</w:t>
      </w:r>
    </w:p>
    <w:p>
      <w:pPr>
        <w:spacing w:after="120"/>
      </w:pPr>
      <w:r>
        <w:t>\begin{aligned}</w:t>
      </w:r>
    </w:p>
    <w:p>
      <w:pPr>
        <w:spacing w:after="120"/>
      </w:pPr>
      <w:r>
        <w:t>i_t &amp;= \sigma(W_{ii} x_t + b_{ii} + W_{hi} h_{t-1} + b_{hi}) \\</w:t>
      </w:r>
    </w:p>
    <w:p>
      <w:pPr>
        <w:spacing w:after="120"/>
      </w:pPr>
      <w:r>
        <w:t>f_t &amp;= \sigma(W_{if} x_t + b_{if} + W_{hf} h_{t-1} + b_{hf}) \\</w:t>
      </w:r>
    </w:p>
    <w:p>
      <w:pPr>
        <w:spacing w:after="120"/>
      </w:pPr>
      <w:r>
        <w:t>g_t &amp;= \tanh(W_{ig} x_t + b_{ig} + W_{hg} h_{t-1} + b_{hg}) \\</w:t>
      </w:r>
    </w:p>
    <w:p>
      <w:pPr>
        <w:spacing w:after="120"/>
      </w:pPr>
      <w:r>
        <w:t>o_t &amp;= \sigma(W_{io} x_t + b_{io} + W_{ho} h_{t-1} + b_{ho}) \\</w:t>
      </w:r>
    </w:p>
    <w:p>
      <w:pPr>
        <w:spacing w:after="120"/>
      </w:pPr>
      <w:r>
        <w:t>c_t &amp;= f_t \odot c_{t-1} + i_t \odot g_t \\</w:t>
      </w:r>
    </w:p>
    <w:p>
      <w:pPr>
        <w:spacing w:after="120"/>
      </w:pPr>
      <w:r>
        <w:t>h_t &amp;= o_t \odot \tanh(c_t)</w:t>
      </w:r>
    </w:p>
    <w:p>
      <w:pPr>
        <w:spacing w:after="120"/>
      </w:pPr>
      <w:r>
        <w:t>\end{aligned}</w:t>
      </w:r>
    </w:p>
    <w:p>
      <w:pPr>
        <w:spacing w:after="120"/>
      </w:pPr>
      <w:r>
        <w:t>$$</w:t>
      </w:r>
    </w:p>
    <w:p>
      <w:pPr>
        <w:spacing w:after="120"/>
      </w:pPr>
      <w:r>
        <w:t xml:space="preserve">Parameter count per layer: </w:t>
      </w:r>
      <w:r>
        <w:rPr>
          <w:rFonts w:ascii="Courier New" w:hAnsi="Courier New"/>
          <w:sz w:val="20"/>
        </w:rPr>
        <w:t>4H(I + H) + 8H</w:t>
      </w:r>
      <w:r/>
    </w:p>
    <w:p>
      <w:pPr>
        <w:spacing w:after="120"/>
      </w:pPr>
      <w:r>
        <w:t>where I = input size, H = hidden size, the factor 4 covers {i, f, g, o} gates,</w:t>
      </w:r>
    </w:p>
    <w:p>
      <w:pPr>
        <w:spacing w:after="120"/>
      </w:pPr>
      <w:r>
        <w:t>and 8H covers four bias vectors (ih + hh).</w:t>
      </w:r>
    </w:p>
    <w:p>
      <w:pPr>
        <w:pStyle w:val="Heading3"/>
        <w:spacing w:before="200"/>
      </w:pPr>
      <w:r>
        <w:t>B.2 Bahdanau Attention</w:t>
      </w:r>
    </w:p>
    <w:p>
      <w:pPr>
        <w:spacing w:after="120"/>
      </w:pPr>
      <w:r>
        <w:t>$$</w:t>
      </w:r>
    </w:p>
    <w:p>
      <w:pPr>
        <w:spacing w:after="120"/>
      </w:pPr>
      <w:r>
        <w:t>e_{t,i} = \mathbf{v}^\top \tanh\!\left(W_{\text{enc}}\, h_i + W_{\text{dec}}\, s_t\right)</w:t>
      </w:r>
    </w:p>
    <w:p>
      <w:pPr>
        <w:spacing w:after="120"/>
      </w:pPr>
      <w:r>
        <w:t>$$</w:t>
      </w:r>
    </w:p>
    <w:p>
      <w:pPr>
        <w:spacing w:after="120"/>
      </w:pPr>
      <w:r>
        <w:t>$$</w:t>
      </w:r>
    </w:p>
    <w:p>
      <w:pPr>
        <w:spacing w:after="120"/>
      </w:pPr>
      <w:r>
        <w:t>\alpha_{t,i} = \frac{\exp(e_{t,i})}{\sum_j \exp(e_{t,j})} \quad \text{(padding masked to } {-\infty}\text{)}</w:t>
      </w:r>
    </w:p>
    <w:p>
      <w:pPr>
        <w:spacing w:after="120"/>
      </w:pPr>
      <w:r>
        <w:t>$$</w:t>
      </w:r>
    </w:p>
    <w:p>
      <w:pPr>
        <w:spacing w:after="120"/>
      </w:pPr>
      <w:r>
        <w:t>$$</w:t>
      </w:r>
    </w:p>
    <w:p>
      <w:pPr>
        <w:spacing w:after="120"/>
      </w:pPr>
      <w:r>
        <w:t>c_t = \sum_i \alpha_{t,i}\, h_i</w:t>
      </w:r>
    </w:p>
    <w:p>
      <w:pPr>
        <w:spacing w:after="120"/>
      </w:pPr>
      <w:r>
        <w:t>$$</w:t>
      </w:r>
    </w:p>
    <w:p>
      <w:pPr>
        <w:spacing w:after="120"/>
      </w:pPr>
      <w:r>
        <w:t>Dimensions: W_enc ∈ ℝ^{256×1024}, W_dec ∈ ℝ^{256×1024}, v ∈ ℝ^{256×1}</w:t>
      </w:r>
    </w:p>
    <w:p>
      <w:pPr>
        <w:spacing w:after="120"/>
      </w:pPr>
      <w:r/>
      <w:r>
        <w:rPr>
          <w:b/>
        </w:rPr>
        <w:t>Optimisation:</w:t>
      </w:r>
      <w:r>
        <w:t xml:space="preserve"> </w:t>
      </w:r>
      <w:r>
        <w:rPr>
          <w:rFonts w:ascii="Courier New" w:hAnsi="Courier New"/>
          <w:sz w:val="20"/>
        </w:rPr>
        <w:t>W_enc(encoder_outputs)</w:t>
      </w:r>
      <w:r>
        <w:t xml:space="preserve"> is precomputed once before the</w:t>
      </w:r>
    </w:p>
    <w:p>
      <w:pPr>
        <w:spacing w:after="120"/>
      </w:pPr>
      <w:r>
        <w:t>decode loop (cost: B × T_src × 1024 × 256), eliminating T_resp redundant</w:t>
      </w:r>
    </w:p>
    <w:p>
      <w:pPr>
        <w:spacing w:after="120"/>
      </w:pPr>
      <w:r>
        <w:t>matrix multiplications.</w:t>
      </w:r>
    </w:p>
    <w:p>
      <w:pPr>
        <w:pStyle w:val="Heading3"/>
        <w:spacing w:before="200"/>
      </w:pPr>
      <w:r>
        <w:t>B.3 Output Projection (both decoders)</w:t>
      </w:r>
    </w:p>
    <w:p>
      <w:pPr>
        <w:spacing w:after="120"/>
      </w:pPr>
      <w:r>
        <w:t>$$</w:t>
      </w:r>
    </w:p>
    <w:p>
      <w:pPr>
        <w:spacing w:after="120"/>
      </w:pPr>
      <w:r>
        <w:t>\hat{y}_t = W_{\text{out}}\,\tanh\!\left(W_{\text{proj}}\,\left[s_t;\, c_t\right]\right)</w:t>
      </w:r>
    </w:p>
    <w:p>
      <w:pPr>
        <w:spacing w:after="120"/>
      </w:pPr>
      <w:r>
        <w:t>$$</w:t>
      </w:r>
    </w:p>
    <w:p>
      <w:pPr>
        <w:spacing w:after="120"/>
      </w:pPr>
      <w:r>
        <w:t xml:space="preserve">where </w:t>
      </w:r>
      <w:r>
        <w:rPr>
          <w:rFonts w:ascii="Courier New" w:hAnsi="Courier New"/>
          <w:sz w:val="20"/>
        </w:rPr>
        <w:t>[s_t ; c_t] ∈ ℝ^{2048}</w:t>
      </w:r>
      <w:r>
        <w:t>, W_proj ∈ ℝ^{512×2048}, W_out ∈ ℝ^{16000×512}.</w:t>
      </w:r>
    </w:p>
    <w:p>
      <w:pPr>
        <w:pStyle w:val="Heading3"/>
        <w:spacing w:before="200"/>
      </w:pPr>
      <w:r>
        <w:t>B.4 Training Loss</w:t>
      </w:r>
    </w:p>
    <w:p>
      <w:pPr>
        <w:spacing w:after="120"/>
      </w:pPr>
      <w:r>
        <w:t>$$</w:t>
      </w:r>
    </w:p>
    <w:p>
      <w:pPr>
        <w:spacing w:after="120"/>
      </w:pPr>
      <w:r>
        <w:t>\mathcal{L} = -\frac{1}{N} \sum_{n=1}^{N} \sum_{t=1}^{T} \mathbf{1}[y_t \neq \texttt{&lt;pad&gt;}] \cdot \log p(y_t \mid y_{&lt;t}, X)</w:t>
      </w:r>
    </w:p>
    <w:p>
      <w:pPr>
        <w:spacing w:after="120"/>
      </w:pPr>
      <w:r>
        <w:t>$$</w:t>
      </w:r>
    </w:p>
    <w:p>
      <w:pPr>
        <w:spacing w:after="120"/>
      </w:pPr>
      <w:r>
        <w:t>Padding positions are masked before reduction. Label smoothing = 0.0 (off).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C. Full Forward-Pass Flow Diagrams</w:t>
      </w:r>
    </w:p>
    <w:p>
      <w:pPr>
        <w:pStyle w:val="Heading3"/>
        <w:spacing w:before="200"/>
      </w:pPr>
      <w:r>
        <w:t>C.1 Baseline — Complete Forward Pass</w:t>
      </w:r>
    </w:p>
    <w:p>
      <w:pPr>
        <w:spacing w:after="120"/>
      </w:pPr>
      <w:r>
        <w:t>See Figure A1 (overview) and Figure A2 (single decoder timestep) for the full data flow. The key operational sequence is:</w:t>
      </w:r>
    </w:p>
    <w:p>
      <w:pPr>
        <w:pStyle w:val="ListNumber"/>
        <w:spacing w:before="20" w:after="20"/>
      </w:pPr>
      <w:r/>
      <w:r>
        <w:rPr>
          <w:b/>
        </w:rPr>
        <w:t>Encoder</w:t>
      </w:r>
      <w:r>
        <w:t xml:space="preserve">: </w:t>
      </w:r>
      <w:r>
        <w:rPr>
          <w:rFonts w:ascii="Courier New" w:hAnsi="Courier New"/>
          <w:sz w:val="20"/>
        </w:rPr>
        <w:t>src_ids → Embedding → BiLSTM ×2</w:t>
      </w:r>
      <w:r>
        <w:t xml:space="preserve"> → </w:t>
      </w:r>
      <w:r>
        <w:rPr>
          <w:rFonts w:ascii="Courier New" w:hAnsi="Courier New"/>
          <w:sz w:val="20"/>
        </w:rPr>
        <w:t>encoder_outputs [B, T_src, 1024]</w:t>
      </w:r>
      <w:r>
        <w:t xml:space="preserve"> and </w:t>
      </w:r>
      <w:r>
        <w:rPr>
          <w:rFonts w:ascii="Courier New" w:hAnsi="Courier New"/>
          <w:sz w:val="20"/>
        </w:rPr>
        <w:t>h_n, c_n [4, B, 512]</w:t>
      </w:r>
      <w:r/>
    </w:p>
    <w:p>
      <w:pPr>
        <w:pStyle w:val="ListNumber"/>
        <w:spacing w:before="20" w:after="20"/>
      </w:pPr>
      <w:r/>
      <w:r>
        <w:rPr>
          <w:b/>
        </w:rPr>
        <w:t>Bridge</w:t>
      </w:r>
      <w:r>
        <w:t xml:space="preserve">: concatenate fwd/bwd final states per layer → </w:t>
      </w:r>
      <w:r>
        <w:rPr>
          <w:rFonts w:ascii="Courier New" w:hAnsi="Courier New"/>
          <w:sz w:val="20"/>
        </w:rPr>
        <w:t>Linear(1024→1024) → tanh</w:t>
      </w:r>
      <w:r>
        <w:t xml:space="preserve"> → </w:t>
      </w:r>
      <w:r>
        <w:rPr>
          <w:rFonts w:ascii="Courier New" w:hAnsi="Courier New"/>
          <w:sz w:val="20"/>
        </w:rPr>
        <w:t>h_0, c_0 [2, B, 1024]</w:t>
      </w:r>
      <w:r/>
    </w:p>
    <w:p>
      <w:pPr>
        <w:pStyle w:val="ListNumber"/>
        <w:spacing w:before="20" w:after="20"/>
      </w:pPr>
      <w:r/>
      <w:r>
        <w:rPr>
          <w:b/>
        </w:rPr>
        <w:t>Decoder loop</w:t>
      </w:r>
      <w:r>
        <w:t xml:space="preserve"> (T_trg steps): </w:t>
      </w:r>
      <w:r>
        <w:rPr>
          <w:rFonts w:ascii="Courier New" w:hAnsi="Courier New"/>
          <w:sz w:val="20"/>
        </w:rPr>
        <w:t>ctx_fixed = encoder_outputs[:, −1, :]</w:t>
      </w:r>
      <w:r>
        <w:t xml:space="preserve"> (constant), each step: </w:t>
      </w:r>
      <w:r>
        <w:rPr>
          <w:rFonts w:ascii="Courier New" w:hAnsi="Courier New"/>
          <w:sz w:val="20"/>
        </w:rPr>
        <w:t>cat([embed, ctx_fixed]) → LSTM → cat([s_t, ctx_fixed]) → bottleneck → logits</w:t>
      </w:r>
      <w:r/>
    </w:p>
    <w:p>
      <w:pPr>
        <w:pStyle w:val="ListNumber"/>
        <w:spacing w:before="20" w:after="20"/>
      </w:pPr>
      <w:r/>
      <w:r>
        <w:rPr>
          <w:b/>
        </w:rPr>
        <w:t>Loss</w:t>
      </w:r>
      <w:r>
        <w:t xml:space="preserve">: padded cross-entropy over </w:t>
      </w:r>
      <w:r>
        <w:rPr>
          <w:rFonts w:ascii="Courier New" w:hAnsi="Courier New"/>
          <w:sz w:val="20"/>
        </w:rPr>
        <w:t>logits [B, T_trg, 16000]</w:t>
      </w:r>
      <w:r/>
    </w:p>
    <w:p>
      <w:pPr>
        <w:pStyle w:val="Heading3"/>
        <w:spacing w:before="200"/>
      </w:pPr>
      <w:r>
        <w:t>C.2 Attention — Differences from Baseline</w:t>
      </w:r>
    </w:p>
    <w:p>
      <w:pPr>
        <w:spacing w:after="120"/>
      </w:pPr>
      <w:r>
        <w:t xml:space="preserve">See Figure A3 for the single-step attention data flow. The attention additions relative to the baseline (marked </w:t>
      </w:r>
      <w:r>
        <w:rPr>
          <w:rFonts w:ascii="Courier New" w:hAnsi="Courier New"/>
          <w:sz w:val="20"/>
        </w:rPr>
        <w:t>&gt;&gt;&gt;</w:t>
      </w:r>
      <w:r>
        <w:t>) are:</w:t>
      </w:r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&gt;&gt;&gt; keys = W_enc(encoder_outputs) [B, T_src, 256]</w:t>
      </w:r>
      <w:r>
        <w:t xml:space="preserve"> — precomputed once before the loop</w:t>
      </w:r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&gt;&gt;&gt; c_prev = zeros [B, 1024]</w:t>
      </w:r>
      <w:r>
        <w:t xml:space="preserve"> — initialised before the loop, carried forward each step</w:t>
      </w:r>
    </w:p>
    <w:p>
      <w:pPr>
        <w:pStyle w:val="ListBullet"/>
        <w:spacing w:before="20" w:after="20"/>
      </w:pPr>
      <w:r>
        <w:t xml:space="preserve">Each step: </w:t>
      </w:r>
      <w:r>
        <w:rPr>
          <w:rFonts w:ascii="Courier New" w:hAnsi="Courier New"/>
          <w:sz w:val="20"/>
        </w:rPr>
        <w:t>embed</w:t>
      </w:r>
      <w:r>
        <w:t xml:space="preserve"> concatenated with </w:t>
      </w:r>
      <w:r>
        <w:rPr>
          <w:rFonts w:ascii="Courier New" w:hAnsi="Courier New"/>
          <w:sz w:val="20"/>
        </w:rPr>
        <w:t>c_prev</w:t>
      </w:r>
      <w:r>
        <w:t xml:space="preserve"> (not </w:t>
      </w:r>
      <w:r>
        <w:rPr>
          <w:rFonts w:ascii="Courier New" w:hAnsi="Courier New"/>
          <w:sz w:val="20"/>
        </w:rPr>
        <w:t>ctx_fixed</w:t>
      </w:r>
      <w:r>
        <w:t>) as LSTM input</w:t>
      </w:r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&gt;&gt;&gt; query = W_dec(h[-1]) → [B, 256]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&gt;&gt;&gt; energy = v(tanh(keys + query.unsqueeze(1))) → [B, T_src, 1]</w:t>
      </w:r>
      <w:r>
        <w:t xml:space="preserve"> then pad-masked and softmaxed to </w:t>
      </w:r>
      <w:r>
        <w:rPr>
          <w:rFonts w:ascii="Courier New" w:hAnsi="Courier New"/>
          <w:sz w:val="20"/>
        </w:rPr>
        <w:t>α_t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&gt;&gt;&gt; c_t = (α_t × encoder_outputs).sum(dim=1) → [B, 1024]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sz w:val="20"/>
        </w:rPr>
        <w:t>c_prev = c_t</w:t>
      </w:r>
      <w:r>
        <w:t xml:space="preserve"> at end of each step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D. Design Decisions and Rationale</w:t>
      </w:r>
    </w:p>
    <w:p>
      <w:pPr>
        <w:spacing w:after="120"/>
      </w:pPr>
      <w:r/>
      <w:r>
        <w:rPr>
          <w:b/>
        </w:rPr>
        <w:t>Why bidirectional encoder but unidirectional decoder?</w:t>
      </w:r>
      <w:r/>
    </w:p>
    <w:p>
      <w:pPr>
        <w:spacing w:after="120"/>
      </w:pPr>
      <w:r>
        <w:t>The encoder reads a *complete* context sequence — bidirectionality allows</w:t>
      </w:r>
    </w:p>
    <w:p>
      <w:pPr>
        <w:spacing w:after="120"/>
      </w:pPr>
      <w:r>
        <w:t>each position to attend to both past and future tokens, producing richer</w:t>
      </w:r>
    </w:p>
    <w:p>
      <w:pPr>
        <w:spacing w:after="120"/>
      </w:pPr>
      <w:r>
        <w:t>representations. The decoder generates tokens *autoregressively* (one at a</w:t>
      </w:r>
    </w:p>
    <w:p>
      <w:pPr>
        <w:spacing w:after="120"/>
      </w:pPr>
      <w:r>
        <w:t>time, left to right), so future tokens are unavailable; bidirectionality</w:t>
      </w:r>
    </w:p>
    <w:p>
      <w:pPr>
        <w:spacing w:after="120"/>
      </w:pPr>
      <w:r>
        <w:t>is inapplicable.</w:t>
      </w:r>
    </w:p>
    <w:p>
      <w:pPr>
        <w:spacing w:after="120"/>
      </w:pPr>
      <w:r/>
      <w:r>
        <w:rPr>
          <w:b/>
        </w:rPr>
        <w:t>Why the 2048→512 bottleneck before the output head?</w:t>
      </w:r>
      <w:r/>
    </w:p>
    <w:p>
      <w:pPr>
        <w:spacing w:after="120"/>
      </w:pPr>
      <w:r>
        <w:t xml:space="preserve">A direct </w:t>
      </w:r>
      <w:r>
        <w:rPr>
          <w:rFonts w:ascii="Courier New" w:hAnsi="Courier New"/>
          <w:sz w:val="20"/>
        </w:rPr>
        <w:t>Linear(2048, 16 000)</w:t>
      </w:r>
      <w:r>
        <w:t xml:space="preserve"> would cost 32.8 M parameters — 75% of the</w:t>
      </w:r>
    </w:p>
    <w:p>
      <w:pPr>
        <w:spacing w:after="120"/>
      </w:pPr>
      <w:r>
        <w:t>entire baseline model — for a single projection. The bottleneck reduces this</w:t>
      </w:r>
    </w:p>
    <w:p>
      <w:pPr>
        <w:spacing w:after="120"/>
      </w:pPr>
      <w:r>
        <w:t>to 1.05 M + 8.21 M = 9.26 M (72% saving) with a tanh non-linearity that</w:t>
      </w:r>
    </w:p>
    <w:p>
      <w:pPr>
        <w:spacing w:after="120"/>
      </w:pPr>
      <w:r>
        <w:t>also enriches the representation before vocabulary scoring.</w:t>
      </w:r>
    </w:p>
    <w:p>
      <w:pPr>
        <w:spacing w:after="120"/>
      </w:pPr>
      <w:r/>
      <w:r>
        <w:rPr>
          <w:b/>
        </w:rPr>
        <w:t>Why shared embeddings?</w:t>
      </w:r>
      <w:r/>
    </w:p>
    <w:p>
      <w:pPr>
        <w:spacing w:after="120"/>
      </w:pPr>
      <w:r>
        <w:t>Source and target are in the same language (English). Sharing the 4.8 M</w:t>
      </w:r>
    </w:p>
    <w:p>
      <w:pPr>
        <w:spacing w:after="120"/>
      </w:pPr>
      <w:r>
        <w:t>embedding matrix enforces consistent token representations across encoder</w:t>
      </w:r>
    </w:p>
    <w:p>
      <w:pPr>
        <w:spacing w:after="120"/>
      </w:pPr>
      <w:r>
        <w:t>and decoder, reduces parameters, and has been shown to improve translation</w:t>
      </w:r>
    </w:p>
    <w:p>
      <w:pPr>
        <w:spacing w:after="120"/>
      </w:pPr>
      <w:r>
        <w:t>quality in same-language seq2seq tasks (Press &amp; Wolf, 2017).</w:t>
      </w:r>
    </w:p>
    <w:p>
      <w:pPr>
        <w:spacing w:after="120"/>
      </w:pPr>
      <w:r/>
      <w:r>
        <w:rPr>
          <w:b/>
        </w:rPr>
        <w:t>Why attn_dim = 256 (not 512 or 1024)?</w:t>
      </w:r>
      <w:r/>
    </w:p>
    <w:p>
      <w:pPr>
        <w:spacing w:after="120"/>
      </w:pPr>
      <w:r>
        <w:t>The attention energy computation is a bottleneck projection: projecting both</w:t>
      </w:r>
    </w:p>
    <w:p>
      <w:pPr>
        <w:spacing w:after="120"/>
      </w:pPr>
      <w:r>
        <w:t>encoder and decoder states to a lower-dimensional space before computing</w:t>
      </w:r>
    </w:p>
    <w:p>
      <w:pPr>
        <w:spacing w:after="120"/>
      </w:pPr>
      <w:r>
        <w:t>compatibility. 256 dimensions empirically balances expressiveness against</w:t>
      </w:r>
    </w:p>
    <w:p>
      <w:pPr>
        <w:spacing w:after="120"/>
      </w:pPr>
      <w:r>
        <w:t>the cost of computing attention over T_src positions at every decoder step.</w:t>
      </w:r>
    </w:p>
    <w:p>
      <w:pPr>
        <w:spacing w:after="120"/>
      </w:pPr>
      <w:r/>
      <w:r>
        <w:rPr>
          <w:b/>
        </w:rPr>
        <w:t>Why Bahdanau attention and not Luong attention?</w:t>
      </w:r>
      <w:r/>
    </w:p>
    <w:p>
      <w:pPr>
        <w:spacing w:after="120"/>
      </w:pPr>
      <w:r>
        <w:t>The two mechanisms differ in three fundamental ways: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7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5_bahdanau_vs_lu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sz w:val="18"/>
        </w:rPr>
        <w:t>Figure A5 — Bahdanau vs Luong attention design comparison</w:t>
      </w:r>
    </w:p>
    <w:p>
      <w:pPr>
        <w:spacing w:after="120"/>
      </w:pPr>
      <w:r>
        <w:t>*Figure A5: Side-by-side comparison of the two attention mechanisms across five design dimensions. Green cells indicate the Bahdanau advantage; the yellow cell highlights the Luong softmax saturation risk at 1024-d without explicit √d scaling.*</w:t>
      </w:r>
    </w:p>
    <w:p>
      <w:pPr>
        <w:spacing w:after="120"/>
      </w:pPr>
      <w:r>
        <w:t>Four reasons drove the choice of Bahdanau for this model:</w:t>
      </w:r>
    </w:p>
    <w:p>
      <w:pPr>
        <w:pStyle w:val="ListNumber"/>
        <w:spacing w:before="20" w:after="20"/>
      </w:pPr>
      <w:r/>
      <w:r>
        <w:rPr>
          <w:b/>
        </w:rPr>
        <w:t>Avoids softmax saturation.</w:t>
      </w:r>
      <w:r>
        <w:t xml:space="preserve"> Luong dot-product computes</w:t>
      </w:r>
    </w:p>
    <w:p>
      <w:pPr>
        <w:spacing w:after="120"/>
      </w:pPr>
      <w:r/>
      <w:r>
        <w:rPr>
          <w:rFonts w:ascii="Courier New" w:hAnsi="Courier New"/>
          <w:sz w:val="20"/>
        </w:rPr>
        <w:t>s_t · h_i</w:t>
      </w:r>
      <w:r>
        <w:t xml:space="preserve"> where both vectors are 1024-dimensional. Large inner</w:t>
      </w:r>
    </w:p>
    <w:p>
      <w:pPr>
        <w:spacing w:after="120"/>
      </w:pPr>
      <w:r>
        <w:t>products push the softmax into near-zero-gradient regions, making</w:t>
      </w:r>
    </w:p>
    <w:p>
      <w:pPr>
        <w:spacing w:after="120"/>
      </w:pPr>
      <w:r>
        <w:t>alignment learning slow. Bahdanau projects both to 256-d before</w:t>
      </w:r>
    </w:p>
    <w:p>
      <w:pPr>
        <w:spacing w:after="120"/>
      </w:pPr>
      <w:r>
        <w:t>scoring, keeping energy values in a stable range without needing</w:t>
      </w:r>
    </w:p>
    <w:p>
      <w:pPr>
        <w:spacing w:after="120"/>
      </w:pPr>
      <w:r>
        <w:t>explicit scaling (cf. the √d scaling added in Transformers for</w:t>
      </w:r>
    </w:p>
    <w:p>
      <w:pPr>
        <w:spacing w:after="120"/>
      </w:pPr>
      <w:r>
        <w:t>exactly this reason).</w:t>
      </w:r>
    </w:p>
    <w:p>
      <w:pPr>
        <w:pStyle w:val="ListNumber"/>
        <w:spacing w:before="20" w:after="20"/>
      </w:pPr>
      <w:r/>
      <w:r>
        <w:rPr>
          <w:b/>
        </w:rPr>
        <w:t>More expressive alignment.</w:t>
      </w:r>
      <w:r>
        <w:t xml:space="preserve"> The additive MLP</w:t>
      </w:r>
    </w:p>
    <w:p>
      <w:pPr>
        <w:spacing w:after="120"/>
      </w:pPr>
      <w:r/>
      <w:r>
        <w:rPr>
          <w:rFonts w:ascii="Courier New" w:hAnsi="Courier New"/>
          <w:sz w:val="20"/>
        </w:rPr>
        <w:t>v·tanh(W_enc·h_i + W_dec·s)</w:t>
      </w:r>
      <w:r>
        <w:t xml:space="preserve"> learns a non-linear compatibility</w:t>
      </w:r>
    </w:p>
    <w:p>
      <w:pPr>
        <w:spacing w:after="120"/>
      </w:pPr>
      <w:r>
        <w:t>function. For technical IRC chat — where a short question may align</w:t>
      </w:r>
    </w:p>
    <w:p>
      <w:pPr>
        <w:spacing w:after="120"/>
      </w:pPr>
      <w:r>
        <w:t>to a specific command token buried in a long multi-turn context —</w:t>
      </w:r>
    </w:p>
    <w:p>
      <w:pPr>
        <w:spacing w:after="120"/>
      </w:pPr>
      <w:r>
        <w:t>this extra expressiveness matters more than for clean parallel text.</w:t>
      </w:r>
    </w:p>
    <w:p>
      <w:pPr>
        <w:pStyle w:val="ListNumber"/>
        <w:spacing w:before="20" w:after="20"/>
      </w:pPr>
      <w:r/>
      <w:r>
        <w:rPr>
          <w:b/>
        </w:rPr>
        <w:t>Cleaner information flow.</w:t>
      </w:r>
      <w:r>
        <w:t xml:space="preserve"> Bahdanau attends using </w:t>
      </w:r>
      <w:r>
        <w:rPr>
          <w:rFonts w:ascii="Courier New" w:hAnsi="Courier New"/>
          <w:sz w:val="20"/>
        </w:rPr>
        <w:t>s_{t-1}</w:t>
      </w:r>
      <w:r/>
    </w:p>
    <w:p>
      <w:pPr>
        <w:spacing w:after="120"/>
      </w:pPr>
      <w:r>
        <w:t>(the state *before* the current step), so the context vector</w:t>
      </w:r>
    </w:p>
    <w:p>
      <w:pPr>
        <w:spacing w:after="120"/>
      </w:pPr>
      <w:r>
        <w:t>informs what the LSTM should compute next. Luong attends using</w:t>
      </w:r>
    </w:p>
    <w:p>
      <w:pPr>
        <w:spacing w:after="120"/>
      </w:pPr>
      <w:r/>
      <w:r>
        <w:rPr>
          <w:rFonts w:ascii="Courier New" w:hAnsi="Courier New"/>
          <w:sz w:val="20"/>
        </w:rPr>
        <w:t>s_t</w:t>
      </w:r>
      <w:r>
        <w:t xml:space="preserve"> (the state *after* the LSTM step), meaning the LSTM runs</w:t>
      </w:r>
    </w:p>
    <w:p>
      <w:pPr>
        <w:spacing w:after="120"/>
      </w:pPr>
      <w:r>
        <w:t>first without seeing the context — the context only rescores the</w:t>
      </w:r>
    </w:p>
    <w:p>
      <w:pPr>
        <w:spacing w:after="120"/>
      </w:pPr>
      <w:r>
        <w:t>output. For generation tasks, attending before the recurrent step</w:t>
      </w:r>
    </w:p>
    <w:p>
      <w:pPr>
        <w:spacing w:after="120"/>
      </w:pPr>
      <w:r>
        <w:t>aligns better with how humans read context before formulating a reply.</w:t>
      </w:r>
    </w:p>
    <w:p>
      <w:pPr>
        <w:pStyle w:val="ListNumber"/>
        <w:spacing w:before="20" w:after="20"/>
      </w:pPr>
      <w:r/>
      <w:r>
        <w:rPr>
          <w:b/>
        </w:rPr>
        <w:t>Consistent with published seq2seq chatbot baselines.</w:t>
      </w:r>
      <w:r>
        <w:t xml:space="preserve"> The</w:t>
      </w:r>
    </w:p>
    <w:p>
      <w:pPr>
        <w:spacing w:after="120"/>
      </w:pPr>
      <w:r>
        <w:t>Ubuntu Dialogue Corpus benchmarks (Lowe et al., 2015; Shang et al.,</w:t>
      </w:r>
    </w:p>
    <w:p>
      <w:pPr>
        <w:spacing w:after="120"/>
      </w:pPr>
      <w:r>
        <w:t>2015) predominantly use additive attention, making results directly</w:t>
      </w:r>
    </w:p>
    <w:p>
      <w:pPr>
        <w:spacing w:after="120"/>
      </w:pPr>
      <w:r>
        <w:t>comparable. Luong attention is more common in NMT literature where</w:t>
      </w:r>
    </w:p>
    <w:p>
      <w:pPr>
        <w:spacing w:after="120"/>
      </w:pPr>
      <w:r>
        <w:t>the dot-product efficiency matters at large scale — less relevant</w:t>
      </w:r>
    </w:p>
    <w:p>
      <w:pPr>
        <w:spacing w:after="120"/>
      </w:pPr>
      <w:r>
        <w:t>here at 44 M parameters on a single GPU.</w:t>
      </w:r>
    </w:p>
    <w:p>
      <w:pPr>
        <w:spacing w:after="120"/>
      </w:pPr>
      <w:r/>
      <w:r>
        <w:rPr>
          <w:b/>
        </w:rPr>
        <w:t>Why no layer normalisation or residual connections?</w:t>
      </w:r>
      <w:r/>
    </w:p>
    <w:p>
      <w:pPr>
        <w:spacing w:after="120"/>
      </w:pPr>
      <w:r>
        <w:t>The model is deliberately compact (44 M parameters) and LSTM-based. Layer</w:t>
      </w:r>
    </w:p>
    <w:p>
      <w:pPr>
        <w:spacing w:after="120"/>
      </w:pPr>
      <w:r>
        <w:t>norm and residuals are most impactful in very deep or Transformer</w:t>
      </w:r>
    </w:p>
    <w:p>
      <w:pPr>
        <w:spacing w:after="120"/>
      </w:pPr>
      <w:r>
        <w:t>architectures where gradient flow is the primary challenge. For 2-layer</w:t>
      </w:r>
    </w:p>
    <w:p>
      <w:pPr>
        <w:spacing w:after="120"/>
      </w:pPr>
      <w:r>
        <w:t>LSTMs, orthogonal init + forget-gate bias = 1 adequately addresses gradient</w:t>
      </w:r>
    </w:p>
    <w:p>
      <w:pPr>
        <w:spacing w:after="120"/>
      </w:pPr>
      <w:r>
        <w:t>flow, and adding norm layers would increase training complexity without</w:t>
      </w:r>
    </w:p>
    <w:p>
      <w:pPr>
        <w:spacing w:after="120"/>
      </w:pPr>
      <w:r>
        <w:t>clear benefit at this scale.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