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Customer onboarding and service acceptance</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2026-02-20</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2026-02-20</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Kickoff scheduling and readiness</w:t>
      </w:r>
    </w:p>
    <w:p>
      <w:pPr>
        <w:spacing w:after="150" w:line="276"/>
      </w:pPr>
      <w:r>
        <w:t xml:space="preserve">Schedule the customer kickoff within ten business days after signature. Collect tenant domain and administrator contact.</w:t>
      </w:r>
    </w:p>
    <w:p>
      <w:pPr>
        <w:spacing w:after="150" w:line="276"/>
      </w:pPr>
      <w:r>
        <w:t xml:space="preserve">Customer Success opens an onboarding record once Sales uploads the executed order and hands over the commercial scope. Riley Foster owns scheduling and records the signature date, customer timezone, delivery lead and nominated tenant administrator. Reserve a 45-minute session and ask the customer to bring the person who can approve domain changes.</w:t>
      </w:r>
    </w:p>
    <w:p>
      <w:pPr>
        <w:spacing w:after="150" w:line="276"/>
      </w:pPr>
      <w:r>
        <w:t xml:space="preserve">The invitation contains the agreed scope, a proposed migration window, the readiness questionnaire and the customer action list. If the customer declines every slot within the target window, record the offered dates and the customer's requested alternative. Do not treat customer unavailability as a reason to omit the kickoff record.</w:t>
      </w:r>
    </w:p>
    <w:p>
      <w:pPr>
        <w:spacing w:after="150" w:line="276"/>
      </w:pPr>
      <w:r>
        <w:t xml:space="preserve">Before the meeting, Delivery checks the mailbox count, identity provider, shared mailbox ownership and any third-party archival dependency. The kickoff ends with named owners for discovery, security approval and pilot participation. Unresolved prerequisites stay visible in the readiness register; a calendar invitation alone is not evidence of readiness.</w:t>
      </w:r>
    </w:p>
    <w:p>
      <w:pPr>
        <w:pStyle w:val="Heading1"/>
      </w:pPr>
      <w:r>
        <w:t xml:space="preserve">Security and migration approval</w:t>
      </w:r>
    </w:p>
    <w:p>
      <w:pPr>
        <w:spacing w:after="150" w:line="276"/>
      </w:pPr>
      <w:r>
        <w:t xml:space="preserve">Complete security checks before granting tenant access. Document the approved migration scope.</w:t>
      </w:r>
    </w:p>
    <w:p>
      <w:pPr>
        <w:spacing w:after="150" w:line="276"/>
      </w:pPr>
      <w:r>
        <w:t xml:space="preserve">Alex Rivera, the delivery lead, verifies domain ownership and obtains the customer's written approval for the migration permissions. Use a dedicated migration identity with an agreed expiry date. Do not request the customer's permanent administrator password in a spreadsheet, email or meeting transcript.</w:t>
      </w:r>
    </w:p>
    <w:p>
      <w:pPr>
        <w:spacing w:after="150" w:line="276"/>
      </w:pPr>
      <w:r>
        <w:t xml:space="preserve">The security checklist covers MFA, least privilege, data location requirements, retention instructions, rollback access and the removal of temporary accounts. A discovery export must show the affected tenant and the date of collection. A security exception requires the customer security owner and internal service owner to agree the compensating control before the pilot.</w:t>
      </w:r>
    </w:p>
    <w:p>
      <w:pPr>
        <w:spacing w:after="150" w:line="276"/>
      </w:pPr>
      <w:r>
        <w:t xml:space="preserve">The migration scope lists included mailboxes, shared resources and exclusions. Legal holds and third-party archives receive a separate disposition. The delivery lead stops scheduling a production cutover when access approval or data handling remains unresolved, even if Sales has already suggested a launch date.</w:t>
      </w:r>
    </w:p>
    <w:p>
      <w:pPr>
        <w:pStyle w:val="Heading1"/>
      </w:pPr>
      <w:r>
        <w:t xml:space="preserve">Launch acceptance and support handoff</w:t>
      </w:r>
    </w:p>
    <w:p>
      <w:pPr>
        <w:spacing w:after="150" w:line="276"/>
      </w:pPr>
      <w:r>
        <w:t xml:space="preserve">Hand the support runbook to the customer success owner after launch.</w:t>
      </w:r>
    </w:p>
    <w:p>
      <w:pPr>
        <w:spacing w:after="150" w:line="276"/>
      </w:pPr>
      <w:r>
        <w:t xml:space="preserve">The acceptance pack contains the completed migration reconciliation, unresolved issues, customer administrator training attendance and the rollback closure decision. Customer Success obtains written acceptance or records a qualified acceptance with the specific residual items and owners.</w:t>
      </w:r>
    </w:p>
    <w:p>
      <w:pPr>
        <w:spacing w:after="150" w:line="276"/>
      </w:pPr>
      <w:r>
        <w:t xml:space="preserve">During the first five working days after cutover, Delivery owns migration defects and Customer Success owns adoption questions. The support runbook identifies the tenant, support hours, escalation contact and any customer-specific commercial exceptions. Link the applicable service schedule; do not copy a response-time promise from an unsigned proposal.</w:t>
      </w:r>
    </w:p>
    <w:p>
      <w:pPr>
        <w:spacing w:after="150" w:line="276"/>
      </w:pPr>
      <w:r>
        <w:t xml:space="preserve">At the handoff meeting, the support owner demonstrates where to find access approvals and recovery evidence. Customer Success then closes the onboarding record, retaining the signed scope and acceptance message. A reopened migration defect refers to the same engagement identifier so that support volume is not mistaken for a new implementation.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onboarding and service acceptance</dc:title>
  <dc:creator>Cloudasta Demo</dc:creator>
  <cp:lastModifiedBy>Un-named</cp:lastModifiedBy>
  <cp:revision>1</cp:revision>
  <dcterms:created xsi:type="dcterms:W3CDTF">2026-10-12T01:16:58.954Z</dcterms:created>
  <dcterms:modified xsi:type="dcterms:W3CDTF">2026-10-12T01:16:58.954Z</dcterms:modified>
</cp:coreProperties>
</file>

<file path=docProps/custom.xml><?xml version="1.0" encoding="utf-8"?>
<Properties xmlns="http://schemas.openxmlformats.org/officeDocument/2006/custom-properties" xmlns:vt="http://schemas.openxmlformats.org/officeDocument/2006/docPropsVTypes"/>
</file>