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Workspace access procedure
Revision 2.0</w:t>
      </w:r>
    </w:p>
    <w:p>
      <w:pPr>
        <w:spacing w:after="150" w:line="276"/>
      </w:pPr>
      <w:r>
        <w:t xml:space="preserve">CLOUDASTA  /  SERVICE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1F4F6" w:val="clear"/>
            <w:tcMar>
              <w:top w:type="dxa" w:w="100"/>
              <w:left w:type="dxa" w:w="130"/>
              <w:bottom w:type="dxa" w:w="100"/>
              <w:right w:type="dxa" w:w="130"/>
            </w:tcMar>
          </w:tcPr>
          <w:p>
            <w:pPr>
              <w:spacing w:after="150" w:line="276"/>
            </w:pPr>
            <w:r>
              <w:t xml:space="preserve">Document owner</w:t>
            </w:r>
          </w:p>
        </w:tc>
        <w:tc>
          <w:tcPr>
            <w:tcW w:type="dxa" w:w="6760"/>
            <w:shd w:fill="FFFFFF" w:val="clear"/>
            <w:tcMar>
              <w:top w:type="dxa" w:w="100"/>
              <w:left w:type="dxa" w:w="130"/>
              <w:bottom w:type="dxa" w:w="100"/>
              <w:right w:type="dxa" w:w="130"/>
            </w:tcMar>
          </w:tcPr>
          <w:p>
            <w:pPr>
              <w:spacing w:after="150" w:line="276"/>
            </w:pPr>
            <w:r>
              <w:t xml:space="preserve">Jordan Ellis</w:t>
            </w:r>
          </w:p>
        </w:tc>
      </w:tr>
      <w:tr>
        <w:tc>
          <w:tcPr>
            <w:tcW w:type="dxa" w:w="2600"/>
            <w:shd w:fill="F1F4F6" w:val="clear"/>
            <w:tcMar>
              <w:top w:type="dxa" w:w="100"/>
              <w:left w:type="dxa" w:w="130"/>
              <w:bottom w:type="dxa" w:w="100"/>
              <w:right w:type="dxa" w:w="130"/>
            </w:tcMar>
          </w:tcPr>
          <w:p>
            <w:pPr>
              <w:spacing w:after="150" w:line="276"/>
            </w:pPr>
            <w:r>
              <w:t xml:space="preserve">Business date</w:t>
            </w:r>
          </w:p>
        </w:tc>
        <w:tc>
          <w:tcPr>
            <w:tcW w:type="dxa" w:w="6760"/>
            <w:shd w:fill="FFFFFF" w:val="clear"/>
            <w:tcMar>
              <w:top w:type="dxa" w:w="100"/>
              <w:left w:type="dxa" w:w="130"/>
              <w:bottom w:type="dxa" w:w="100"/>
              <w:right w:type="dxa" w:w="130"/>
            </w:tcMar>
          </w:tcPr>
          <w:p>
            <w:pPr>
              <w:spacing w:after="150" w:line="276"/>
            </w:pPr>
            <w:r>
              <w:t xml:space="preserve">2026-09-10</w:t>
            </w:r>
          </w:p>
        </w:tc>
      </w:tr>
      <w:tr>
        <w:tc>
          <w:tcPr>
            <w:tcW w:type="dxa" w:w="2600"/>
            <w:shd w:fill="F1F4F6" w:val="clear"/>
            <w:tcMar>
              <w:top w:type="dxa" w:w="100"/>
              <w:left w:type="dxa" w:w="130"/>
              <w:bottom w:type="dxa" w:w="100"/>
              <w:right w:type="dxa" w:w="130"/>
            </w:tcMar>
          </w:tcPr>
          <w:p>
            <w:pPr>
              <w:spacing w:after="150" w:line="276"/>
            </w:pPr>
            <w:r>
              <w:t xml:space="preserve">Approval</w:t>
            </w:r>
          </w:p>
        </w:tc>
        <w:tc>
          <w:tcPr>
            <w:tcW w:type="dxa" w:w="6760"/>
            <w:shd w:fill="FFFFFF" w:val="clear"/>
            <w:tcMar>
              <w:top w:type="dxa" w:w="100"/>
              <w:left w:type="dxa" w:w="130"/>
              <w:bottom w:type="dxa" w:w="100"/>
              <w:right w:type="dxa" w:w="130"/>
            </w:tcMar>
          </w:tcPr>
          <w:p>
            <w:pPr>
              <w:spacing w:after="150" w:line="276"/>
            </w:pPr>
            <w:r>
              <w:t xml:space="preserve">Approved by the service owner</w:t>
            </w:r>
          </w:p>
        </w:tc>
      </w:tr>
      <w:tr>
        <w:tc>
          <w:tcPr>
            <w:tcW w:type="dxa" w:w="2600"/>
            <w:shd w:fill="F1F4F6" w:val="clear"/>
            <w:tcMar>
              <w:top w:type="dxa" w:w="100"/>
              <w:left w:type="dxa" w:w="130"/>
              <w:bottom w:type="dxa" w:w="100"/>
              <w:right w:type="dxa" w:w="130"/>
            </w:tcMar>
          </w:tcPr>
          <w:p>
            <w:pPr>
              <w:spacing w:after="150" w:line="276"/>
            </w:pPr>
            <w:r>
              <w:t xml:space="preserve">Effective date</w:t>
            </w:r>
          </w:p>
        </w:tc>
        <w:tc>
          <w:tcPr>
            <w:tcW w:type="dxa" w:w="6760"/>
            <w:shd w:fill="FFFFFF" w:val="clear"/>
            <w:tcMar>
              <w:top w:type="dxa" w:w="100"/>
              <w:left w:type="dxa" w:w="130"/>
              <w:bottom w:type="dxa" w:w="100"/>
              <w:right w:type="dxa" w:w="130"/>
            </w:tcMar>
          </w:tcPr>
          <w:p>
            <w:pPr>
              <w:spacing w:after="150" w:line="276"/>
            </w:pPr>
            <w:r>
              <w:t xml:space="preserve">2026-09-10</w:t>
            </w:r>
          </w:p>
        </w:tc>
      </w:tr>
      <w:tr>
        <w:tc>
          <w:tcPr>
            <w:tcW w:type="dxa" w:w="2600"/>
            <w:shd w:fill="F1F4F6" w:val="clear"/>
            <w:tcMar>
              <w:top w:type="dxa" w:w="100"/>
              <w:left w:type="dxa" w:w="130"/>
              <w:bottom w:type="dxa" w:w="100"/>
              <w:right w:type="dxa" w:w="130"/>
            </w:tcMar>
          </w:tcPr>
          <w:p>
            <w:pPr>
              <w:spacing w:after="150" w:line="276"/>
            </w:pPr>
            <w:r>
              <w:t xml:space="preserve">Classification</w:t>
            </w:r>
          </w:p>
        </w:tc>
        <w:tc>
          <w:tcPr>
            <w:tcW w:type="dxa" w:w="6760"/>
            <w:shd w:fill="FFFFFF" w:val="clear"/>
            <w:tcMar>
              <w:top w:type="dxa" w:w="100"/>
              <w:left w:type="dxa" w:w="130"/>
              <w:bottom w:type="dxa" w:w="100"/>
              <w:right w:type="dxa" w:w="130"/>
            </w:tcMar>
          </w:tcPr>
          <w:p>
            <w:pPr>
              <w:spacing w:after="150" w:line="276"/>
            </w:pPr>
            <w:r>
              <w:t xml:space="preserve">Internal operations · fictional demonstration</w:t>
            </w:r>
          </w:p>
        </w:tc>
      </w:tr>
    </w:tbl>
    <w:p>
      <w:pPr>
        <w:spacing w:after="150" w:line="276"/>
      </w:pPr>
      <w:r>
        <w:t xml:space="preserve">Purpose: define the operational steps, accountable owners and evidence needed for this procedure. This record belongs to a wholly fictional customer and operations dataset.</w:t>
      </w:r>
    </w:p>
    <w:p>
      <w:pPr>
        <w:pStyle w:val="Heading1"/>
      </w:pPr>
      <w:r>
        <w:t xml:space="preserve">Account requests and provisioning</w:t>
      </w:r>
    </w:p>
    <w:p>
      <w:pPr>
        <w:spacing w:after="150" w:line="276"/>
      </w:pPr>
      <w:r>
        <w:t xml:space="preserve">Provision a workspace account within two business days after approval. Account enablement requires the employee roster.</w:t>
      </w:r>
    </w:p>
    <w:p>
      <w:pPr>
        <w:spacing w:after="150" w:line="276"/>
      </w:pPr>
      <w:r>
        <w:t xml:space="preserve">The service desk starts the clock when the request contains a manager approval, legal name, employee identifier, start date, location and requested access profile. Morgan Chen owns the queue; a named deputy checks it at 09:00, 12:00 and 15:00 UTC each working day. A request received after 15:00 UTC enters the following working day's queue. Missing details return to the requester with the specific field identified; the ticket remains open rather than silently restarting the clock.</w:t>
      </w:r>
    </w:p>
    <w:p>
      <w:pPr>
        <w:spacing w:after="150" w:line="276"/>
      </w:pPr>
      <w:r>
        <w:t xml:space="preserve">1. Match the approved employee roster against the tenant directory. Check for an existing suspended account before creating a second identity.
2. Apply the standard employee license, require MFA at first sign-in, and assign only the department groups listed in the approval. Administrator access requires a separate ticket and a second approver.
3. Send the activation instructions through the approved onboarding channel. Never put a temporary password in a shared document.
4. Record the request time, approver, account identifier and completion time in the access register. A failed activation stays assigned to the service desk until the employee confirms a successful sign-in.</w:t>
      </w:r>
    </w:p>
    <w:p>
      <w:pPr>
        <w:spacing w:after="150" w:line="276"/>
      </w:pPr>
      <w:r>
        <w:t xml:space="preserve">Exceptions: contractors receive a sponsor and an expiry date. Accounts without a sponsor do not proceed. If the employee's start date precedes the target completion date, the desk lead must agree a documented temporary arrangement with the manager.</w:t>
      </w:r>
    </w:p>
    <w:p>
      <w:pPr>
        <w:spacing w:after="150" w:line="276"/>
      </w:pPr>
      <w:r>
        <w:t xml:space="preserve">Revision 2.0 introduces a daily readiness check with People Operations. Morgan reviews requests due within the next two working days and escalates missing approvals to the manager by noon. This revision replaces revision 1.0 in full; the leaver controls remain unchanged. Approved by Jordan Ellis on 10 September 2026.</w:t>
      </w:r>
    </w:p>
    <w:p>
      <w:pPr>
        <w:pStyle w:val="Heading1"/>
      </w:pPr>
      <w:r>
        <w:t xml:space="preserve">Leavers and access removal</w:t>
      </w:r>
    </w:p>
    <w:p>
      <w:pPr>
        <w:spacing w:after="150" w:line="276"/>
      </w:pPr>
      <w:r>
        <w:t xml:space="preserve">Disable departing employee accounts within 24 hours. Revoke active sessions and retain the audit record for 90 days.</w:t>
      </w:r>
    </w:p>
    <w:p>
      <w:pPr>
        <w:spacing w:after="150" w:line="276"/>
      </w:pPr>
      <w:r>
        <w:t xml:space="preserve">People Operations submits the departure ticket with the last working time in UTC and a manager's instruction for mailbox ownership. For involuntary departures, the duty administrator coordinates the exact suspension time with People Operations and does not notify the user beforehand.</w:t>
      </w:r>
    </w:p>
    <w:p>
      <w:pPr>
        <w:spacing w:after="150" w:line="276"/>
      </w:pPr>
      <w:r>
        <w:t xml:space="preserve">Suspend sign-in, revoke refresh tokens, remove recovery methods and check forwarding rules. Capture the resulting directory state in the restricted access register. Transfer business records only to the approved custodian. A retention or litigation notice blocks deletion of the underlying mailbox, but it does not block suspension of access.</w:t>
      </w:r>
    </w:p>
    <w:p>
      <w:pPr>
        <w:spacing w:after="150" w:line="276"/>
      </w:pPr>
      <w:r>
        <w:t xml:space="preserve">The desk lead reviews overdue removals at the end of each business day. The monthly control sample includes five completed leavers or the entire population when fewer than five employees departed. Evidence contains ticket identifiers and timestamps rather than copied employee messages. An auditor can trace each sampled account back to the roster and manager approval.</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FICTIONAL DEMONSTRATION  ·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50" w:line="276"/>
    </w:pPr>
    <w:r>
      <w:t xml:space="preserve">CLOUDASTA    /    CONTROLLED OPERATIONS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60" w:before="100"/>
    </w:pPr>
    <w:rPr>
      <w:rFonts w:ascii="Arial" w:cs="Arial" w:eastAsia="Arial" w:hAnsi="Arial"/>
      <w:b/>
      <w:bCs/>
      <w:color w:val="162D40"/>
      <w:sz w:val="42"/>
      <w:szCs w:val="42"/>
    </w:rPr>
  </w:style>
  <w:style w:type="paragraph" w:styleId="Heading1">
    <w:name w:val="Heading 1"/>
    <w:basedOn w:val="Normal"/>
    <w:next w:val="Normal"/>
    <w:qFormat/>
    <w:pPr>
      <w:keepNext/>
      <w:spacing w:after="180" w:before="300"/>
      <w:outlineLvl w:val="0"/>
    </w:pPr>
    <w:rPr>
      <w:rFonts w:ascii="Arial" w:cs="Arial" w:eastAsia="Arial" w:hAnsi="Arial"/>
      <w:b/>
      <w:bCs/>
      <w:color w:val="162D4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Workspace access procedure | Revision 2.0</dc:title>
  <dc:creator>Cloudasta Demo</dc:creator>
  <cp:lastModifiedBy>Un-named</cp:lastModifiedBy>
  <cp:revision>1</cp:revision>
  <dcterms:created xsi:type="dcterms:W3CDTF">2026-10-12T01:16:58.928Z</dcterms:created>
  <dcterms:modified xsi:type="dcterms:W3CDTF">2026-10-12T01:16:58.928Z</dcterms:modified>
</cp:coreProperties>
</file>

<file path=docProps/custom.xml><?xml version="1.0" encoding="utf-8"?>
<Properties xmlns="http://schemas.openxmlformats.org/officeDocument/2006/custom-properties" xmlns:vt="http://schemas.openxmlformats.org/officeDocument/2006/docPropsVTypes"/>
</file>