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Production incident response: January 2027 schedule</w:t>
      </w:r>
    </w:p>
    <w:p>
      <w:pPr>
        <w:spacing w:after="150" w:line="276"/>
      </w:pPr>
      <w:r>
        <w:t xml:space="preserve">CLOUDASTA  /  SERVICE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1F4F6" w:val="clear"/>
            <w:tcMar>
              <w:top w:type="dxa" w:w="100"/>
              <w:left w:type="dxa" w:w="130"/>
              <w:bottom w:type="dxa" w:w="100"/>
              <w:right w:type="dxa" w:w="130"/>
            </w:tcMar>
          </w:tcPr>
          <w:p>
            <w:pPr>
              <w:spacing w:after="150" w:line="276"/>
            </w:pPr>
            <w:r>
              <w:t xml:space="preserve">Document owner</w:t>
            </w:r>
          </w:p>
        </w:tc>
        <w:tc>
          <w:tcPr>
            <w:tcW w:type="dxa" w:w="6760"/>
            <w:shd w:fill="FFFFFF" w:val="clear"/>
            <w:tcMar>
              <w:top w:type="dxa" w:w="100"/>
              <w:left w:type="dxa" w:w="130"/>
              <w:bottom w:type="dxa" w:w="100"/>
              <w:right w:type="dxa" w:w="130"/>
            </w:tcMar>
          </w:tcPr>
          <w:p>
            <w:pPr>
              <w:spacing w:after="150" w:line="276"/>
            </w:pPr>
            <w:r>
              <w:t xml:space="preserve">Jordan Ellis</w:t>
            </w:r>
          </w:p>
        </w:tc>
      </w:tr>
      <w:tr>
        <w:tc>
          <w:tcPr>
            <w:tcW w:type="dxa" w:w="2600"/>
            <w:shd w:fill="F1F4F6" w:val="clear"/>
            <w:tcMar>
              <w:top w:type="dxa" w:w="100"/>
              <w:left w:type="dxa" w:w="130"/>
              <w:bottom w:type="dxa" w:w="100"/>
              <w:right w:type="dxa" w:w="130"/>
            </w:tcMar>
          </w:tcPr>
          <w:p>
            <w:pPr>
              <w:spacing w:after="150" w:line="276"/>
            </w:pPr>
            <w:r>
              <w:t xml:space="preserve">Business date</w:t>
            </w:r>
          </w:p>
        </w:tc>
        <w:tc>
          <w:tcPr>
            <w:tcW w:type="dxa" w:w="6760"/>
            <w:shd w:fill="FFFFFF" w:val="clear"/>
            <w:tcMar>
              <w:top w:type="dxa" w:w="100"/>
              <w:left w:type="dxa" w:w="130"/>
              <w:bottom w:type="dxa" w:w="100"/>
              <w:right w:type="dxa" w:w="130"/>
            </w:tcMar>
          </w:tcPr>
          <w:p>
            <w:pPr>
              <w:spacing w:after="150" w:line="276"/>
            </w:pPr>
            <w:r>
              <w:t xml:space="preserve">2026-10-01</w:t>
            </w:r>
          </w:p>
        </w:tc>
      </w:tr>
      <w:tr>
        <w:tc>
          <w:tcPr>
            <w:tcW w:type="dxa" w:w="2600"/>
            <w:shd w:fill="F1F4F6" w:val="clear"/>
            <w:tcMar>
              <w:top w:type="dxa" w:w="100"/>
              <w:left w:type="dxa" w:w="130"/>
              <w:bottom w:type="dxa" w:w="100"/>
              <w:right w:type="dxa" w:w="130"/>
            </w:tcMar>
          </w:tcPr>
          <w:p>
            <w:pPr>
              <w:spacing w:after="150" w:line="276"/>
            </w:pPr>
            <w:r>
              <w:t xml:space="preserve">Approval</w:t>
            </w:r>
          </w:p>
        </w:tc>
        <w:tc>
          <w:tcPr>
            <w:tcW w:type="dxa" w:w="6760"/>
            <w:shd w:fill="FFFFFF" w:val="clear"/>
            <w:tcMar>
              <w:top w:type="dxa" w:w="100"/>
              <w:left w:type="dxa" w:w="130"/>
              <w:bottom w:type="dxa" w:w="100"/>
              <w:right w:type="dxa" w:w="130"/>
            </w:tcMar>
          </w:tcPr>
          <w:p>
            <w:pPr>
              <w:spacing w:after="150" w:line="276"/>
            </w:pPr>
            <w:r>
              <w:t xml:space="preserve">Approved by the service owner</w:t>
            </w:r>
          </w:p>
        </w:tc>
      </w:tr>
      <w:tr>
        <w:tc>
          <w:tcPr>
            <w:tcW w:type="dxa" w:w="2600"/>
            <w:shd w:fill="F1F4F6" w:val="clear"/>
            <w:tcMar>
              <w:top w:type="dxa" w:w="100"/>
              <w:left w:type="dxa" w:w="130"/>
              <w:bottom w:type="dxa" w:w="100"/>
              <w:right w:type="dxa" w:w="130"/>
            </w:tcMar>
          </w:tcPr>
          <w:p>
            <w:pPr>
              <w:spacing w:after="150" w:line="276"/>
            </w:pPr>
            <w:r>
              <w:t xml:space="preserve">Effective date</w:t>
            </w:r>
          </w:p>
        </w:tc>
        <w:tc>
          <w:tcPr>
            <w:tcW w:type="dxa" w:w="6760"/>
            <w:shd w:fill="FFFFFF" w:val="clear"/>
            <w:tcMar>
              <w:top w:type="dxa" w:w="100"/>
              <w:left w:type="dxa" w:w="130"/>
              <w:bottom w:type="dxa" w:w="100"/>
              <w:right w:type="dxa" w:w="130"/>
            </w:tcMar>
          </w:tcPr>
          <w:p>
            <w:pPr>
              <w:spacing w:after="150" w:line="276"/>
            </w:pPr>
            <w:r>
              <w:t xml:space="preserve">2027-01-01</w:t>
            </w:r>
          </w:p>
        </w:tc>
      </w:tr>
      <w:tr>
        <w:tc>
          <w:tcPr>
            <w:tcW w:type="dxa" w:w="2600"/>
            <w:shd w:fill="F1F4F6" w:val="clear"/>
            <w:tcMar>
              <w:top w:type="dxa" w:w="100"/>
              <w:left w:type="dxa" w:w="130"/>
              <w:bottom w:type="dxa" w:w="100"/>
              <w:right w:type="dxa" w:w="130"/>
            </w:tcMar>
          </w:tcPr>
          <w:p>
            <w:pPr>
              <w:spacing w:after="150" w:line="276"/>
            </w:pPr>
            <w:r>
              <w:t xml:space="preserve">Classification</w:t>
            </w:r>
          </w:p>
        </w:tc>
        <w:tc>
          <w:tcPr>
            <w:tcW w:type="dxa" w:w="6760"/>
            <w:shd w:fill="FFFFFF" w:val="clear"/>
            <w:tcMar>
              <w:top w:type="dxa" w:w="100"/>
              <w:left w:type="dxa" w:w="130"/>
              <w:bottom w:type="dxa" w:w="100"/>
              <w:right w:type="dxa" w:w="130"/>
            </w:tcMar>
          </w:tcPr>
          <w:p>
            <w:pPr>
              <w:spacing w:after="150" w:line="276"/>
            </w:pPr>
            <w:r>
              <w:t xml:space="preserve">Internal operations · fictional demonstration</w:t>
            </w:r>
          </w:p>
        </w:tc>
      </w:tr>
    </w:tbl>
    <w:p>
      <w:pPr>
        <w:spacing w:after="150" w:line="276"/>
      </w:pPr>
      <w:r>
        <w:t xml:space="preserve">Purpose: define the operational steps, accountable owners and evidence needed for this procedure. This record belongs to a wholly fictional customer and operations dataset.</w:t>
      </w:r>
    </w:p>
    <w:p>
      <w:pPr>
        <w:pStyle w:val="Heading1"/>
      </w:pPr>
      <w:r>
        <w:t xml:space="preserve">Severity and initial response</w:t>
      </w:r>
    </w:p>
    <w:p>
      <w:pPr>
        <w:spacing w:after="150" w:line="276"/>
      </w:pPr>
      <w:r>
        <w:t xml:space="preserve">Acknowledge critical production incidents within one business hour during contracted support coverage.</w:t>
      </w:r>
    </w:p>
    <w:p>
      <w:pPr>
        <w:spacing w:after="150" w:line="276"/>
      </w:pPr>
      <w:r>
        <w:t xml:space="preserve">Severity 1 means a production outage that prevents a customer from performing a contracted critical workflow without a reasonable workaround. Severity 2 covers material degradation with a workaround. A request to configure a new feature follows the service request queue. The duty engineer records the severity rationale and the customer-reported start time before triage.</w:t>
      </w:r>
    </w:p>
    <w:p>
      <w:pPr>
        <w:spacing w:after="150" w:line="276"/>
      </w:pPr>
      <w:r>
        <w:t xml:space="preserve">The acknowledgement confirms an incident identifier, a named owner and the time of the next update. It does not promise a repair deadline. Coverage follows the customer's executed service schedule; a proposal or casual meeting statement cannot extend the support window. Outside coverage, record the receipt and route any emergency request to the duty lead for an explicit decision.</w:t>
      </w:r>
    </w:p>
    <w:p>
      <w:pPr>
        <w:spacing w:after="150" w:line="276"/>
      </w:pPr>
      <w:r>
        <w:t xml:space="preserve">The initial triage collects affected tenant, impact, recent change and safe reproduction steps. Preserve diagnostic evidence in the restricted incident record. Avoid copying customer credentials or unnecessary personal records into the shared timeline.</w:t>
      </w:r>
    </w:p>
    <w:p>
      <w:pPr>
        <w:spacing w:after="150" w:line="276"/>
      </w:pPr>
      <w:r>
        <w:t xml:space="preserve">Approved future operating schedule: effective 1 January 2027. The faster acknowledgement assumes the additional duty coverage in the 2027 staffing plan. Until that date, use the currently effective service procedure and the executed customer schedule. Do not advertise the future target as available today.</w:t>
      </w:r>
    </w:p>
    <w:p>
      <w:pPr>
        <w:pStyle w:val="Heading1"/>
      </w:pPr>
      <w:r>
        <w:t xml:space="preserve">Incident command and communications</w:t>
      </w:r>
    </w:p>
    <w:p>
      <w:pPr>
        <w:spacing w:after="150" w:line="276"/>
      </w:pPr>
      <w:r>
        <w:t xml:space="preserve">Notify the incident commander and preserve an incident timeline. Do not promise a recovery time without approval.</w:t>
      </w:r>
    </w:p>
    <w:p>
      <w:pPr>
        <w:spacing w:after="150" w:line="276"/>
      </w:pPr>
      <w:r>
        <w:t xml:space="preserve">The duty lead appoints an incident commander when the first triage indicates Severity 1. The commander assigns a technical owner and a communications owner. Only the communications owner sends customer status updates, after checking that technical observations and confirmed findings are distinguishable.</w:t>
      </w:r>
    </w:p>
    <w:p>
      <w:pPr>
        <w:spacing w:after="150" w:line="276"/>
      </w:pPr>
      <w:r>
        <w:t xml:space="preserve">Use a 30-minute internal coordination cadence while impact remains active. The customer update cadence is agreed in the first acknowledgement. Record every mitigation with a timestamp, operator and observed outcome. A failed mitigation stays in the timeline so the next engineer does not repeat it without new evidence.</w:t>
      </w:r>
    </w:p>
    <w:p>
      <w:pPr>
        <w:spacing w:after="150" w:line="276"/>
      </w:pPr>
      <w:r>
        <w:t xml:space="preserve">Close the active incident after the customer or service owner confirms recovery. Schedule the review within five working days, including impact duration, contributing conditions, detection gaps and prevention actions. An action needs an accountable owner and a due date. Track prevention work separately from the incident closure.</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FICTIONAL DEMONSTRATION  ·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50" w:line="276"/>
    </w:pPr>
    <w:r>
      <w:t xml:space="preserve">CLOUDASTA    /    CONTROLLED OPERATIONS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60" w:before="100"/>
    </w:pPr>
    <w:rPr>
      <w:rFonts w:ascii="Arial" w:cs="Arial" w:eastAsia="Arial" w:hAnsi="Arial"/>
      <w:b/>
      <w:bCs/>
      <w:color w:val="162D40"/>
      <w:sz w:val="42"/>
      <w:szCs w:val="42"/>
    </w:rPr>
  </w:style>
  <w:style w:type="paragraph" w:styleId="Heading1">
    <w:name w:val="Heading 1"/>
    <w:basedOn w:val="Normal"/>
    <w:next w:val="Normal"/>
    <w:qFormat/>
    <w:pPr>
      <w:keepNext/>
      <w:spacing w:after="180" w:before="300"/>
      <w:outlineLvl w:val="0"/>
    </w:pPr>
    <w:rPr>
      <w:rFonts w:ascii="Arial" w:cs="Arial" w:eastAsia="Arial" w:hAnsi="Arial"/>
      <w:b/>
      <w:bCs/>
      <w:color w:val="162D4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 incident response: January 2027 schedule</dc:title>
  <dc:creator>Cloudasta Demo</dc:creator>
  <cp:lastModifiedBy>Un-named</cp:lastModifiedBy>
  <cp:revision>1</cp:revision>
  <dcterms:created xsi:type="dcterms:W3CDTF">2026-10-12T01:16:58.966Z</dcterms:created>
  <dcterms:modified xsi:type="dcterms:W3CDTF">2026-10-12T01:16:58.966Z</dcterms:modified>
</cp:coreProperties>
</file>

<file path=docProps/custom.xml><?xml version="1.0" encoding="utf-8"?>
<Properties xmlns="http://schemas.openxmlformats.org/officeDocument/2006/custom-properties" xmlns:vt="http://schemas.openxmlformats.org/officeDocument/2006/docPropsVTypes"/>
</file>