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cfc" w:val="clear"/>
        <w:spacing w:after="280" w:line="240" w:lineRule="auto"/>
        <w:rPr>
          <w:rFonts w:ascii="Georgia" w:cs="Georgia" w:eastAsia="Georgia" w:hAnsi="Georgia"/>
          <w:b w:val="1"/>
          <w:color w:val="404040"/>
          <w:sz w:val="32"/>
          <w:szCs w:val="32"/>
        </w:rPr>
      </w:pP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404040"/>
            <w:sz w:val="32"/>
            <w:szCs w:val="32"/>
            <w:highlight w:val="yellow"/>
            <w:rtl w:val="0"/>
          </w:rPr>
          <w:t xml:space="preserve">pycomm3</w:t>
        </w:r>
      </w:hyperlink>
      <w:r w:rsidDel="00000000" w:rsidR="00000000" w:rsidRPr="00000000">
        <w:rPr>
          <w:b w:val="1"/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32"/>
          <w:szCs w:val="32"/>
          <w:rtl w:val="0"/>
        </w:rPr>
        <w:t xml:space="preserve">- Una libreria Python Ethernet/IP per la comunicazione con i PLC Allen-Bradley.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Lo sviluppo di questa libreria ha lo scopo di fornire un accesso rapido e conveniente per la lettura / scrittura dei dati all'interno dei PLC Allen-Bradley.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Questa libreria è supportata su Python 3.6.1 e versioni più recenti e contiene 3 driver diversi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6ab0de" w:space="5" w:sz="18" w:val="single"/>
        </w:pBdr>
        <w:shd w:fill="e7f2fa" w:val="clear"/>
        <w:spacing w:after="90" w:line="240" w:lineRule="auto"/>
        <w:rPr>
          <w:rFonts w:ascii="Arial" w:cs="Arial" w:eastAsia="Arial" w:hAnsi="Arial"/>
          <w:b w:val="1"/>
          <w:color w:val="2980b9"/>
        </w:rPr>
      </w:pPr>
      <w:r w:rsidDel="00000000" w:rsidR="00000000" w:rsidRPr="00000000">
        <w:rPr>
          <w:rFonts w:ascii="Arial" w:cs="Arial" w:eastAsia="Arial" w:hAnsi="Arial"/>
          <w:b w:val="1"/>
          <w:color w:val="2980b9"/>
          <w:rtl w:val="0"/>
        </w:rPr>
        <w:t xml:space="preserve">LogixDriver</w:t>
      </w:r>
    </w:p>
    <w:p w:rsidR="00000000" w:rsidDel="00000000" w:rsidP="00000000" w:rsidRDefault="00000000" w:rsidRPr="00000000" w14:paraId="00000006">
      <w:pPr>
        <w:shd w:fill="fcfcfc" w:val="clear"/>
        <w:spacing w:after="280" w:lineRule="auto"/>
        <w:ind w:left="720" w:firstLine="0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rtl w:val="0"/>
        </w:rPr>
        <w:t xml:space="preserve">Questo è il driver principale per questa libreria, supporta PLC ControlLogix, CompactLogix e Micro800.</w:t>
      </w:r>
    </w:p>
    <w:p w:rsidR="00000000" w:rsidDel="00000000" w:rsidP="00000000" w:rsidRDefault="00000000" w:rsidRPr="00000000" w14:paraId="00000007">
      <w:pPr>
        <w:pBdr>
          <w:top w:color="6ab0de" w:space="5" w:sz="18" w:val="single"/>
        </w:pBdr>
        <w:shd w:fill="e7f2fa" w:val="clear"/>
        <w:spacing w:after="90" w:before="90" w:line="240" w:lineRule="auto"/>
        <w:rPr>
          <w:rFonts w:ascii="Arial" w:cs="Arial" w:eastAsia="Arial" w:hAnsi="Arial"/>
          <w:b w:val="1"/>
          <w:color w:val="2980b9"/>
        </w:rPr>
      </w:pPr>
      <w:r w:rsidDel="00000000" w:rsidR="00000000" w:rsidRPr="00000000">
        <w:rPr>
          <w:b w:val="1"/>
          <w:color w:val="2980b9"/>
          <w:rtl w:val="0"/>
        </w:rPr>
        <w:t xml:space="preserve">Driver SLC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cfcfc" w:val="clear"/>
        <w:spacing w:after="280" w:lineRule="auto"/>
        <w:ind w:left="720" w:firstLine="0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rtl w:val="0"/>
        </w:rPr>
        <w:t xml:space="preserve">Questo driver può essere utilizzato per la lettura/scrittura di file di dati in PLC SLC 500 o MicroLogix. Alcune delle funzionalità più avanzate o automatiche non sono supportate.</w:t>
      </w:r>
    </w:p>
    <w:p w:rsidR="00000000" w:rsidDel="00000000" w:rsidP="00000000" w:rsidRDefault="00000000" w:rsidRPr="00000000" w14:paraId="00000009">
      <w:pPr>
        <w:pBdr>
          <w:top w:color="6ab0de" w:space="5" w:sz="18" w:val="single"/>
        </w:pBdr>
        <w:shd w:fill="e7f2fa" w:val="clear"/>
        <w:spacing w:after="90" w:before="90" w:line="240" w:lineRule="auto"/>
        <w:rPr>
          <w:rFonts w:ascii="Arial" w:cs="Arial" w:eastAsia="Arial" w:hAnsi="Arial"/>
          <w:b w:val="1"/>
          <w:color w:val="2980b9"/>
        </w:rPr>
      </w:pPr>
      <w:r w:rsidDel="00000000" w:rsidR="00000000" w:rsidRPr="00000000">
        <w:rPr>
          <w:rFonts w:ascii="Arial" w:cs="Arial" w:eastAsia="Arial" w:hAnsi="Arial"/>
          <w:b w:val="1"/>
          <w:color w:val="2980b9"/>
          <w:rtl w:val="0"/>
        </w:rPr>
        <w:t xml:space="preserve">CIPDriver</w:t>
      </w:r>
    </w:p>
    <w:p w:rsidR="00000000" w:rsidDel="00000000" w:rsidP="00000000" w:rsidRDefault="00000000" w:rsidRPr="00000000" w14:paraId="0000000A">
      <w:pPr>
        <w:shd w:fill="fcfcfc" w:val="clear"/>
        <w:spacing w:after="280" w:lineRule="auto"/>
        <w:ind w:left="720" w:firstLine="0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rtl w:val="0"/>
        </w:rPr>
        <w:t xml:space="preserve">Questa è la classe base per gli altri due driver, gestisce alcuni servizi condivisi comuni. Può anche essere utilizzato per la messaggistica CIP generica ad altri dispositivi non PLC.</w:t>
      </w:r>
    </w:p>
    <w:p w:rsidR="00000000" w:rsidDel="00000000" w:rsidP="00000000" w:rsidRDefault="00000000" w:rsidRPr="00000000" w14:paraId="0000000B">
      <w:pPr>
        <w:shd w:fill="ffffff" w:val="clear"/>
        <w:spacing w:after="240" w:before="360" w:line="240" w:lineRule="auto"/>
        <w:rPr>
          <w:rFonts w:ascii="Georgia" w:cs="Georgia" w:eastAsia="Georgia" w:hAnsi="Georgia"/>
          <w:b w:val="1"/>
          <w:color w:val="24292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24292e"/>
          <w:sz w:val="36"/>
          <w:szCs w:val="36"/>
          <w:rtl w:val="0"/>
        </w:rPr>
        <w:t xml:space="preserve">Documentazione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Questo documento illustra una panoramica di base della libreria, la documentazione completa è disponibile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cliccando qui</w:t>
        </w:r>
      </w:hyperlink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980b9"/>
          <w:sz w:val="36"/>
          <w:szCs w:val="36"/>
          <w:u w:val="none"/>
          <w:shd w:fill="auto" w:val="clear"/>
          <w:vertAlign w:val="baseline"/>
          <w:rtl w:val="0"/>
        </w:rPr>
        <w:t xml:space="preserve">LogixDriver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pStyle w:val="Heading3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color w:val="24292e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30"/>
          <w:szCs w:val="30"/>
          <w:rtl w:val="0"/>
        </w:rPr>
        <w:t xml:space="preserve">Caratteristiche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API semplice,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solo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 metodo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lettura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1 metodo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scrittura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 i tag.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non richiede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l'utilizzo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 metodi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diversi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diversi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tipi 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richiede solo il nome del tag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non sono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richieste altre informazioni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all'utente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gestisce automaticamente le dimensioni di richiesta/risposta per compattare il numero 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richieste in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unico pacchetto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gestisce automaticamente le richieste frammentate di tag di grandi dimensioni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 non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possono essere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adattate a un singolo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pacchetto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entrambi supportano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lettura/scrittura completa della struttura (UDT,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AOI, ecc.))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lettura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Tag.value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sarà 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{attribute: value}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scrivere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il valore dovrebbe essere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sequenza (elenco, tupla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 valori per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ogni attributo, annidato in base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alle esigenze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after="0" w:before="0" w:line="240" w:lineRule="auto"/>
        <w:ind w:left="288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non scrive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parte, il valore deve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corrispondere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 alla struttura completa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before="60" w:line="240" w:lineRule="auto"/>
        <w:ind w:left="288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non consigliato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il tipo incorporato (TIMER, CONTROL, COUNTER, ecc.))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generic_message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funzionalità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aggiuntive non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implementate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direttamente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funziona in modo simile all'istruzione MSG in Logix, argomenti simili alle proprietà MESSAGE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testato per ottenere / impostare i parametri dell'azionamento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utilizzato internamente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implementare alcuni degli altri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metodi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(getget/set_plc_time,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forward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open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/close, ecc.)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tipi di dati semplificati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le stringhe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utilizzano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normali oggetti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Python,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non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richiedono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lettura/scrittura degli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attributi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Le matrici BOOL utilizzano normali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oggetti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 Python, non richiedono un complicato spostamento di bit del valore DWORD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caricare l'elenco dei tag e le definizioni dei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tipi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dati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dal PLC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nessun requisito per l'utente per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determinare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 tag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disponibili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 (ad esempio da un'esportazione L5X)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 tag dell'ambito del controllore per impostazione predefinita, i tag dell'ambito del programma sono facoltativi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le definizioni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sono necessarie per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i metodi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di lettura/scrittura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4292e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abilita/disabilita/automaticamente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diverse funzionalità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base al PLC di destinazione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Extended Forward Open (EN2T o più recente e v20 +)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Indirizzamento delle istanze dei simboli (Logix v21 +)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280" w:before="60" w:line="240" w:lineRule="auto"/>
        <w:ind w:left="144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rilevamento di Micro800 e disabilita le funzionalità non supportate (percorso CIP, es. inoltro aperto, indirizzamento istanza, ecc.)</w:t>
      </w:r>
    </w:p>
    <w:p w:rsidR="00000000" w:rsidDel="00000000" w:rsidP="00000000" w:rsidRDefault="00000000" w:rsidRPr="00000000" w14:paraId="00000028">
      <w:pPr>
        <w:pStyle w:val="Heading3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color w:val="24292e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30"/>
          <w:szCs w:val="30"/>
          <w:rtl w:val="0"/>
        </w:rPr>
        <w:t xml:space="preserve">Utilizzo di base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Connettersi a un PLC e ottenere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alcune informazioni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 base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esso.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L'argomento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è l'unico richiesto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 ha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 forme: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indirizzo   IP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(10.20.30.100)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Utilizzare se il PLC si trova nello slot 0 o se ci si connette a CompactLogix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Indirizzo IP/Slot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(10.20.30.100/1)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Utilizzare se il PLC non è nello slot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Percorso routing CIP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(10.20.30.100/backplane/3/enet/10.20.40.100/backplane/0)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Utilizzo per routing più complessi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primi 2 esempi verranno sostituiti automaticamente con il percorso completo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280" w:line="24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enet/backplane (o bp)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sono per la selezione delle porte</w:t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color w:val="4472c4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472c4"/>
          <w:sz w:val="30"/>
          <w:szCs w:val="30"/>
          <w:rtl w:val="0"/>
        </w:rPr>
        <w:t xml:space="preserve">Esempio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from pycomm3 import LogixDriver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with LogixDriver('10.20.30.100/1') as plc: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print(plc)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# 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# Program Name: PLCA, Device: 1756-L83E/B, Revision: 28.13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print(plc.info)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#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# {'vendor': 'Rockwell Automation/Allen-Bradley', 'product_type': 'Programmable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Logic Controller', 'product_code': 166, 'version_major': 28, 'version_minor':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13, 'revision': '28.13', 'serial': 'FFFFFFFF','device_type': '1756-L83E/B',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'keyswitch': 'REMOTE RUN', 'name': 'PLCA'}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Di default, quando si crea l'oggetto LogixDriver, esso aprirà una connessione al plc, leggerà il nome del programma, otterrà le informazioni del controllore e tutti i tag dell'ambito del controllore. Leggendo prima l'elenco dei tag, questo ci consente di memorizzare nella cache tutte le informazioni sul tipo/struttura di tag, inclusi gli ID di istanza per tutti i tag. Queste informazioni consentono ai metodi di lettura/scrittura di richiedere solo il nome del tag. Se il tuo progetto richiederà tag nell'ambito del programma, assicurati di impostare init_program_tags kwarg. Per impostazione predefinita, verranno recuperati e memorizzati nella cache solo i tag con ambito controller.</w:t>
      </w:r>
    </w:p>
    <w:p w:rsidR="00000000" w:rsidDel="00000000" w:rsidP="00000000" w:rsidRDefault="00000000" w:rsidRPr="00000000" w14:paraId="0000003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Tag di lettura/scrittura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Leggere o scrivere tag è semplice come chiamare i metodi di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lettura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scrittura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. Entrambi i metodi accettano un numero qualsiasi di tag e impacchetteranno automaticamente più tag in un Multiple Service Packet Service (0x0A) assicurandosi di rimanere al di sotto della dimensione della connessione. Se è presente un valore di tag che non può rientrare nel pacchetto di richiesta / risposta, gestirà automaticamente quel tag in modo indipendente utilizzando le richieste Read Tag Fragmented (0x52) o Write Tag Fragmented (0x53).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Entrambi i metodi restituiranno oggetti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per il successo o il fallimento dell'operazione.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color w:val="4472c4"/>
          <w:sz w:val="30"/>
          <w:szCs w:val="30"/>
        </w:rPr>
      </w:pPr>
      <w:r w:rsidDel="00000000" w:rsidR="00000000" w:rsidRPr="00000000">
        <w:rPr>
          <w:color w:val="4472c4"/>
          <w:sz w:val="30"/>
          <w:szCs w:val="30"/>
          <w:rtl w:val="0"/>
        </w:rPr>
        <w:t xml:space="preserve">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with LogixDriver('10.20.30.100') as plc: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plc.read('tag1', 'tag2', 'tag3')  # legge più tag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plc.read('array{10}') # legge 10 elementi di un array dalla posizione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plc.read('array[5]{20}) # legge 20 elementi di un array dalla posizione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plc.read('string_tag')  # legge un tag stringa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# le scritture richiedono una sequenza di tuple di [(tag name, value), ... 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plc.write(('tag1', 0), ('tag2', 1), ('tag3', 2))  # scrive più tag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plc.write(('array{5}', [1, 2, 3, 4, 5]))  # scrive 5 elementi di un array dalla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posizione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plc.write(('array[10]{5}', [1, 2, 3, 4, 5]))  # scrive 5 elementi di un array dalla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posizione 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plc.write(('string_tag', 'Hello World!'))  # scrive una stringa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plc.write(('string_array[2]{5}', 'Write an array of strings'.split()))  # scrive un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array di stringhe dalla posizione 2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nomi dei tag sia per la lettura che per la scrittura fanno distinzione tra maiuscole e minuscole e devono essere gli stessi di quelli denominati nel controller.</w:t>
      </w:r>
    </w:p>
    <w:p w:rsidR="00000000" w:rsidDel="00000000" w:rsidP="00000000" w:rsidRDefault="00000000" w:rsidRPr="00000000" w14:paraId="0000005A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Tag di lettura/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0"/>
          <w:szCs w:val="30"/>
          <w:rtl w:val="0"/>
        </w:rPr>
        <w:t xml:space="preserve">scrittura</w:t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Le definizioni dei tag vengono caricate automaticamente dal controller durante la connessione. Ciò consente ai metodi di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lettura/scrittura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di funzionare. Queste definizioni contengono informazioni come ID istanza e dimensioni e composizione della struttura. Le definizioni dei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tag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sono accessibili dall'attributo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tags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. La proprietà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tags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è una dict di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{nome tag: definizione}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Le definizioni per le strutture sono accessibili dall'attributo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data_types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. Questi includono cose come tipi di dati definiti dall'utente (UDT), istruzioni add-on (AOI), stringhe e tipi predefiniti (TIMER, COUNTER, ecc.). Per i tag di struttura (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tag ['tag_type'] == 'struct'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), la definizione del tipo di dati verrà memorizzata nell'attributo data_type. (i tag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"atomic"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avranno solo una stringa con il nome del tipo di dati: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"DINT", "REAL", ...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comm3.readthedocs.io/en/latest/#module-pycomm3" TargetMode="External"/><Relationship Id="rId7" Type="http://schemas.openxmlformats.org/officeDocument/2006/relationships/hyperlink" Target="https://pycomm3.readthedocs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