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A447562" w14:textId="77777777" w:rsidR="005C5930" w:rsidRDefault="00000000">
      <w:pPr>
        <w:pStyle w:val="Heading1"/>
      </w:pPr>
      <w:r>
        <w:t>Japan’s October 2026 Cyber Emergency</w:t>
      </w:r>
    </w:p>
    <w:p w14:paraId="3F5809FE" w14:textId="77777777" w:rsidR="005C5930" w:rsidRDefault="00000000">
      <w:pPr>
        <w:spacing w:after="160" w:line="300" w:lineRule="auto"/>
      </w:pPr>
      <w:r>
        <w:t>A record wave of ransomware, data theft and an exploited PHP flaw pushed Japan to declare a state of emergency in cyberspace. Here is what happened, and how to respond and prevent the next attack.</w:t>
      </w:r>
    </w:p>
    <w:p w14:paraId="2F842380" w14:textId="77777777" w:rsidR="005C5930" w:rsidRDefault="00000000">
      <w:pPr>
        <w:spacing w:after="160" w:line="300" w:lineRule="auto"/>
      </w:pPr>
      <w:r>
        <w:t>Japan’s autumn of 2026 will be remembered as the moment cyberattacks stopped being an IT problem and became a national one. In just five weeks, ransomware took down a university and a major cloud provider, dozens of companies disclosed data breaches, attackers exploited a critical PHP vulnerability before a patch existed, and a large internet group refused a $50 million ransom. This briefing explains the scale of the wave, how the attacks worked, the key incidents, and the steps that organisations should take now.</w:t>
      </w:r>
    </w:p>
    <w:p w14:paraId="7B52B140" w14:textId="77777777" w:rsidR="005C5930" w:rsidRDefault="00000000">
      <w:pPr>
        <w:spacing w:after="160" w:line="300" w:lineRule="auto"/>
      </w:pPr>
      <w:r>
        <w:rPr>
          <w:i/>
          <w:iCs/>
          <w:color w:val="5B6478"/>
          <w:sz w:val="20"/>
          <w:szCs w:val="20"/>
        </w:rPr>
        <w:t>Figures are as reported up to 28 October 2026. Many record counts are the maximum number possibly affected, not confirmed leaks, and investigations are ongoing.</w:t>
      </w:r>
    </w:p>
    <w:p w14:paraId="2E66D698" w14:textId="77777777" w:rsidR="005C5930" w:rsidRDefault="00000000">
      <w:pPr>
        <w:pStyle w:val="Heading2"/>
      </w:pPr>
      <w:r>
        <w:t>A record year, then a national emergency</w:t>
      </w:r>
    </w:p>
    <w:p w14:paraId="3A433FBD" w14:textId="77777777" w:rsidR="005C5930" w:rsidRDefault="00000000">
      <w:pPr>
        <w:spacing w:before="120" w:after="240"/>
        <w:jc w:val="center"/>
      </w:pPr>
      <w:r>
        <w:rPr>
          <w:noProof/>
        </w:rPr>
        <w:drawing>
          <wp:inline distT="0" distB="0" distL="0" distR="0" wp14:anchorId="774EFBD7" wp14:editId="2C2064D6">
            <wp:extent cx="5905500" cy="3314700"/>
            <wp:effectExtent l="0" t="0" r="0" b="0"/>
            <wp:docPr id="1" name="stats" descr="Japan’s 2026 cyber emergency in numbers: 9 October emergency declaration, 500+ incidents, 495 organisations hit by one cloud ransomware attack, 123 ransomware cases in the first half of 2026" title="Japan’s 2026 cyber emergency in numb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905500" cy="3314700"/>
                    </a:xfrm>
                    <a:prstGeom prst="rect">
                      <a:avLst/>
                    </a:prstGeom>
                  </pic:spPr>
                </pic:pic>
              </a:graphicData>
            </a:graphic>
          </wp:inline>
        </w:drawing>
      </w:r>
    </w:p>
    <w:p w14:paraId="40F10A2E" w14:textId="77777777" w:rsidR="005C5930" w:rsidRDefault="00000000">
      <w:pPr>
        <w:spacing w:after="160" w:line="300" w:lineRule="auto"/>
      </w:pPr>
      <w:r>
        <w:t>Four numbers set the scene:</w:t>
      </w:r>
    </w:p>
    <w:p w14:paraId="7A205C5A" w14:textId="77777777" w:rsidR="005C5930" w:rsidRDefault="00000000">
      <w:pPr>
        <w:pStyle w:val="ListParagraph"/>
        <w:numPr>
          <w:ilvl w:val="0"/>
          <w:numId w:val="2"/>
        </w:numPr>
        <w:spacing w:after="80" w:line="290" w:lineRule="auto"/>
      </w:pPr>
      <w:r>
        <w:rPr>
          <w:b/>
          <w:bCs/>
        </w:rPr>
        <w:t>500+ cyber incidents</w:t>
      </w:r>
      <w:r>
        <w:t xml:space="preserve"> in Japan in 2026, already a new annual record before November.</w:t>
      </w:r>
    </w:p>
    <w:p w14:paraId="4683DA23" w14:textId="77777777" w:rsidR="005C5930" w:rsidRDefault="00000000">
      <w:pPr>
        <w:pStyle w:val="ListParagraph"/>
        <w:numPr>
          <w:ilvl w:val="0"/>
          <w:numId w:val="2"/>
        </w:numPr>
        <w:spacing w:after="80" w:line="290" w:lineRule="auto"/>
      </w:pPr>
      <w:r>
        <w:rPr>
          <w:b/>
          <w:bCs/>
        </w:rPr>
        <w:t>495 companies and local governments</w:t>
      </w:r>
      <w:r>
        <w:t xml:space="preserve"> affected by a single ransomware attack on one cloud provider, IDC Frontier.</w:t>
      </w:r>
    </w:p>
    <w:p w14:paraId="4B544AB4" w14:textId="77777777" w:rsidR="005C5930" w:rsidRDefault="00000000">
      <w:pPr>
        <w:pStyle w:val="ListParagraph"/>
        <w:numPr>
          <w:ilvl w:val="0"/>
          <w:numId w:val="2"/>
        </w:numPr>
        <w:spacing w:after="80" w:line="290" w:lineRule="auto"/>
      </w:pPr>
      <w:r>
        <w:rPr>
          <w:b/>
          <w:bCs/>
        </w:rPr>
        <w:t>123 ransomware cases</w:t>
      </w:r>
      <w:r>
        <w:t xml:space="preserve"> reported to police in the first half of 2026, the highest ever, most of them at small and medium-sized companies.</w:t>
      </w:r>
    </w:p>
    <w:p w14:paraId="7BC2BAFF" w14:textId="77777777" w:rsidR="005C5930" w:rsidRDefault="00000000">
      <w:pPr>
        <w:pStyle w:val="ListParagraph"/>
        <w:numPr>
          <w:ilvl w:val="0"/>
          <w:numId w:val="2"/>
        </w:numPr>
        <w:spacing w:after="80" w:line="290" w:lineRule="auto"/>
      </w:pPr>
      <w:r>
        <w:rPr>
          <w:b/>
          <w:bCs/>
        </w:rPr>
        <w:t>9 October:</w:t>
      </w:r>
      <w:r>
        <w:t xml:space="preserve"> the government declared a “state of emergency in cyberspace”.</w:t>
      </w:r>
    </w:p>
    <w:p w14:paraId="788CC025" w14:textId="77777777" w:rsidR="005C5930" w:rsidRDefault="00000000">
      <w:pPr>
        <w:spacing w:after="160" w:line="300" w:lineRule="auto"/>
      </w:pPr>
      <w:r>
        <w:lastRenderedPageBreak/>
        <w:t>The timing matters. Japan’s Active Cyber Defense Law took effect on 1 October 2026. It introduces mandatory incident reporting for 257 critical infrastructure operators and gives the government new powers to neutralise attacker infrastructure.</w:t>
      </w:r>
    </w:p>
    <w:p w14:paraId="4AB440DB" w14:textId="77777777" w:rsidR="005C5930" w:rsidRDefault="00000000">
      <w:pPr>
        <w:pStyle w:val="Heading2"/>
      </w:pPr>
      <w:r>
        <w:t>Five weeks of disclosures</w:t>
      </w:r>
    </w:p>
    <w:p w14:paraId="0028DD51" w14:textId="77777777" w:rsidR="005C5930" w:rsidRDefault="00000000">
      <w:pPr>
        <w:spacing w:after="160" w:line="300" w:lineRule="auto"/>
      </w:pPr>
      <w:r>
        <w:t>The wave unfolded quickly. TV Asahi counted more than 40 breach announcements in roughly a month.</w:t>
      </w:r>
    </w:p>
    <w:p w14:paraId="3ABF120A" w14:textId="77777777" w:rsidR="005C5930" w:rsidRDefault="00000000">
      <w:pPr>
        <w:spacing w:before="120" w:after="240"/>
        <w:jc w:val="center"/>
      </w:pPr>
      <w:r>
        <w:rPr>
          <w:noProof/>
        </w:rPr>
        <w:drawing>
          <wp:inline distT="0" distB="0" distL="0" distR="0" wp14:anchorId="71C937A3" wp14:editId="4F685682">
            <wp:extent cx="5905500" cy="3362325"/>
            <wp:effectExtent l="0" t="0" r="0" b="0"/>
            <wp:docPr id="754685741" name="timeline" descr="Timeline of five weeks of disclosures from 25 September to 27 October 2026" title="Timeline of five weeks of disclosures from 25 September to 27 October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905500" cy="3362325"/>
                    </a:xfrm>
                    <a:prstGeom prst="rect">
                      <a:avLst/>
                    </a:prstGeom>
                  </pic:spPr>
                </pic:pic>
              </a:graphicData>
            </a:graphic>
          </wp:inline>
        </w:drawing>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7326"/>
      </w:tblGrid>
      <w:tr w:rsidR="005C5930" w14:paraId="0C3C44C6" w14:textId="77777777">
        <w:tblPrEx>
          <w:tblCellMar>
            <w:top w:w="0" w:type="dxa"/>
            <w:bottom w:w="0" w:type="dxa"/>
          </w:tblCellMar>
        </w:tblPrEx>
        <w:trPr>
          <w:cantSplit/>
          <w:tblHeader/>
        </w:trPr>
        <w:tc>
          <w:tcPr>
            <w:tcW w:w="1700" w:type="dxa"/>
            <w:tcBorders>
              <w:top w:val="single" w:sz="4" w:space="0" w:color="D7DDE8"/>
              <w:left w:val="single" w:sz="4" w:space="0" w:color="D7DDE8"/>
              <w:bottom w:val="single" w:sz="4" w:space="0" w:color="D7DDE8"/>
              <w:right w:val="single" w:sz="4" w:space="0" w:color="D7DDE8"/>
            </w:tcBorders>
            <w:shd w:val="clear" w:color="auto" w:fill="EEF2F8"/>
            <w:tcMar>
              <w:top w:w="90" w:type="dxa"/>
              <w:left w:w="120" w:type="dxa"/>
              <w:bottom w:w="90" w:type="dxa"/>
              <w:right w:w="120" w:type="dxa"/>
            </w:tcMar>
          </w:tcPr>
          <w:p w14:paraId="4F23EA84" w14:textId="77777777" w:rsidR="005C5930" w:rsidRDefault="00000000">
            <w:r>
              <w:rPr>
                <w:b/>
                <w:bCs/>
                <w:sz w:val="20"/>
                <w:szCs w:val="20"/>
              </w:rPr>
              <w:t>Date</w:t>
            </w:r>
          </w:p>
        </w:tc>
        <w:tc>
          <w:tcPr>
            <w:tcW w:w="7326" w:type="dxa"/>
            <w:tcBorders>
              <w:top w:val="single" w:sz="4" w:space="0" w:color="D7DDE8"/>
              <w:left w:val="single" w:sz="4" w:space="0" w:color="D7DDE8"/>
              <w:bottom w:val="single" w:sz="4" w:space="0" w:color="D7DDE8"/>
              <w:right w:val="single" w:sz="4" w:space="0" w:color="D7DDE8"/>
            </w:tcBorders>
            <w:shd w:val="clear" w:color="auto" w:fill="EEF2F8"/>
            <w:tcMar>
              <w:top w:w="90" w:type="dxa"/>
              <w:left w:w="120" w:type="dxa"/>
              <w:bottom w:w="90" w:type="dxa"/>
              <w:right w:w="120" w:type="dxa"/>
            </w:tcMar>
          </w:tcPr>
          <w:p w14:paraId="2FE8ACDC" w14:textId="77777777" w:rsidR="005C5930" w:rsidRDefault="00000000">
            <w:r>
              <w:rPr>
                <w:b/>
                <w:bCs/>
                <w:sz w:val="20"/>
                <w:szCs w:val="20"/>
              </w:rPr>
              <w:t>Event</w:t>
            </w:r>
          </w:p>
        </w:tc>
      </w:tr>
      <w:tr w:rsidR="005C5930" w14:paraId="600E8026" w14:textId="77777777">
        <w:tblPrEx>
          <w:tblCellMar>
            <w:top w:w="0" w:type="dxa"/>
            <w:bottom w:w="0" w:type="dxa"/>
          </w:tblCellMar>
        </w:tblPrEx>
        <w:trPr>
          <w:cantSplit/>
        </w:trPr>
        <w:tc>
          <w:tcPr>
            <w:tcW w:w="1700" w:type="dxa"/>
            <w:tcBorders>
              <w:top w:val="single" w:sz="4" w:space="0" w:color="D7DDE8"/>
              <w:left w:val="single" w:sz="4" w:space="0" w:color="D7DDE8"/>
              <w:bottom w:val="single" w:sz="4" w:space="0" w:color="D7DDE8"/>
              <w:right w:val="single" w:sz="4" w:space="0" w:color="D7DDE8"/>
            </w:tcBorders>
            <w:tcMar>
              <w:top w:w="90" w:type="dxa"/>
              <w:left w:w="120" w:type="dxa"/>
              <w:bottom w:w="90" w:type="dxa"/>
              <w:right w:w="120" w:type="dxa"/>
            </w:tcMar>
          </w:tcPr>
          <w:p w14:paraId="7F271307" w14:textId="77777777" w:rsidR="005C5930" w:rsidRDefault="00000000">
            <w:r>
              <w:rPr>
                <w:sz w:val="20"/>
                <w:szCs w:val="20"/>
              </w:rPr>
              <w:t>25 Sep</w:t>
            </w:r>
          </w:p>
        </w:tc>
        <w:tc>
          <w:tcPr>
            <w:tcW w:w="7326" w:type="dxa"/>
            <w:tcBorders>
              <w:top w:val="single" w:sz="4" w:space="0" w:color="D7DDE8"/>
              <w:left w:val="single" w:sz="4" w:space="0" w:color="D7DDE8"/>
              <w:bottom w:val="single" w:sz="4" w:space="0" w:color="D7DDE8"/>
              <w:right w:val="single" w:sz="4" w:space="0" w:color="D7DDE8"/>
            </w:tcBorders>
            <w:tcMar>
              <w:top w:w="90" w:type="dxa"/>
              <w:left w:w="120" w:type="dxa"/>
              <w:bottom w:w="90" w:type="dxa"/>
              <w:right w:w="120" w:type="dxa"/>
            </w:tcMar>
          </w:tcPr>
          <w:p w14:paraId="1911EF1A" w14:textId="77777777" w:rsidR="005C5930" w:rsidRDefault="00000000">
            <w:r>
              <w:rPr>
                <w:sz w:val="20"/>
                <w:szCs w:val="20"/>
              </w:rPr>
              <w:t>Times Car discloses about 6.6 million records; Tokyo Metro’s outsourced mail server is accessed</w:t>
            </w:r>
          </w:p>
        </w:tc>
      </w:tr>
      <w:tr w:rsidR="005C5930" w14:paraId="78C64DF4" w14:textId="77777777">
        <w:tblPrEx>
          <w:tblCellMar>
            <w:top w:w="0" w:type="dxa"/>
            <w:bottom w:w="0" w:type="dxa"/>
          </w:tblCellMar>
        </w:tblPrEx>
        <w:trPr>
          <w:cantSplit/>
        </w:trPr>
        <w:tc>
          <w:tcPr>
            <w:tcW w:w="1700" w:type="dxa"/>
            <w:tcBorders>
              <w:top w:val="single" w:sz="4" w:space="0" w:color="D7DDE8"/>
              <w:left w:val="single" w:sz="4" w:space="0" w:color="D7DDE8"/>
              <w:bottom w:val="single" w:sz="4" w:space="0" w:color="D7DDE8"/>
              <w:right w:val="single" w:sz="4" w:space="0" w:color="D7DDE8"/>
            </w:tcBorders>
            <w:tcMar>
              <w:top w:w="90" w:type="dxa"/>
              <w:left w:w="120" w:type="dxa"/>
              <w:bottom w:w="90" w:type="dxa"/>
              <w:right w:w="120" w:type="dxa"/>
            </w:tcMar>
          </w:tcPr>
          <w:p w14:paraId="27572B7D" w14:textId="77777777" w:rsidR="005C5930" w:rsidRDefault="00000000">
            <w:r>
              <w:rPr>
                <w:sz w:val="20"/>
                <w:szCs w:val="20"/>
              </w:rPr>
              <w:t>2 Oct</w:t>
            </w:r>
          </w:p>
        </w:tc>
        <w:tc>
          <w:tcPr>
            <w:tcW w:w="7326" w:type="dxa"/>
            <w:tcBorders>
              <w:top w:val="single" w:sz="4" w:space="0" w:color="D7DDE8"/>
              <w:left w:val="single" w:sz="4" w:space="0" w:color="D7DDE8"/>
              <w:bottom w:val="single" w:sz="4" w:space="0" w:color="D7DDE8"/>
              <w:right w:val="single" w:sz="4" w:space="0" w:color="D7DDE8"/>
            </w:tcBorders>
            <w:tcMar>
              <w:top w:w="90" w:type="dxa"/>
              <w:left w:w="120" w:type="dxa"/>
              <w:bottom w:w="90" w:type="dxa"/>
              <w:right w:w="120" w:type="dxa"/>
            </w:tcMar>
          </w:tcPr>
          <w:p w14:paraId="562C33A6" w14:textId="77777777" w:rsidR="005C5930" w:rsidRDefault="00000000">
            <w:r>
              <w:rPr>
                <w:sz w:val="20"/>
                <w:szCs w:val="20"/>
              </w:rPr>
              <w:t>Ransomware at Osaka Metropolitan University stops about 500 servers</w:t>
            </w:r>
          </w:p>
        </w:tc>
      </w:tr>
      <w:tr w:rsidR="005C5930" w14:paraId="366CDBDE" w14:textId="77777777">
        <w:tblPrEx>
          <w:tblCellMar>
            <w:top w:w="0" w:type="dxa"/>
            <w:bottom w:w="0" w:type="dxa"/>
          </w:tblCellMar>
        </w:tblPrEx>
        <w:trPr>
          <w:cantSplit/>
        </w:trPr>
        <w:tc>
          <w:tcPr>
            <w:tcW w:w="1700" w:type="dxa"/>
            <w:tcBorders>
              <w:top w:val="single" w:sz="4" w:space="0" w:color="D7DDE8"/>
              <w:left w:val="single" w:sz="4" w:space="0" w:color="D7DDE8"/>
              <w:bottom w:val="single" w:sz="4" w:space="0" w:color="D7DDE8"/>
              <w:right w:val="single" w:sz="4" w:space="0" w:color="D7DDE8"/>
            </w:tcBorders>
            <w:tcMar>
              <w:top w:w="90" w:type="dxa"/>
              <w:left w:w="120" w:type="dxa"/>
              <w:bottom w:w="90" w:type="dxa"/>
              <w:right w:w="120" w:type="dxa"/>
            </w:tcMar>
          </w:tcPr>
          <w:p w14:paraId="6AA983FF" w14:textId="77777777" w:rsidR="005C5930" w:rsidRDefault="00000000">
            <w:r>
              <w:rPr>
                <w:sz w:val="20"/>
                <w:szCs w:val="20"/>
              </w:rPr>
              <w:t>5 Oct</w:t>
            </w:r>
          </w:p>
        </w:tc>
        <w:tc>
          <w:tcPr>
            <w:tcW w:w="7326" w:type="dxa"/>
            <w:tcBorders>
              <w:top w:val="single" w:sz="4" w:space="0" w:color="D7DDE8"/>
              <w:left w:val="single" w:sz="4" w:space="0" w:color="D7DDE8"/>
              <w:bottom w:val="single" w:sz="4" w:space="0" w:color="D7DDE8"/>
              <w:right w:val="single" w:sz="4" w:space="0" w:color="D7DDE8"/>
            </w:tcBorders>
            <w:tcMar>
              <w:top w:w="90" w:type="dxa"/>
              <w:left w:w="120" w:type="dxa"/>
              <w:bottom w:w="90" w:type="dxa"/>
              <w:right w:w="120" w:type="dxa"/>
            </w:tcMar>
          </w:tcPr>
          <w:p w14:paraId="0439BF4F" w14:textId="77777777" w:rsidR="005C5930" w:rsidRDefault="00000000">
            <w:r>
              <w:rPr>
                <w:sz w:val="20"/>
                <w:szCs w:val="20"/>
              </w:rPr>
              <w:t>Yakiniku King (10.8 million records); Daiwa Securities hit through its vendor Scala Communications</w:t>
            </w:r>
          </w:p>
        </w:tc>
      </w:tr>
      <w:tr w:rsidR="005C5930" w14:paraId="1DD3A6A4" w14:textId="77777777">
        <w:tblPrEx>
          <w:tblCellMar>
            <w:top w:w="0" w:type="dxa"/>
            <w:bottom w:w="0" w:type="dxa"/>
          </w:tblCellMar>
        </w:tblPrEx>
        <w:trPr>
          <w:cantSplit/>
        </w:trPr>
        <w:tc>
          <w:tcPr>
            <w:tcW w:w="1700" w:type="dxa"/>
            <w:tcBorders>
              <w:top w:val="single" w:sz="4" w:space="0" w:color="D7DDE8"/>
              <w:left w:val="single" w:sz="4" w:space="0" w:color="D7DDE8"/>
              <w:bottom w:val="single" w:sz="4" w:space="0" w:color="D7DDE8"/>
              <w:right w:val="single" w:sz="4" w:space="0" w:color="D7DDE8"/>
            </w:tcBorders>
            <w:tcMar>
              <w:top w:w="90" w:type="dxa"/>
              <w:left w:w="120" w:type="dxa"/>
              <w:bottom w:w="90" w:type="dxa"/>
              <w:right w:w="120" w:type="dxa"/>
            </w:tcMar>
          </w:tcPr>
          <w:p w14:paraId="093BA6E6" w14:textId="77777777" w:rsidR="005C5930" w:rsidRDefault="00000000">
            <w:r>
              <w:rPr>
                <w:sz w:val="20"/>
                <w:szCs w:val="20"/>
              </w:rPr>
              <w:t>7 Oct</w:t>
            </w:r>
          </w:p>
        </w:tc>
        <w:tc>
          <w:tcPr>
            <w:tcW w:w="7326" w:type="dxa"/>
            <w:tcBorders>
              <w:top w:val="single" w:sz="4" w:space="0" w:color="D7DDE8"/>
              <w:left w:val="single" w:sz="4" w:space="0" w:color="D7DDE8"/>
              <w:bottom w:val="single" w:sz="4" w:space="0" w:color="D7DDE8"/>
              <w:right w:val="single" w:sz="4" w:space="0" w:color="D7DDE8"/>
            </w:tcBorders>
            <w:tcMar>
              <w:top w:w="90" w:type="dxa"/>
              <w:left w:w="120" w:type="dxa"/>
              <w:bottom w:w="90" w:type="dxa"/>
              <w:right w:w="120" w:type="dxa"/>
            </w:tcMar>
          </w:tcPr>
          <w:p w14:paraId="507E7176" w14:textId="77777777" w:rsidR="005C5930" w:rsidRDefault="00000000">
            <w:r>
              <w:rPr>
                <w:sz w:val="20"/>
                <w:szCs w:val="20"/>
              </w:rPr>
              <w:t>Ransomware at IDC Frontier’s cloud affects 495 companies and local governments</w:t>
            </w:r>
          </w:p>
        </w:tc>
      </w:tr>
      <w:tr w:rsidR="005C5930" w14:paraId="01D25DF7" w14:textId="77777777">
        <w:tblPrEx>
          <w:tblCellMar>
            <w:top w:w="0" w:type="dxa"/>
            <w:bottom w:w="0" w:type="dxa"/>
          </w:tblCellMar>
        </w:tblPrEx>
        <w:trPr>
          <w:cantSplit/>
        </w:trPr>
        <w:tc>
          <w:tcPr>
            <w:tcW w:w="1700" w:type="dxa"/>
            <w:tcBorders>
              <w:top w:val="single" w:sz="4" w:space="0" w:color="D7DDE8"/>
              <w:left w:val="single" w:sz="4" w:space="0" w:color="D7DDE8"/>
              <w:bottom w:val="single" w:sz="4" w:space="0" w:color="D7DDE8"/>
              <w:right w:val="single" w:sz="4" w:space="0" w:color="D7DDE8"/>
            </w:tcBorders>
            <w:tcMar>
              <w:top w:w="90" w:type="dxa"/>
              <w:left w:w="120" w:type="dxa"/>
              <w:bottom w:w="90" w:type="dxa"/>
              <w:right w:w="120" w:type="dxa"/>
            </w:tcMar>
          </w:tcPr>
          <w:p w14:paraId="5BACB532" w14:textId="77777777" w:rsidR="005C5930" w:rsidRDefault="00000000">
            <w:r>
              <w:rPr>
                <w:sz w:val="20"/>
                <w:szCs w:val="20"/>
              </w:rPr>
              <w:t>9 Oct</w:t>
            </w:r>
          </w:p>
        </w:tc>
        <w:tc>
          <w:tcPr>
            <w:tcW w:w="7326" w:type="dxa"/>
            <w:tcBorders>
              <w:top w:val="single" w:sz="4" w:space="0" w:color="D7DDE8"/>
              <w:left w:val="single" w:sz="4" w:space="0" w:color="D7DDE8"/>
              <w:bottom w:val="single" w:sz="4" w:space="0" w:color="D7DDE8"/>
              <w:right w:val="single" w:sz="4" w:space="0" w:color="D7DDE8"/>
            </w:tcBorders>
            <w:tcMar>
              <w:top w:w="90" w:type="dxa"/>
              <w:left w:w="120" w:type="dxa"/>
              <w:bottom w:w="90" w:type="dxa"/>
              <w:right w:w="120" w:type="dxa"/>
            </w:tcMar>
          </w:tcPr>
          <w:p w14:paraId="0BB03448" w14:textId="77777777" w:rsidR="005C5930" w:rsidRDefault="00000000">
            <w:r>
              <w:rPr>
                <w:sz w:val="20"/>
                <w:szCs w:val="20"/>
              </w:rPr>
              <w:t>Government declares a state of emergency in cyberspace</w:t>
            </w:r>
          </w:p>
        </w:tc>
      </w:tr>
      <w:tr w:rsidR="005C5930" w14:paraId="2A7A70C2" w14:textId="77777777">
        <w:tblPrEx>
          <w:tblCellMar>
            <w:top w:w="0" w:type="dxa"/>
            <w:bottom w:w="0" w:type="dxa"/>
          </w:tblCellMar>
        </w:tblPrEx>
        <w:trPr>
          <w:cantSplit/>
        </w:trPr>
        <w:tc>
          <w:tcPr>
            <w:tcW w:w="1700" w:type="dxa"/>
            <w:tcBorders>
              <w:top w:val="single" w:sz="4" w:space="0" w:color="D7DDE8"/>
              <w:left w:val="single" w:sz="4" w:space="0" w:color="D7DDE8"/>
              <w:bottom w:val="single" w:sz="4" w:space="0" w:color="D7DDE8"/>
              <w:right w:val="single" w:sz="4" w:space="0" w:color="D7DDE8"/>
            </w:tcBorders>
            <w:tcMar>
              <w:top w:w="90" w:type="dxa"/>
              <w:left w:w="120" w:type="dxa"/>
              <w:bottom w:w="90" w:type="dxa"/>
              <w:right w:w="120" w:type="dxa"/>
            </w:tcMar>
          </w:tcPr>
          <w:p w14:paraId="7E6B7BDB" w14:textId="77777777" w:rsidR="005C5930" w:rsidRDefault="00000000">
            <w:r>
              <w:rPr>
                <w:sz w:val="20"/>
                <w:szCs w:val="20"/>
              </w:rPr>
              <w:t>17 Oct</w:t>
            </w:r>
          </w:p>
        </w:tc>
        <w:tc>
          <w:tcPr>
            <w:tcW w:w="7326" w:type="dxa"/>
            <w:tcBorders>
              <w:top w:val="single" w:sz="4" w:space="0" w:color="D7DDE8"/>
              <w:left w:val="single" w:sz="4" w:space="0" w:color="D7DDE8"/>
              <w:bottom w:val="single" w:sz="4" w:space="0" w:color="D7DDE8"/>
              <w:right w:val="single" w:sz="4" w:space="0" w:color="D7DDE8"/>
            </w:tcBorders>
            <w:tcMar>
              <w:top w:w="90" w:type="dxa"/>
              <w:left w:w="120" w:type="dxa"/>
              <w:bottom w:w="90" w:type="dxa"/>
              <w:right w:w="120" w:type="dxa"/>
            </w:tcMar>
          </w:tcPr>
          <w:p w14:paraId="7C7B8A6D" w14:textId="77777777" w:rsidR="005C5930" w:rsidRDefault="00000000">
            <w:r>
              <w:rPr>
                <w:sz w:val="20"/>
                <w:szCs w:val="20"/>
              </w:rPr>
              <w:t>First attempts to exploit the PHP2Shell flaws, before any patch exists</w:t>
            </w:r>
          </w:p>
        </w:tc>
      </w:tr>
      <w:tr w:rsidR="005C5930" w14:paraId="6A61B16F" w14:textId="77777777">
        <w:tblPrEx>
          <w:tblCellMar>
            <w:top w:w="0" w:type="dxa"/>
            <w:bottom w:w="0" w:type="dxa"/>
          </w:tblCellMar>
        </w:tblPrEx>
        <w:trPr>
          <w:cantSplit/>
        </w:trPr>
        <w:tc>
          <w:tcPr>
            <w:tcW w:w="1700" w:type="dxa"/>
            <w:tcBorders>
              <w:top w:val="single" w:sz="4" w:space="0" w:color="D7DDE8"/>
              <w:left w:val="single" w:sz="4" w:space="0" w:color="D7DDE8"/>
              <w:bottom w:val="single" w:sz="4" w:space="0" w:color="D7DDE8"/>
              <w:right w:val="single" w:sz="4" w:space="0" w:color="D7DDE8"/>
            </w:tcBorders>
            <w:tcMar>
              <w:top w:w="90" w:type="dxa"/>
              <w:left w:w="120" w:type="dxa"/>
              <w:bottom w:w="90" w:type="dxa"/>
              <w:right w:w="120" w:type="dxa"/>
            </w:tcMar>
          </w:tcPr>
          <w:p w14:paraId="36449161" w14:textId="77777777" w:rsidR="005C5930" w:rsidRDefault="00000000">
            <w:r>
              <w:rPr>
                <w:sz w:val="20"/>
                <w:szCs w:val="20"/>
              </w:rPr>
              <w:t>21 Oct</w:t>
            </w:r>
          </w:p>
        </w:tc>
        <w:tc>
          <w:tcPr>
            <w:tcW w:w="7326" w:type="dxa"/>
            <w:tcBorders>
              <w:top w:val="single" w:sz="4" w:space="0" w:color="D7DDE8"/>
              <w:left w:val="single" w:sz="4" w:space="0" w:color="D7DDE8"/>
              <w:bottom w:val="single" w:sz="4" w:space="0" w:color="D7DDE8"/>
              <w:right w:val="single" w:sz="4" w:space="0" w:color="D7DDE8"/>
            </w:tcBorders>
            <w:tcMar>
              <w:top w:w="90" w:type="dxa"/>
              <w:left w:w="120" w:type="dxa"/>
              <w:bottom w:w="90" w:type="dxa"/>
              <w:right w:w="120" w:type="dxa"/>
            </w:tcMar>
          </w:tcPr>
          <w:p w14:paraId="7F89F3FA" w14:textId="77777777" w:rsidR="005C5930" w:rsidRDefault="00000000">
            <w:r>
              <w:rPr>
                <w:sz w:val="20"/>
                <w:szCs w:val="20"/>
              </w:rPr>
              <w:t>PHP patch released; Japanese banks and agencies pause websites; data of 13,000 Saitama Police staff at risk</w:t>
            </w:r>
          </w:p>
        </w:tc>
      </w:tr>
      <w:tr w:rsidR="005C5930" w14:paraId="71AE698A" w14:textId="77777777">
        <w:tblPrEx>
          <w:tblCellMar>
            <w:top w:w="0" w:type="dxa"/>
            <w:bottom w:w="0" w:type="dxa"/>
          </w:tblCellMar>
        </w:tblPrEx>
        <w:trPr>
          <w:cantSplit/>
        </w:trPr>
        <w:tc>
          <w:tcPr>
            <w:tcW w:w="1700" w:type="dxa"/>
            <w:tcBorders>
              <w:top w:val="single" w:sz="4" w:space="0" w:color="D7DDE8"/>
              <w:left w:val="single" w:sz="4" w:space="0" w:color="D7DDE8"/>
              <w:bottom w:val="single" w:sz="4" w:space="0" w:color="D7DDE8"/>
              <w:right w:val="single" w:sz="4" w:space="0" w:color="D7DDE8"/>
            </w:tcBorders>
            <w:tcMar>
              <w:top w:w="90" w:type="dxa"/>
              <w:left w:w="120" w:type="dxa"/>
              <w:bottom w:w="90" w:type="dxa"/>
              <w:right w:w="120" w:type="dxa"/>
            </w:tcMar>
          </w:tcPr>
          <w:p w14:paraId="40E0D3A7" w14:textId="77777777" w:rsidR="005C5930" w:rsidRDefault="00000000">
            <w:r>
              <w:rPr>
                <w:sz w:val="20"/>
                <w:szCs w:val="20"/>
              </w:rPr>
              <w:t>26–27 Oct</w:t>
            </w:r>
          </w:p>
        </w:tc>
        <w:tc>
          <w:tcPr>
            <w:tcW w:w="7326" w:type="dxa"/>
            <w:tcBorders>
              <w:top w:val="single" w:sz="4" w:space="0" w:color="D7DDE8"/>
              <w:left w:val="single" w:sz="4" w:space="0" w:color="D7DDE8"/>
              <w:bottom w:val="single" w:sz="4" w:space="0" w:color="D7DDE8"/>
              <w:right w:val="single" w:sz="4" w:space="0" w:color="D7DDE8"/>
            </w:tcBorders>
            <w:tcMar>
              <w:top w:w="90" w:type="dxa"/>
              <w:left w:w="120" w:type="dxa"/>
              <w:bottom w:w="90" w:type="dxa"/>
              <w:right w:w="120" w:type="dxa"/>
            </w:tcMar>
          </w:tcPr>
          <w:p w14:paraId="0C248FD4" w14:textId="77777777" w:rsidR="005C5930" w:rsidRDefault="00000000">
            <w:r>
              <w:rPr>
                <w:sz w:val="20"/>
                <w:szCs w:val="20"/>
              </w:rPr>
              <w:t>GMO Internet Group FX breach; $50 million ransom refused</w:t>
            </w:r>
          </w:p>
        </w:tc>
      </w:tr>
    </w:tbl>
    <w:p w14:paraId="4B13D5CF" w14:textId="77777777" w:rsidR="005C5930" w:rsidRDefault="005C5930">
      <w:pPr>
        <w:spacing w:after="120"/>
      </w:pPr>
    </w:p>
    <w:p w14:paraId="37E0D090" w14:textId="77777777" w:rsidR="00FD7A5E" w:rsidRDefault="00FD7A5E">
      <w:pPr>
        <w:pStyle w:val="Heading2"/>
      </w:pPr>
    </w:p>
    <w:p w14:paraId="52FE37A5" w14:textId="7FF0119E" w:rsidR="005C5930" w:rsidRDefault="00000000">
      <w:pPr>
        <w:pStyle w:val="Heading2"/>
      </w:pPr>
      <w:r>
        <w:lastRenderedPageBreak/>
        <w:t>Six ways the attacks unfolded</w:t>
      </w:r>
    </w:p>
    <w:p w14:paraId="7DA99FC9" w14:textId="77777777" w:rsidR="005C5930" w:rsidRDefault="00000000">
      <w:pPr>
        <w:spacing w:before="120" w:after="240"/>
        <w:jc w:val="center"/>
      </w:pPr>
      <w:r>
        <w:rPr>
          <w:noProof/>
        </w:rPr>
        <w:drawing>
          <wp:inline distT="0" distB="0" distL="0" distR="0" wp14:anchorId="70CBA173" wp14:editId="4EFDAC04">
            <wp:extent cx="5905500" cy="3867150"/>
            <wp:effectExtent l="0" t="0" r="0" b="0"/>
            <wp:docPr id="1851718284" name="types" descr="Six attack types: ransomware, data theft and extortion, supply chain, AI-accelerated, vulnerability exploits, accounts and settings" title="Six attack typ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3867150"/>
                    </a:xfrm>
                    <a:prstGeom prst="rect">
                      <a:avLst/>
                    </a:prstGeom>
                  </pic:spPr>
                </pic:pic>
              </a:graphicData>
            </a:graphic>
          </wp:inline>
        </w:drawing>
      </w:r>
    </w:p>
    <w:p w14:paraId="6F63E2F8" w14:textId="77777777" w:rsidR="005C5930" w:rsidRDefault="00000000">
      <w:pPr>
        <w:spacing w:after="160" w:line="300" w:lineRule="auto"/>
      </w:pPr>
      <w:r>
        <w:t>The incidents fall into six broad types:</w:t>
      </w:r>
    </w:p>
    <w:p w14:paraId="66073529" w14:textId="77777777" w:rsidR="005C5930" w:rsidRDefault="00000000">
      <w:pPr>
        <w:pStyle w:val="ListParagraph"/>
        <w:numPr>
          <w:ilvl w:val="0"/>
          <w:numId w:val="2"/>
        </w:numPr>
        <w:spacing w:after="80" w:line="290" w:lineRule="auto"/>
      </w:pPr>
      <w:r>
        <w:rPr>
          <w:b/>
          <w:bCs/>
        </w:rPr>
        <w:t>Ransomware.</w:t>
      </w:r>
      <w:r>
        <w:t xml:space="preserve"> Attackers encrypted servers and, in this wave, often the backups too, then demanded payment.</w:t>
      </w:r>
    </w:p>
    <w:p w14:paraId="3D8F437B" w14:textId="77777777" w:rsidR="005C5930" w:rsidRDefault="00000000">
      <w:pPr>
        <w:pStyle w:val="ListParagraph"/>
        <w:numPr>
          <w:ilvl w:val="0"/>
          <w:numId w:val="2"/>
        </w:numPr>
        <w:spacing w:after="80" w:line="290" w:lineRule="auto"/>
      </w:pPr>
      <w:r>
        <w:rPr>
          <w:b/>
          <w:bCs/>
        </w:rPr>
        <w:t>Data theft and extortion.</w:t>
      </w:r>
      <w:r>
        <w:t xml:space="preserve"> Customer records were stolen with threats to leak them. This was the biggest driver of the October spike.</w:t>
      </w:r>
    </w:p>
    <w:p w14:paraId="3C1C9A81" w14:textId="77777777" w:rsidR="005C5930" w:rsidRDefault="00000000">
      <w:pPr>
        <w:pStyle w:val="ListParagraph"/>
        <w:numPr>
          <w:ilvl w:val="0"/>
          <w:numId w:val="2"/>
        </w:numPr>
        <w:spacing w:after="80" w:line="290" w:lineRule="auto"/>
      </w:pPr>
      <w:r>
        <w:rPr>
          <w:b/>
          <w:bCs/>
        </w:rPr>
        <w:t>Supply chain.</w:t>
      </w:r>
      <w:r>
        <w:t xml:space="preserve"> A breach at a vendor or cloud provider reached every client that depended on it.</w:t>
      </w:r>
    </w:p>
    <w:p w14:paraId="30601205" w14:textId="77777777" w:rsidR="005C5930" w:rsidRDefault="00000000">
      <w:pPr>
        <w:pStyle w:val="ListParagraph"/>
        <w:numPr>
          <w:ilvl w:val="0"/>
          <w:numId w:val="2"/>
        </w:numPr>
        <w:spacing w:after="80" w:line="290" w:lineRule="auto"/>
      </w:pPr>
      <w:r>
        <w:rPr>
          <w:b/>
          <w:bCs/>
        </w:rPr>
        <w:t>Vulnerability exploits.</w:t>
      </w:r>
      <w:r>
        <w:t xml:space="preserve"> Unpatched software was targeted, most notably through the PHP2Shell flaws.</w:t>
      </w:r>
    </w:p>
    <w:p w14:paraId="70A00468" w14:textId="77777777" w:rsidR="005C5930" w:rsidRDefault="00000000">
      <w:pPr>
        <w:pStyle w:val="ListParagraph"/>
        <w:numPr>
          <w:ilvl w:val="0"/>
          <w:numId w:val="2"/>
        </w:numPr>
        <w:spacing w:after="80" w:line="290" w:lineRule="auto"/>
      </w:pPr>
      <w:r>
        <w:rPr>
          <w:b/>
          <w:bCs/>
        </w:rPr>
        <w:t>Accounts and settings.</w:t>
      </w:r>
      <w:r>
        <w:t xml:space="preserve"> Hijacked accounts and misconfigured CMS or API settings opened other doors.</w:t>
      </w:r>
    </w:p>
    <w:p w14:paraId="45D60BA2" w14:textId="77777777" w:rsidR="005C5930" w:rsidRDefault="00000000">
      <w:pPr>
        <w:pStyle w:val="ListParagraph"/>
        <w:numPr>
          <w:ilvl w:val="0"/>
          <w:numId w:val="2"/>
        </w:numPr>
        <w:spacing w:after="80" w:line="290" w:lineRule="auto"/>
      </w:pPr>
      <w:r>
        <w:rPr>
          <w:b/>
          <w:bCs/>
        </w:rPr>
        <w:t>AI-accelerated attacks.</w:t>
      </w:r>
      <w:r>
        <w:t xml:space="preserve"> On 19 October, GMO Cybersecurity by IERAE linked infrastructure targeting about 20 Japanese companies to ARTEX, a Chinese-developed AI penetration-testing tool. No single attacker has been officially named.</w:t>
      </w:r>
    </w:p>
    <w:p w14:paraId="3F891773" w14:textId="77777777" w:rsidR="005C5930" w:rsidRDefault="00000000">
      <w:pPr>
        <w:pStyle w:val="Heading2"/>
      </w:pPr>
      <w:r>
        <w:t>Key incidents</w:t>
      </w:r>
    </w:p>
    <w:p w14:paraId="09556934" w14:textId="77777777" w:rsidR="005C5930" w:rsidRDefault="00000000">
      <w:pPr>
        <w:pStyle w:val="Heading3"/>
      </w:pPr>
      <w:r>
        <w:t>Ransomware: one shared layer, hundreds of victims</w:t>
      </w:r>
    </w:p>
    <w:p w14:paraId="2CB19BE0" w14:textId="77777777" w:rsidR="005C5930" w:rsidRDefault="00000000">
      <w:pPr>
        <w:spacing w:after="160" w:line="300" w:lineRule="auto"/>
      </w:pPr>
      <w:r>
        <w:rPr>
          <w:b/>
          <w:bCs/>
        </w:rPr>
        <w:t xml:space="preserve">IDC Frontier (SoftBank’s cloud subsidiary). </w:t>
      </w:r>
      <w:r>
        <w:t xml:space="preserve">At about 03:40 on 7 October, ransomware hit its IDCF Cloud East Japan Region 1, affecting 495 customer organisations at once. Customers such as JR East and Views Card then disclosed that up to about 6 million member records may </w:t>
      </w:r>
      <w:r>
        <w:lastRenderedPageBreak/>
        <w:t>have been exposed. IDC Frontier told customers that data in the affected zones would be difficult to recover and that they should restore from their own backups.</w:t>
      </w:r>
    </w:p>
    <w:p w14:paraId="34B5ABC1" w14:textId="77777777" w:rsidR="005C5930" w:rsidRDefault="00000000">
      <w:pPr>
        <w:spacing w:after="160" w:line="300" w:lineRule="auto"/>
      </w:pPr>
      <w:r>
        <w:rPr>
          <w:b/>
          <w:bCs/>
        </w:rPr>
        <w:t xml:space="preserve">Osaka Metropolitan University. </w:t>
      </w:r>
      <w:r>
        <w:t>On 2 October, an outage spread across all five campuses. The attacker reached the shared virtualisation platform underneath many systems, about 500 servers stopped, and most backups were encrypted too.</w:t>
      </w:r>
    </w:p>
    <w:p w14:paraId="388ADA9D" w14:textId="77777777" w:rsidR="005C5930" w:rsidRDefault="00000000">
      <w:pPr>
        <w:spacing w:after="160" w:line="300" w:lineRule="auto"/>
      </w:pPr>
      <w:r>
        <w:rPr>
          <w:b/>
          <w:bCs/>
        </w:rPr>
        <w:t xml:space="preserve">The lesson: </w:t>
      </w:r>
      <w:r>
        <w:t>backups and recovery systems that live on the same layer as production fail together. If your backups depend on the layer that was attacked, you do not really have a backup.</w:t>
      </w:r>
    </w:p>
    <w:p w14:paraId="41F18829" w14:textId="77777777" w:rsidR="005C5930" w:rsidRDefault="00000000">
      <w:pPr>
        <w:spacing w:before="120" w:after="240"/>
        <w:jc w:val="center"/>
      </w:pPr>
      <w:r>
        <w:rPr>
          <w:noProof/>
        </w:rPr>
        <w:drawing>
          <wp:inline distT="0" distB="0" distL="0" distR="0" wp14:anchorId="74BCFD3A" wp14:editId="114B89DE">
            <wp:extent cx="5905500" cy="4010025"/>
            <wp:effectExtent l="0" t="0" r="0" b="0"/>
            <wp:docPr id="1859314350" name="layer" descr="Why the backups failed: backups on the same virtualization or cloud layer were encrypted together with production; an isolated backup survives" title="Why the backups fai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05500" cy="4010025"/>
                    </a:xfrm>
                    <a:prstGeom prst="rect">
                      <a:avLst/>
                    </a:prstGeom>
                  </pic:spPr>
                </pic:pic>
              </a:graphicData>
            </a:graphic>
          </wp:inline>
        </w:drawing>
      </w:r>
    </w:p>
    <w:p w14:paraId="6A015F8A" w14:textId="77777777" w:rsidR="005C5930" w:rsidRDefault="00000000">
      <w:pPr>
        <w:pStyle w:val="Heading3"/>
      </w:pPr>
      <w:r>
        <w:t>Data breaches: how the attackers got in</w:t>
      </w:r>
    </w:p>
    <w:p w14:paraId="51BB1862" w14:textId="77777777" w:rsidR="005C5930" w:rsidRDefault="00000000">
      <w:pPr>
        <w:spacing w:after="160" w:line="300" w:lineRule="auto"/>
      </w:pPr>
      <w:r>
        <w:t>Where companies disclosed how attackers got in, the entry points were ordinary: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5C5930" w14:paraId="14FE0EC3" w14:textId="77777777">
        <w:tblPrEx>
          <w:tblCellMar>
            <w:top w:w="0" w:type="dxa"/>
            <w:bottom w:w="0" w:type="dxa"/>
          </w:tblCellMar>
        </w:tblPrEx>
        <w:trPr>
          <w:cantSplit/>
          <w:tblHeader/>
        </w:trPr>
        <w:tc>
          <w:tcPr>
            <w:tcW w:w="2600" w:type="dxa"/>
            <w:tcBorders>
              <w:top w:val="single" w:sz="4" w:space="0" w:color="D7DDE8"/>
              <w:left w:val="single" w:sz="4" w:space="0" w:color="D7DDE8"/>
              <w:bottom w:val="single" w:sz="4" w:space="0" w:color="D7DDE8"/>
              <w:right w:val="single" w:sz="4" w:space="0" w:color="D7DDE8"/>
            </w:tcBorders>
            <w:shd w:val="clear" w:color="auto" w:fill="EEF2F8"/>
            <w:tcMar>
              <w:top w:w="90" w:type="dxa"/>
              <w:left w:w="120" w:type="dxa"/>
              <w:bottom w:w="90" w:type="dxa"/>
              <w:right w:w="120" w:type="dxa"/>
            </w:tcMar>
          </w:tcPr>
          <w:p w14:paraId="11A34CFC" w14:textId="77777777" w:rsidR="005C5930" w:rsidRDefault="00000000">
            <w:r>
              <w:rPr>
                <w:b/>
                <w:bCs/>
                <w:sz w:val="20"/>
                <w:szCs w:val="20"/>
              </w:rPr>
              <w:t>Entry point</w:t>
            </w:r>
          </w:p>
        </w:tc>
        <w:tc>
          <w:tcPr>
            <w:tcW w:w="6426" w:type="dxa"/>
            <w:tcBorders>
              <w:top w:val="single" w:sz="4" w:space="0" w:color="D7DDE8"/>
              <w:left w:val="single" w:sz="4" w:space="0" w:color="D7DDE8"/>
              <w:bottom w:val="single" w:sz="4" w:space="0" w:color="D7DDE8"/>
              <w:right w:val="single" w:sz="4" w:space="0" w:color="D7DDE8"/>
            </w:tcBorders>
            <w:shd w:val="clear" w:color="auto" w:fill="EEF2F8"/>
            <w:tcMar>
              <w:top w:w="90" w:type="dxa"/>
              <w:left w:w="120" w:type="dxa"/>
              <w:bottom w:w="90" w:type="dxa"/>
              <w:right w:w="120" w:type="dxa"/>
            </w:tcMar>
          </w:tcPr>
          <w:p w14:paraId="40CD09CF" w14:textId="77777777" w:rsidR="005C5930" w:rsidRDefault="00000000">
            <w:r>
              <w:rPr>
                <w:b/>
                <w:bCs/>
                <w:sz w:val="20"/>
                <w:szCs w:val="20"/>
              </w:rPr>
              <w:t>Disclosed examples</w:t>
            </w:r>
          </w:p>
        </w:tc>
      </w:tr>
      <w:tr w:rsidR="005C5930" w14:paraId="4EE0C649" w14:textId="77777777">
        <w:tblPrEx>
          <w:tblCellMar>
            <w:top w:w="0" w:type="dxa"/>
            <w:bottom w:w="0" w:type="dxa"/>
          </w:tblCellMar>
        </w:tblPrEx>
        <w:trPr>
          <w:cantSplit/>
        </w:trPr>
        <w:tc>
          <w:tcPr>
            <w:tcW w:w="2600" w:type="dxa"/>
            <w:tcBorders>
              <w:top w:val="single" w:sz="4" w:space="0" w:color="D7DDE8"/>
              <w:left w:val="single" w:sz="4" w:space="0" w:color="D7DDE8"/>
              <w:bottom w:val="single" w:sz="4" w:space="0" w:color="D7DDE8"/>
              <w:right w:val="single" w:sz="4" w:space="0" w:color="D7DDE8"/>
            </w:tcBorders>
            <w:tcMar>
              <w:top w:w="90" w:type="dxa"/>
              <w:left w:w="120" w:type="dxa"/>
              <w:bottom w:w="90" w:type="dxa"/>
              <w:right w:w="120" w:type="dxa"/>
            </w:tcMar>
          </w:tcPr>
          <w:p w14:paraId="71890A08" w14:textId="77777777" w:rsidR="005C5930" w:rsidRDefault="00000000">
            <w:r>
              <w:rPr>
                <w:sz w:val="20"/>
                <w:szCs w:val="20"/>
              </w:rPr>
              <w:t>A vendor’s server</w:t>
            </w:r>
          </w:p>
        </w:tc>
        <w:tc>
          <w:tcPr>
            <w:tcW w:w="6426" w:type="dxa"/>
            <w:tcBorders>
              <w:top w:val="single" w:sz="4" w:space="0" w:color="D7DDE8"/>
              <w:left w:val="single" w:sz="4" w:space="0" w:color="D7DDE8"/>
              <w:bottom w:val="single" w:sz="4" w:space="0" w:color="D7DDE8"/>
              <w:right w:val="single" w:sz="4" w:space="0" w:color="D7DDE8"/>
            </w:tcBorders>
            <w:tcMar>
              <w:top w:w="90" w:type="dxa"/>
              <w:left w:w="120" w:type="dxa"/>
              <w:bottom w:w="90" w:type="dxa"/>
              <w:right w:w="120" w:type="dxa"/>
            </w:tcMar>
          </w:tcPr>
          <w:p w14:paraId="3152C1C7" w14:textId="77777777" w:rsidR="005C5930" w:rsidRDefault="00000000">
            <w:r>
              <w:rPr>
                <w:sz w:val="20"/>
                <w:szCs w:val="20"/>
              </w:rPr>
              <w:t>Scala Communications: Daiwa Securities (~110,000) and Citizen Watch (~100,000); Tokyo Metro’s mail vendor (~59,000)</w:t>
            </w:r>
          </w:p>
        </w:tc>
      </w:tr>
      <w:tr w:rsidR="005C5930" w14:paraId="5F65D18F" w14:textId="77777777">
        <w:tblPrEx>
          <w:tblCellMar>
            <w:top w:w="0" w:type="dxa"/>
            <w:bottom w:w="0" w:type="dxa"/>
          </w:tblCellMar>
        </w:tblPrEx>
        <w:trPr>
          <w:cantSplit/>
        </w:trPr>
        <w:tc>
          <w:tcPr>
            <w:tcW w:w="2600" w:type="dxa"/>
            <w:tcBorders>
              <w:top w:val="single" w:sz="4" w:space="0" w:color="D7DDE8"/>
              <w:left w:val="single" w:sz="4" w:space="0" w:color="D7DDE8"/>
              <w:bottom w:val="single" w:sz="4" w:space="0" w:color="D7DDE8"/>
              <w:right w:val="single" w:sz="4" w:space="0" w:color="D7DDE8"/>
            </w:tcBorders>
            <w:tcMar>
              <w:top w:w="90" w:type="dxa"/>
              <w:left w:w="120" w:type="dxa"/>
              <w:bottom w:w="90" w:type="dxa"/>
              <w:right w:w="120" w:type="dxa"/>
            </w:tcMar>
          </w:tcPr>
          <w:p w14:paraId="2023B3F1" w14:textId="77777777" w:rsidR="005C5930" w:rsidRDefault="00000000">
            <w:r>
              <w:rPr>
                <w:sz w:val="20"/>
                <w:szCs w:val="20"/>
              </w:rPr>
              <w:t>API or CMS setting</w:t>
            </w:r>
          </w:p>
        </w:tc>
        <w:tc>
          <w:tcPr>
            <w:tcW w:w="6426" w:type="dxa"/>
            <w:tcBorders>
              <w:top w:val="single" w:sz="4" w:space="0" w:color="D7DDE8"/>
              <w:left w:val="single" w:sz="4" w:space="0" w:color="D7DDE8"/>
              <w:bottom w:val="single" w:sz="4" w:space="0" w:color="D7DDE8"/>
              <w:right w:val="single" w:sz="4" w:space="0" w:color="D7DDE8"/>
            </w:tcBorders>
            <w:tcMar>
              <w:top w:w="90" w:type="dxa"/>
              <w:left w:w="120" w:type="dxa"/>
              <w:bottom w:w="90" w:type="dxa"/>
              <w:right w:w="120" w:type="dxa"/>
            </w:tcMar>
          </w:tcPr>
          <w:p w14:paraId="14BADABA" w14:textId="77777777" w:rsidR="005C5930" w:rsidRDefault="00000000">
            <w:r>
              <w:rPr>
                <w:sz w:val="20"/>
                <w:szCs w:val="20"/>
              </w:rPr>
              <w:t>Shueisha: a configuration error let an attacker create a high-privilege account through the API</w:t>
            </w:r>
          </w:p>
        </w:tc>
      </w:tr>
      <w:tr w:rsidR="005C5930" w14:paraId="54C7C6B2" w14:textId="77777777">
        <w:tblPrEx>
          <w:tblCellMar>
            <w:top w:w="0" w:type="dxa"/>
            <w:bottom w:w="0" w:type="dxa"/>
          </w:tblCellMar>
        </w:tblPrEx>
        <w:trPr>
          <w:cantSplit/>
        </w:trPr>
        <w:tc>
          <w:tcPr>
            <w:tcW w:w="2600" w:type="dxa"/>
            <w:tcBorders>
              <w:top w:val="single" w:sz="4" w:space="0" w:color="D7DDE8"/>
              <w:left w:val="single" w:sz="4" w:space="0" w:color="D7DDE8"/>
              <w:bottom w:val="single" w:sz="4" w:space="0" w:color="D7DDE8"/>
              <w:right w:val="single" w:sz="4" w:space="0" w:color="D7DDE8"/>
            </w:tcBorders>
            <w:tcMar>
              <w:top w:w="90" w:type="dxa"/>
              <w:left w:w="120" w:type="dxa"/>
              <w:bottom w:w="90" w:type="dxa"/>
              <w:right w:w="120" w:type="dxa"/>
            </w:tcMar>
          </w:tcPr>
          <w:p w14:paraId="6025396F" w14:textId="77777777" w:rsidR="005C5930" w:rsidRDefault="00000000">
            <w:r>
              <w:rPr>
                <w:sz w:val="20"/>
                <w:szCs w:val="20"/>
              </w:rPr>
              <w:t>Software vulnerability</w:t>
            </w:r>
          </w:p>
        </w:tc>
        <w:tc>
          <w:tcPr>
            <w:tcW w:w="6426" w:type="dxa"/>
            <w:tcBorders>
              <w:top w:val="single" w:sz="4" w:space="0" w:color="D7DDE8"/>
              <w:left w:val="single" w:sz="4" w:space="0" w:color="D7DDE8"/>
              <w:bottom w:val="single" w:sz="4" w:space="0" w:color="D7DDE8"/>
              <w:right w:val="single" w:sz="4" w:space="0" w:color="D7DDE8"/>
            </w:tcBorders>
            <w:tcMar>
              <w:top w:w="90" w:type="dxa"/>
              <w:left w:w="120" w:type="dxa"/>
              <w:bottom w:w="90" w:type="dxa"/>
              <w:right w:w="120" w:type="dxa"/>
            </w:tcMar>
          </w:tcPr>
          <w:p w14:paraId="0F19330A" w14:textId="77777777" w:rsidR="005C5930" w:rsidRDefault="00000000">
            <w:r>
              <w:rPr>
                <w:sz w:val="20"/>
                <w:szCs w:val="20"/>
              </w:rPr>
              <w:t>GMO Research &amp; AI (up to 948,000 records); Mr Max (up to 1.7 million members)</w:t>
            </w:r>
          </w:p>
        </w:tc>
      </w:tr>
      <w:tr w:rsidR="005C5930" w14:paraId="66A26036" w14:textId="77777777">
        <w:tblPrEx>
          <w:tblCellMar>
            <w:top w:w="0" w:type="dxa"/>
            <w:bottom w:w="0" w:type="dxa"/>
          </w:tblCellMar>
        </w:tblPrEx>
        <w:trPr>
          <w:cantSplit/>
        </w:trPr>
        <w:tc>
          <w:tcPr>
            <w:tcW w:w="2600" w:type="dxa"/>
            <w:tcBorders>
              <w:top w:val="single" w:sz="4" w:space="0" w:color="D7DDE8"/>
              <w:left w:val="single" w:sz="4" w:space="0" w:color="D7DDE8"/>
              <w:bottom w:val="single" w:sz="4" w:space="0" w:color="D7DDE8"/>
              <w:right w:val="single" w:sz="4" w:space="0" w:color="D7DDE8"/>
            </w:tcBorders>
            <w:tcMar>
              <w:top w:w="90" w:type="dxa"/>
              <w:left w:w="120" w:type="dxa"/>
              <w:bottom w:w="90" w:type="dxa"/>
              <w:right w:w="120" w:type="dxa"/>
            </w:tcMar>
          </w:tcPr>
          <w:p w14:paraId="0F1E801F" w14:textId="77777777" w:rsidR="005C5930" w:rsidRDefault="00000000">
            <w:r>
              <w:rPr>
                <w:sz w:val="20"/>
                <w:szCs w:val="20"/>
              </w:rPr>
              <w:t>One compromised account</w:t>
            </w:r>
          </w:p>
        </w:tc>
        <w:tc>
          <w:tcPr>
            <w:tcW w:w="6426" w:type="dxa"/>
            <w:tcBorders>
              <w:top w:val="single" w:sz="4" w:space="0" w:color="D7DDE8"/>
              <w:left w:val="single" w:sz="4" w:space="0" w:color="D7DDE8"/>
              <w:bottom w:val="single" w:sz="4" w:space="0" w:color="D7DDE8"/>
              <w:right w:val="single" w:sz="4" w:space="0" w:color="D7DDE8"/>
            </w:tcBorders>
            <w:tcMar>
              <w:top w:w="90" w:type="dxa"/>
              <w:left w:w="120" w:type="dxa"/>
              <w:bottom w:w="90" w:type="dxa"/>
              <w:right w:w="120" w:type="dxa"/>
            </w:tcMar>
          </w:tcPr>
          <w:p w14:paraId="2025D67E" w14:textId="77777777" w:rsidR="005C5930" w:rsidRDefault="00000000">
            <w:r>
              <w:rPr>
                <w:sz w:val="20"/>
                <w:szCs w:val="20"/>
              </w:rPr>
              <w:t>Nikkei: a single Microsoft 365 account sent about 9,000 phishing emails</w:t>
            </w:r>
          </w:p>
        </w:tc>
      </w:tr>
      <w:tr w:rsidR="005C5930" w14:paraId="00B50EEF" w14:textId="77777777">
        <w:tblPrEx>
          <w:tblCellMar>
            <w:top w:w="0" w:type="dxa"/>
            <w:bottom w:w="0" w:type="dxa"/>
          </w:tblCellMar>
        </w:tblPrEx>
        <w:trPr>
          <w:cantSplit/>
        </w:trPr>
        <w:tc>
          <w:tcPr>
            <w:tcW w:w="2600" w:type="dxa"/>
            <w:tcBorders>
              <w:top w:val="single" w:sz="4" w:space="0" w:color="D7DDE8"/>
              <w:left w:val="single" w:sz="4" w:space="0" w:color="D7DDE8"/>
              <w:bottom w:val="single" w:sz="4" w:space="0" w:color="D7DDE8"/>
              <w:right w:val="single" w:sz="4" w:space="0" w:color="D7DDE8"/>
            </w:tcBorders>
            <w:tcMar>
              <w:top w:w="90" w:type="dxa"/>
              <w:left w:w="120" w:type="dxa"/>
              <w:bottom w:w="90" w:type="dxa"/>
              <w:right w:w="120" w:type="dxa"/>
            </w:tcMar>
          </w:tcPr>
          <w:p w14:paraId="7E51D98C" w14:textId="77777777" w:rsidR="005C5930" w:rsidRDefault="00000000">
            <w:r>
              <w:rPr>
                <w:sz w:val="20"/>
                <w:szCs w:val="20"/>
              </w:rPr>
              <w:t>Virtualisation or cloud</w:t>
            </w:r>
          </w:p>
        </w:tc>
        <w:tc>
          <w:tcPr>
            <w:tcW w:w="6426" w:type="dxa"/>
            <w:tcBorders>
              <w:top w:val="single" w:sz="4" w:space="0" w:color="D7DDE8"/>
              <w:left w:val="single" w:sz="4" w:space="0" w:color="D7DDE8"/>
              <w:bottom w:val="single" w:sz="4" w:space="0" w:color="D7DDE8"/>
              <w:right w:val="single" w:sz="4" w:space="0" w:color="D7DDE8"/>
            </w:tcBorders>
            <w:tcMar>
              <w:top w:w="90" w:type="dxa"/>
              <w:left w:w="120" w:type="dxa"/>
              <w:bottom w:w="90" w:type="dxa"/>
              <w:right w:w="120" w:type="dxa"/>
            </w:tcMar>
          </w:tcPr>
          <w:p w14:paraId="2513B936" w14:textId="77777777" w:rsidR="005C5930" w:rsidRDefault="00000000">
            <w:r>
              <w:rPr>
                <w:sz w:val="20"/>
                <w:szCs w:val="20"/>
              </w:rPr>
              <w:t>Osaka Metropolitan University; IDC Frontier and its customers</w:t>
            </w:r>
          </w:p>
        </w:tc>
      </w:tr>
    </w:tbl>
    <w:p w14:paraId="3D0A90C9" w14:textId="77777777" w:rsidR="005C5930" w:rsidRDefault="005C5930">
      <w:pPr>
        <w:spacing w:after="120"/>
      </w:pPr>
    </w:p>
    <w:p w14:paraId="59613E12" w14:textId="77777777" w:rsidR="005C5930" w:rsidRDefault="00000000">
      <w:pPr>
        <w:spacing w:after="160" w:line="300" w:lineRule="auto"/>
      </w:pPr>
      <w:r>
        <w:lastRenderedPageBreak/>
        <w:t>Detection was equally worrying. In five of the seven cases where the discovery route is known, an outsider noticed first: a customer, a stranger, a platform provider or a vendor.</w:t>
      </w:r>
    </w:p>
    <w:p w14:paraId="02970FAF" w14:textId="77777777" w:rsidR="005C5930" w:rsidRDefault="00000000">
      <w:pPr>
        <w:pStyle w:val="Heading3"/>
      </w:pPr>
      <w:r>
        <w:t>PHP2Shell: exploited before the patch</w:t>
      </w:r>
    </w:p>
    <w:p w14:paraId="78416990" w14:textId="77777777" w:rsidR="005C5930" w:rsidRDefault="00000000">
      <w:pPr>
        <w:spacing w:after="160" w:line="300" w:lineRule="auto"/>
      </w:pPr>
      <w:r>
        <w:t xml:space="preserve">PHP2Shell is the name given to two critical memory-safety flaws in PHP, </w:t>
      </w:r>
      <w:r>
        <w:rPr>
          <w:b/>
          <w:bCs/>
        </w:rPr>
        <w:t>CVE-2026-109618</w:t>
      </w:r>
      <w:r>
        <w:t xml:space="preserve"> and </w:t>
      </w:r>
      <w:r>
        <w:rPr>
          <w:b/>
          <w:bCs/>
        </w:rPr>
        <w:t>CVE-2026-109619</w:t>
      </w:r>
      <w:r>
        <w:t>, which affect PHP 5.4 to 8.5 and allow remote code execution without authentication. Because PHP powers a large share of the world’s websites, the exposure is broad.</w:t>
      </w:r>
    </w:p>
    <w:p w14:paraId="007BB3FA" w14:textId="77777777" w:rsidR="005C5930" w:rsidRDefault="00000000">
      <w:pPr>
        <w:spacing w:before="120" w:after="240"/>
        <w:jc w:val="center"/>
      </w:pPr>
      <w:r>
        <w:rPr>
          <w:noProof/>
        </w:rPr>
        <w:drawing>
          <wp:inline distT="0" distB="0" distL="0" distR="0" wp14:anchorId="19F4BD6D" wp14:editId="5D13C5C7">
            <wp:extent cx="5905500" cy="3762375"/>
            <wp:effectExtent l="0" t="0" r="0" b="0"/>
            <wp:docPr id="1203356139" name="php" descr="PHP2Shell timeline: exploitation attempts on 17 October, four days before fixes on 21 October; alerts on 22 October; new flaw on 23 October" title="PHP2Shell tim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05500" cy="3762375"/>
                    </a:xfrm>
                    <a:prstGeom prst="rect">
                      <a:avLst/>
                    </a:prstGeom>
                  </pic:spPr>
                </pic:pic>
              </a:graphicData>
            </a:graphic>
          </wp:inline>
        </w:drawing>
      </w:r>
    </w:p>
    <w:p w14:paraId="24B42F33" w14:textId="77777777" w:rsidR="005C5930" w:rsidRDefault="00000000">
      <w:pPr>
        <w:pStyle w:val="ListParagraph"/>
        <w:numPr>
          <w:ilvl w:val="0"/>
          <w:numId w:val="2"/>
        </w:numPr>
        <w:spacing w:after="80" w:line="290" w:lineRule="auto"/>
      </w:pPr>
      <w:r>
        <w:rPr>
          <w:b/>
          <w:bCs/>
        </w:rPr>
        <w:t>17 October:</w:t>
      </w:r>
      <w:r>
        <w:t xml:space="preserve"> first exploitation attempts observed, four days before a fix existed.</w:t>
      </w:r>
    </w:p>
    <w:p w14:paraId="2F8385E8" w14:textId="77777777" w:rsidR="005C5930" w:rsidRDefault="00000000">
      <w:pPr>
        <w:pStyle w:val="ListParagraph"/>
        <w:numPr>
          <w:ilvl w:val="0"/>
          <w:numId w:val="2"/>
        </w:numPr>
        <w:spacing w:after="80" w:line="290" w:lineRule="auto"/>
      </w:pPr>
      <w:r>
        <w:rPr>
          <w:b/>
          <w:bCs/>
        </w:rPr>
        <w:t>21 October:</w:t>
      </w:r>
      <w:r>
        <w:t xml:space="preserve"> fixes released in PHP 8.5.12, 8.4.27, 8.3.36 and 8.2.35. Japanese banks, restaurant chains and government sites paused online services as a precaution.</w:t>
      </w:r>
    </w:p>
    <w:p w14:paraId="63B4D41B" w14:textId="77777777" w:rsidR="005C5930" w:rsidRDefault="00000000">
      <w:pPr>
        <w:pStyle w:val="ListParagraph"/>
        <w:numPr>
          <w:ilvl w:val="0"/>
          <w:numId w:val="2"/>
        </w:numPr>
        <w:spacing w:after="80" w:line="290" w:lineRule="auto"/>
      </w:pPr>
      <w:r>
        <w:rPr>
          <w:b/>
          <w:bCs/>
        </w:rPr>
        <w:t>22 October:</w:t>
      </w:r>
      <w:r>
        <w:t xml:space="preserve"> JPCERT/CC and IPA issued alerts asking organisations both to patch and to check whether they had already been compromised.</w:t>
      </w:r>
    </w:p>
    <w:p w14:paraId="2B3A088F" w14:textId="77777777" w:rsidR="005C5930" w:rsidRDefault="00000000">
      <w:pPr>
        <w:pStyle w:val="ListParagraph"/>
        <w:numPr>
          <w:ilvl w:val="0"/>
          <w:numId w:val="2"/>
        </w:numPr>
        <w:spacing w:after="80" w:line="290" w:lineRule="auto"/>
      </w:pPr>
      <w:r>
        <w:rPr>
          <w:b/>
          <w:bCs/>
        </w:rPr>
        <w:t>23 October:</w:t>
      </w:r>
      <w:r>
        <w:t xml:space="preserve"> a separate session-handling flaw, CVE-2026-115560, was disclosed. It is not fixed by the 21 October releases.</w:t>
      </w:r>
    </w:p>
    <w:p w14:paraId="6C6711AA" w14:textId="77777777" w:rsidR="005C5930" w:rsidRDefault="00000000">
      <w:pPr>
        <w:pStyle w:val="Heading3"/>
      </w:pPr>
      <w:r>
        <w:t>GMO Internet Group: the latest target</w:t>
      </w:r>
    </w:p>
    <w:p w14:paraId="491D9E0B" w14:textId="77777777" w:rsidR="005C5930" w:rsidRDefault="00000000">
      <w:pPr>
        <w:spacing w:after="160" w:line="300" w:lineRule="auto"/>
      </w:pPr>
      <w:r>
        <w:t>The most recent incident is still developing. Intruders got in through GMO’s Onamae.com Desktop Cloud service, a virtual desktop service used by retail FX traders, potentially exposing up to 26,739 servers. Five FX margin-trading services were breached and unauthorised trades were made, with accounts reached at more than 70 securities and FX firms.</w:t>
      </w:r>
    </w:p>
    <w:p w14:paraId="1044EC6F" w14:textId="77777777" w:rsidR="005C5930" w:rsidRDefault="00000000">
      <w:pPr>
        <w:spacing w:after="160" w:line="300" w:lineRule="auto"/>
      </w:pPr>
      <w:r>
        <w:t xml:space="preserve">The attackers demanded $50 million (about ¥7.9 billion). Early media reports cited $1 million, but GMO’s president disclosed the $50 million figure and said the company would not pay. </w:t>
      </w:r>
      <w:r>
        <w:lastRenderedPageBreak/>
        <w:t>GMO asked customers to scan their PCs, back up files, and unplug and power off their devices, and said it will reimburse trading losses and pay each affected client ¥5,000.</w:t>
      </w:r>
    </w:p>
    <w:p w14:paraId="3F2F0909" w14:textId="77777777" w:rsidR="005C5930" w:rsidRDefault="00000000">
      <w:pPr>
        <w:spacing w:after="160" w:line="300" w:lineRule="auto"/>
      </w:pPr>
      <w:r>
        <w:rPr>
          <w:b/>
          <w:bCs/>
        </w:rPr>
        <w:t xml:space="preserve">Since then: </w:t>
      </w:r>
      <w:r>
        <w:t>after GMO refused to pay, the attackers published what they claim is customer information on 27 October. GMO had also asked the government to apply the new Active Cyber Defense law, which would be its first use since the law took effect, and its president acknowledged in a blog post that in-house engineers had flagged security issues beforehand that were not fully addressed. GMO has not linked its breach to the PHP flaws.</w:t>
      </w:r>
    </w:p>
    <w:p w14:paraId="0A7A6647" w14:textId="77777777" w:rsidR="005C5930" w:rsidRDefault="00000000">
      <w:pPr>
        <w:pStyle w:val="Heading2"/>
      </w:pPr>
      <w:r>
        <w:t>If you are affected: six steps now</w:t>
      </w:r>
    </w:p>
    <w:p w14:paraId="14B27AA0" w14:textId="77777777" w:rsidR="005C5930" w:rsidRDefault="00000000">
      <w:pPr>
        <w:spacing w:before="120" w:after="240"/>
        <w:jc w:val="center"/>
      </w:pPr>
      <w:r>
        <w:rPr>
          <w:noProof/>
        </w:rPr>
        <w:drawing>
          <wp:inline distT="0" distB="0" distL="0" distR="0" wp14:anchorId="5A97528F" wp14:editId="7A472E08">
            <wp:extent cx="5905500" cy="3733800"/>
            <wp:effectExtent l="0" t="0" r="0" b="0"/>
            <wp:docPr id="1857033510" name="steps" descr="Six remediation steps: contain, patch, hunt, reset, restore, report" title="Six remediation st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05500" cy="3733800"/>
                    </a:xfrm>
                    <a:prstGeom prst="rect">
                      <a:avLst/>
                    </a:prstGeom>
                  </pic:spPr>
                </pic:pic>
              </a:graphicData>
            </a:graphic>
          </wp:inline>
        </w:drawing>
      </w:r>
    </w:p>
    <w:p w14:paraId="1E1714E2" w14:textId="77777777" w:rsidR="005C5930" w:rsidRDefault="00000000">
      <w:pPr>
        <w:pStyle w:val="ListParagraph"/>
        <w:numPr>
          <w:ilvl w:val="0"/>
          <w:numId w:val="3"/>
        </w:numPr>
        <w:spacing w:after="100" w:line="290" w:lineRule="auto"/>
      </w:pPr>
      <w:r>
        <w:rPr>
          <w:b/>
          <w:bCs/>
        </w:rPr>
        <w:t xml:space="preserve">Contain. </w:t>
      </w:r>
      <w:r>
        <w:t>Isolate affected systems. If a provider tells you to disconnect, do it.</w:t>
      </w:r>
    </w:p>
    <w:p w14:paraId="7688E3E3" w14:textId="77777777" w:rsidR="005C5930" w:rsidRDefault="00000000">
      <w:pPr>
        <w:pStyle w:val="ListParagraph"/>
        <w:numPr>
          <w:ilvl w:val="0"/>
          <w:numId w:val="3"/>
        </w:numPr>
        <w:spacing w:after="100" w:line="290" w:lineRule="auto"/>
      </w:pPr>
      <w:r>
        <w:rPr>
          <w:b/>
          <w:bCs/>
        </w:rPr>
        <w:t xml:space="preserve">Patch. </w:t>
      </w:r>
      <w:r>
        <w:t>Upgrade PHP to the 21 October releases; temporary mitigations only block specific paths, so updating is the only real fix. For CVE-2026-115560, turn off session upload progress until a patch ships.</w:t>
      </w:r>
    </w:p>
    <w:p w14:paraId="7C9B67BC" w14:textId="77777777" w:rsidR="005C5930" w:rsidRDefault="00000000">
      <w:pPr>
        <w:pStyle w:val="ListParagraph"/>
        <w:numPr>
          <w:ilvl w:val="0"/>
          <w:numId w:val="3"/>
        </w:numPr>
        <w:spacing w:after="100" w:line="290" w:lineRule="auto"/>
      </w:pPr>
      <w:r>
        <w:rPr>
          <w:b/>
          <w:bCs/>
        </w:rPr>
        <w:t xml:space="preserve">Hunt. </w:t>
      </w:r>
      <w:r>
        <w:t>Review logs back to 17 October for signs of compromise. Patching alone does not remove an attacker who is already in.</w:t>
      </w:r>
    </w:p>
    <w:p w14:paraId="70E78344" w14:textId="77777777" w:rsidR="005C5930" w:rsidRDefault="00000000">
      <w:pPr>
        <w:pStyle w:val="ListParagraph"/>
        <w:numPr>
          <w:ilvl w:val="0"/>
          <w:numId w:val="3"/>
        </w:numPr>
        <w:spacing w:after="100" w:line="290" w:lineRule="auto"/>
      </w:pPr>
      <w:r>
        <w:rPr>
          <w:b/>
          <w:bCs/>
        </w:rPr>
        <w:t xml:space="preserve">Reset. </w:t>
      </w:r>
      <w:r>
        <w:t>Rotate exposed credentials and enforce multi-factor authentication.</w:t>
      </w:r>
    </w:p>
    <w:p w14:paraId="7CA3BE29" w14:textId="77777777" w:rsidR="005C5930" w:rsidRDefault="00000000">
      <w:pPr>
        <w:pStyle w:val="ListParagraph"/>
        <w:numPr>
          <w:ilvl w:val="0"/>
          <w:numId w:val="3"/>
        </w:numPr>
        <w:spacing w:after="100" w:line="290" w:lineRule="auto"/>
      </w:pPr>
      <w:r>
        <w:rPr>
          <w:b/>
          <w:bCs/>
        </w:rPr>
        <w:t xml:space="preserve">Restore. </w:t>
      </w:r>
      <w:r>
        <w:t>Recover from your own isolated backups, and preserve logs for forensics.</w:t>
      </w:r>
    </w:p>
    <w:p w14:paraId="30C331D7" w14:textId="77777777" w:rsidR="005C5930" w:rsidRDefault="00000000">
      <w:pPr>
        <w:pStyle w:val="ListParagraph"/>
        <w:numPr>
          <w:ilvl w:val="0"/>
          <w:numId w:val="3"/>
        </w:numPr>
        <w:spacing w:after="100" w:line="290" w:lineRule="auto"/>
      </w:pPr>
      <w:r>
        <w:rPr>
          <w:b/>
          <w:bCs/>
        </w:rPr>
        <w:t xml:space="preserve">Report. </w:t>
      </w:r>
      <w:r>
        <w:t>Notify the police and the Personal Information Protection Commission.</w:t>
      </w:r>
    </w:p>
    <w:p w14:paraId="4B5BE430" w14:textId="77777777" w:rsidR="005C5930" w:rsidRDefault="00000000">
      <w:pPr>
        <w:pStyle w:val="Heading2"/>
      </w:pPr>
      <w:r>
        <w:t>Prevention: close the doors these attacks used</w:t>
      </w:r>
    </w:p>
    <w:p w14:paraId="1F4DF289" w14:textId="77777777" w:rsidR="005C5930" w:rsidRDefault="00000000">
      <w:pPr>
        <w:spacing w:after="160" w:line="300" w:lineRule="auto"/>
      </w:pPr>
      <w:r>
        <w:t>Each control below maps to an entry point seen in this wave: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5726"/>
      </w:tblGrid>
      <w:tr w:rsidR="005C5930" w14:paraId="74439418" w14:textId="77777777">
        <w:tblPrEx>
          <w:tblCellMar>
            <w:top w:w="0" w:type="dxa"/>
            <w:bottom w:w="0" w:type="dxa"/>
          </w:tblCellMar>
        </w:tblPrEx>
        <w:trPr>
          <w:cantSplit/>
          <w:tblHeader/>
        </w:trPr>
        <w:tc>
          <w:tcPr>
            <w:tcW w:w="3300" w:type="dxa"/>
            <w:tcBorders>
              <w:top w:val="single" w:sz="4" w:space="0" w:color="D7DDE8"/>
              <w:left w:val="single" w:sz="4" w:space="0" w:color="D7DDE8"/>
              <w:bottom w:val="single" w:sz="4" w:space="0" w:color="D7DDE8"/>
              <w:right w:val="single" w:sz="4" w:space="0" w:color="D7DDE8"/>
            </w:tcBorders>
            <w:shd w:val="clear" w:color="auto" w:fill="EEF2F8"/>
            <w:tcMar>
              <w:top w:w="90" w:type="dxa"/>
              <w:left w:w="120" w:type="dxa"/>
              <w:bottom w:w="90" w:type="dxa"/>
              <w:right w:w="120" w:type="dxa"/>
            </w:tcMar>
          </w:tcPr>
          <w:p w14:paraId="0C5E373B" w14:textId="77777777" w:rsidR="005C5930" w:rsidRDefault="00000000">
            <w:r>
              <w:rPr>
                <w:b/>
                <w:bCs/>
                <w:sz w:val="20"/>
                <w:szCs w:val="20"/>
              </w:rPr>
              <w:lastRenderedPageBreak/>
              <w:t>Control</w:t>
            </w:r>
          </w:p>
        </w:tc>
        <w:tc>
          <w:tcPr>
            <w:tcW w:w="5726" w:type="dxa"/>
            <w:tcBorders>
              <w:top w:val="single" w:sz="4" w:space="0" w:color="D7DDE8"/>
              <w:left w:val="single" w:sz="4" w:space="0" w:color="D7DDE8"/>
              <w:bottom w:val="single" w:sz="4" w:space="0" w:color="D7DDE8"/>
              <w:right w:val="single" w:sz="4" w:space="0" w:color="D7DDE8"/>
            </w:tcBorders>
            <w:shd w:val="clear" w:color="auto" w:fill="EEF2F8"/>
            <w:tcMar>
              <w:top w:w="90" w:type="dxa"/>
              <w:left w:w="120" w:type="dxa"/>
              <w:bottom w:w="90" w:type="dxa"/>
              <w:right w:w="120" w:type="dxa"/>
            </w:tcMar>
          </w:tcPr>
          <w:p w14:paraId="15799486" w14:textId="77777777" w:rsidR="005C5930" w:rsidRDefault="00000000">
            <w:r>
              <w:rPr>
                <w:b/>
                <w:bCs/>
                <w:sz w:val="20"/>
                <w:szCs w:val="20"/>
              </w:rPr>
              <w:t>Why it matters</w:t>
            </w:r>
          </w:p>
        </w:tc>
      </w:tr>
      <w:tr w:rsidR="005C5930" w14:paraId="238F6DE0" w14:textId="77777777">
        <w:tblPrEx>
          <w:tblCellMar>
            <w:top w:w="0" w:type="dxa"/>
            <w:bottom w:w="0" w:type="dxa"/>
          </w:tblCellMar>
        </w:tblPrEx>
        <w:trPr>
          <w:cantSplit/>
        </w:trPr>
        <w:tc>
          <w:tcPr>
            <w:tcW w:w="3300" w:type="dxa"/>
            <w:tcBorders>
              <w:top w:val="single" w:sz="4" w:space="0" w:color="D7DDE8"/>
              <w:left w:val="single" w:sz="4" w:space="0" w:color="D7DDE8"/>
              <w:bottom w:val="single" w:sz="4" w:space="0" w:color="D7DDE8"/>
              <w:right w:val="single" w:sz="4" w:space="0" w:color="D7DDE8"/>
            </w:tcBorders>
            <w:tcMar>
              <w:top w:w="90" w:type="dxa"/>
              <w:left w:w="120" w:type="dxa"/>
              <w:bottom w:w="90" w:type="dxa"/>
              <w:right w:w="120" w:type="dxa"/>
            </w:tcMar>
          </w:tcPr>
          <w:p w14:paraId="5F955E7E" w14:textId="77777777" w:rsidR="005C5930" w:rsidRDefault="00000000">
            <w:r>
              <w:rPr>
                <w:sz w:val="20"/>
                <w:szCs w:val="20"/>
              </w:rPr>
              <w:t>Patch VPNs and add MFA</w:t>
            </w:r>
          </w:p>
        </w:tc>
        <w:tc>
          <w:tcPr>
            <w:tcW w:w="5726" w:type="dxa"/>
            <w:tcBorders>
              <w:top w:val="single" w:sz="4" w:space="0" w:color="D7DDE8"/>
              <w:left w:val="single" w:sz="4" w:space="0" w:color="D7DDE8"/>
              <w:bottom w:val="single" w:sz="4" w:space="0" w:color="D7DDE8"/>
              <w:right w:val="single" w:sz="4" w:space="0" w:color="D7DDE8"/>
            </w:tcBorders>
            <w:tcMar>
              <w:top w:w="90" w:type="dxa"/>
              <w:left w:w="120" w:type="dxa"/>
              <w:bottom w:w="90" w:type="dxa"/>
              <w:right w:w="120" w:type="dxa"/>
            </w:tcMar>
          </w:tcPr>
          <w:p w14:paraId="0056F8B2" w14:textId="77777777" w:rsidR="005C5930" w:rsidRDefault="00000000">
            <w:r>
              <w:rPr>
                <w:sz w:val="20"/>
                <w:szCs w:val="20"/>
              </w:rPr>
              <w:t>Police data show VPN devices were the most common first entry point for ransomware</w:t>
            </w:r>
          </w:p>
        </w:tc>
      </w:tr>
      <w:tr w:rsidR="005C5930" w14:paraId="11D3AFB2" w14:textId="77777777">
        <w:tblPrEx>
          <w:tblCellMar>
            <w:top w:w="0" w:type="dxa"/>
            <w:bottom w:w="0" w:type="dxa"/>
          </w:tblCellMar>
        </w:tblPrEx>
        <w:trPr>
          <w:cantSplit/>
        </w:trPr>
        <w:tc>
          <w:tcPr>
            <w:tcW w:w="3300" w:type="dxa"/>
            <w:tcBorders>
              <w:top w:val="single" w:sz="4" w:space="0" w:color="D7DDE8"/>
              <w:left w:val="single" w:sz="4" w:space="0" w:color="D7DDE8"/>
              <w:bottom w:val="single" w:sz="4" w:space="0" w:color="D7DDE8"/>
              <w:right w:val="single" w:sz="4" w:space="0" w:color="D7DDE8"/>
            </w:tcBorders>
            <w:tcMar>
              <w:top w:w="90" w:type="dxa"/>
              <w:left w:w="120" w:type="dxa"/>
              <w:bottom w:w="90" w:type="dxa"/>
              <w:right w:w="120" w:type="dxa"/>
            </w:tcMar>
          </w:tcPr>
          <w:p w14:paraId="50770078" w14:textId="77777777" w:rsidR="005C5930" w:rsidRDefault="00000000">
            <w:r>
              <w:rPr>
                <w:sz w:val="20"/>
                <w:szCs w:val="20"/>
              </w:rPr>
              <w:t>Keep an isolated backup and test it</w:t>
            </w:r>
          </w:p>
        </w:tc>
        <w:tc>
          <w:tcPr>
            <w:tcW w:w="5726" w:type="dxa"/>
            <w:tcBorders>
              <w:top w:val="single" w:sz="4" w:space="0" w:color="D7DDE8"/>
              <w:left w:val="single" w:sz="4" w:space="0" w:color="D7DDE8"/>
              <w:bottom w:val="single" w:sz="4" w:space="0" w:color="D7DDE8"/>
              <w:right w:val="single" w:sz="4" w:space="0" w:color="D7DDE8"/>
            </w:tcBorders>
            <w:tcMar>
              <w:top w:w="90" w:type="dxa"/>
              <w:left w:w="120" w:type="dxa"/>
              <w:bottom w:w="90" w:type="dxa"/>
              <w:right w:w="120" w:type="dxa"/>
            </w:tcMar>
          </w:tcPr>
          <w:p w14:paraId="0059D882" w14:textId="77777777" w:rsidR="005C5930" w:rsidRDefault="00000000">
            <w:r>
              <w:rPr>
                <w:sz w:val="20"/>
                <w:szCs w:val="20"/>
              </w:rPr>
              <w:t>Osaka and IDC Frontier lost backups that sat on the same layer as production</w:t>
            </w:r>
          </w:p>
        </w:tc>
      </w:tr>
      <w:tr w:rsidR="005C5930" w14:paraId="6DD4E4A6" w14:textId="77777777">
        <w:tblPrEx>
          <w:tblCellMar>
            <w:top w:w="0" w:type="dxa"/>
            <w:bottom w:w="0" w:type="dxa"/>
          </w:tblCellMar>
        </w:tblPrEx>
        <w:trPr>
          <w:cantSplit/>
        </w:trPr>
        <w:tc>
          <w:tcPr>
            <w:tcW w:w="3300" w:type="dxa"/>
            <w:tcBorders>
              <w:top w:val="single" w:sz="4" w:space="0" w:color="D7DDE8"/>
              <w:left w:val="single" w:sz="4" w:space="0" w:color="D7DDE8"/>
              <w:bottom w:val="single" w:sz="4" w:space="0" w:color="D7DDE8"/>
              <w:right w:val="single" w:sz="4" w:space="0" w:color="D7DDE8"/>
            </w:tcBorders>
            <w:tcMar>
              <w:top w:w="90" w:type="dxa"/>
              <w:left w:w="120" w:type="dxa"/>
              <w:bottom w:w="90" w:type="dxa"/>
              <w:right w:w="120" w:type="dxa"/>
            </w:tcMar>
          </w:tcPr>
          <w:p w14:paraId="0108098D" w14:textId="77777777" w:rsidR="005C5930" w:rsidRDefault="00000000">
            <w:r>
              <w:rPr>
                <w:sz w:val="20"/>
                <w:szCs w:val="20"/>
              </w:rPr>
              <w:t>Inventory your vendors</w:t>
            </w:r>
          </w:p>
        </w:tc>
        <w:tc>
          <w:tcPr>
            <w:tcW w:w="5726" w:type="dxa"/>
            <w:tcBorders>
              <w:top w:val="single" w:sz="4" w:space="0" w:color="D7DDE8"/>
              <w:left w:val="single" w:sz="4" w:space="0" w:color="D7DDE8"/>
              <w:bottom w:val="single" w:sz="4" w:space="0" w:color="D7DDE8"/>
              <w:right w:val="single" w:sz="4" w:space="0" w:color="D7DDE8"/>
            </w:tcBorders>
            <w:tcMar>
              <w:top w:w="90" w:type="dxa"/>
              <w:left w:w="120" w:type="dxa"/>
              <w:bottom w:w="90" w:type="dxa"/>
              <w:right w:w="120" w:type="dxa"/>
            </w:tcMar>
          </w:tcPr>
          <w:p w14:paraId="2C630573" w14:textId="77777777" w:rsidR="005C5930" w:rsidRDefault="00000000">
            <w:r>
              <w:rPr>
                <w:sz w:val="20"/>
                <w:szCs w:val="20"/>
              </w:rPr>
              <w:t>Know who holds customer data and confirm deletion when contracts end; Yoshinoya’s data was taken from a recruiting platform it had stopped using</w:t>
            </w:r>
          </w:p>
        </w:tc>
      </w:tr>
      <w:tr w:rsidR="005C5930" w14:paraId="58CED71B" w14:textId="77777777">
        <w:tblPrEx>
          <w:tblCellMar>
            <w:top w:w="0" w:type="dxa"/>
            <w:bottom w:w="0" w:type="dxa"/>
          </w:tblCellMar>
        </w:tblPrEx>
        <w:trPr>
          <w:cantSplit/>
        </w:trPr>
        <w:tc>
          <w:tcPr>
            <w:tcW w:w="3300" w:type="dxa"/>
            <w:tcBorders>
              <w:top w:val="single" w:sz="4" w:space="0" w:color="D7DDE8"/>
              <w:left w:val="single" w:sz="4" w:space="0" w:color="D7DDE8"/>
              <w:bottom w:val="single" w:sz="4" w:space="0" w:color="D7DDE8"/>
              <w:right w:val="single" w:sz="4" w:space="0" w:color="D7DDE8"/>
            </w:tcBorders>
            <w:tcMar>
              <w:top w:w="90" w:type="dxa"/>
              <w:left w:w="120" w:type="dxa"/>
              <w:bottom w:w="90" w:type="dxa"/>
              <w:right w:w="120" w:type="dxa"/>
            </w:tcMar>
          </w:tcPr>
          <w:p w14:paraId="1B54A3F3" w14:textId="77777777" w:rsidR="005C5930" w:rsidRDefault="00000000">
            <w:r>
              <w:rPr>
                <w:sz w:val="20"/>
                <w:szCs w:val="20"/>
              </w:rPr>
              <w:t>Alert on new admin accounts</w:t>
            </w:r>
          </w:p>
        </w:tc>
        <w:tc>
          <w:tcPr>
            <w:tcW w:w="5726" w:type="dxa"/>
            <w:tcBorders>
              <w:top w:val="single" w:sz="4" w:space="0" w:color="D7DDE8"/>
              <w:left w:val="single" w:sz="4" w:space="0" w:color="D7DDE8"/>
              <w:bottom w:val="single" w:sz="4" w:space="0" w:color="D7DDE8"/>
              <w:right w:val="single" w:sz="4" w:space="0" w:color="D7DDE8"/>
            </w:tcBorders>
            <w:tcMar>
              <w:top w:w="90" w:type="dxa"/>
              <w:left w:w="120" w:type="dxa"/>
              <w:bottom w:w="90" w:type="dxa"/>
              <w:right w:w="120" w:type="dxa"/>
            </w:tcMar>
          </w:tcPr>
          <w:p w14:paraId="19226D7B" w14:textId="77777777" w:rsidR="005C5930" w:rsidRDefault="00000000">
            <w:r>
              <w:rPr>
                <w:sz w:val="20"/>
                <w:szCs w:val="20"/>
              </w:rPr>
              <w:t>Shueisha’s attacker created a high-privilege account through the API</w:t>
            </w:r>
          </w:p>
        </w:tc>
      </w:tr>
      <w:tr w:rsidR="005C5930" w14:paraId="116AC709" w14:textId="77777777">
        <w:tblPrEx>
          <w:tblCellMar>
            <w:top w:w="0" w:type="dxa"/>
            <w:bottom w:w="0" w:type="dxa"/>
          </w:tblCellMar>
        </w:tblPrEx>
        <w:trPr>
          <w:cantSplit/>
        </w:trPr>
        <w:tc>
          <w:tcPr>
            <w:tcW w:w="3300" w:type="dxa"/>
            <w:tcBorders>
              <w:top w:val="single" w:sz="4" w:space="0" w:color="D7DDE8"/>
              <w:left w:val="single" w:sz="4" w:space="0" w:color="D7DDE8"/>
              <w:bottom w:val="single" w:sz="4" w:space="0" w:color="D7DDE8"/>
              <w:right w:val="single" w:sz="4" w:space="0" w:color="D7DDE8"/>
            </w:tcBorders>
            <w:tcMar>
              <w:top w:w="90" w:type="dxa"/>
              <w:left w:w="120" w:type="dxa"/>
              <w:bottom w:w="90" w:type="dxa"/>
              <w:right w:w="120" w:type="dxa"/>
            </w:tcMar>
          </w:tcPr>
          <w:p w14:paraId="121F1555" w14:textId="77777777" w:rsidR="005C5930" w:rsidRDefault="00000000">
            <w:r>
              <w:rPr>
                <w:sz w:val="20"/>
                <w:szCs w:val="20"/>
              </w:rPr>
              <w:t>Review sign-ins daily</w:t>
            </w:r>
          </w:p>
        </w:tc>
        <w:tc>
          <w:tcPr>
            <w:tcW w:w="5726" w:type="dxa"/>
            <w:tcBorders>
              <w:top w:val="single" w:sz="4" w:space="0" w:color="D7DDE8"/>
              <w:left w:val="single" w:sz="4" w:space="0" w:color="D7DDE8"/>
              <w:bottom w:val="single" w:sz="4" w:space="0" w:color="D7DDE8"/>
              <w:right w:val="single" w:sz="4" w:space="0" w:color="D7DDE8"/>
            </w:tcBorders>
            <w:tcMar>
              <w:top w:w="90" w:type="dxa"/>
              <w:left w:w="120" w:type="dxa"/>
              <w:bottom w:w="90" w:type="dxa"/>
              <w:right w:w="120" w:type="dxa"/>
            </w:tcMar>
          </w:tcPr>
          <w:p w14:paraId="4D820E48" w14:textId="77777777" w:rsidR="005C5930" w:rsidRDefault="00000000">
            <w:r>
              <w:rPr>
                <w:sz w:val="20"/>
                <w:szCs w:val="20"/>
              </w:rPr>
              <w:t>Outsiders spotted most breaches before the victims did</w:t>
            </w:r>
          </w:p>
        </w:tc>
      </w:tr>
      <w:tr w:rsidR="005C5930" w14:paraId="0D9D98DE" w14:textId="77777777">
        <w:tblPrEx>
          <w:tblCellMar>
            <w:top w:w="0" w:type="dxa"/>
            <w:bottom w:w="0" w:type="dxa"/>
          </w:tblCellMar>
        </w:tblPrEx>
        <w:trPr>
          <w:cantSplit/>
        </w:trPr>
        <w:tc>
          <w:tcPr>
            <w:tcW w:w="3300" w:type="dxa"/>
            <w:tcBorders>
              <w:top w:val="single" w:sz="4" w:space="0" w:color="D7DDE8"/>
              <w:left w:val="single" w:sz="4" w:space="0" w:color="D7DDE8"/>
              <w:bottom w:val="single" w:sz="4" w:space="0" w:color="D7DDE8"/>
              <w:right w:val="single" w:sz="4" w:space="0" w:color="D7DDE8"/>
            </w:tcBorders>
            <w:tcMar>
              <w:top w:w="90" w:type="dxa"/>
              <w:left w:w="120" w:type="dxa"/>
              <w:bottom w:w="90" w:type="dxa"/>
              <w:right w:w="120" w:type="dxa"/>
            </w:tcMar>
          </w:tcPr>
          <w:p w14:paraId="486266CE" w14:textId="77777777" w:rsidR="005C5930" w:rsidRDefault="00000000">
            <w:r>
              <w:rPr>
                <w:sz w:val="20"/>
                <w:szCs w:val="20"/>
              </w:rPr>
              <w:t>Patch fast and watch JVN alerts</w:t>
            </w:r>
          </w:p>
        </w:tc>
        <w:tc>
          <w:tcPr>
            <w:tcW w:w="5726" w:type="dxa"/>
            <w:tcBorders>
              <w:top w:val="single" w:sz="4" w:space="0" w:color="D7DDE8"/>
              <w:left w:val="single" w:sz="4" w:space="0" w:color="D7DDE8"/>
              <w:bottom w:val="single" w:sz="4" w:space="0" w:color="D7DDE8"/>
              <w:right w:val="single" w:sz="4" w:space="0" w:color="D7DDE8"/>
            </w:tcBorders>
            <w:tcMar>
              <w:top w:w="90" w:type="dxa"/>
              <w:left w:w="120" w:type="dxa"/>
              <w:bottom w:w="90" w:type="dxa"/>
              <w:right w:w="120" w:type="dxa"/>
            </w:tcMar>
          </w:tcPr>
          <w:p w14:paraId="020ED211" w14:textId="77777777" w:rsidR="005C5930" w:rsidRDefault="00000000">
            <w:r>
              <w:rPr>
                <w:sz w:val="20"/>
                <w:szCs w:val="20"/>
              </w:rPr>
              <w:t>PHP2Shell was exploited before a fix existed</w:t>
            </w:r>
          </w:p>
        </w:tc>
      </w:tr>
      <w:tr w:rsidR="005C5930" w14:paraId="17667566" w14:textId="77777777">
        <w:tblPrEx>
          <w:tblCellMar>
            <w:top w:w="0" w:type="dxa"/>
            <w:bottom w:w="0" w:type="dxa"/>
          </w:tblCellMar>
        </w:tblPrEx>
        <w:trPr>
          <w:cantSplit/>
        </w:trPr>
        <w:tc>
          <w:tcPr>
            <w:tcW w:w="3300" w:type="dxa"/>
            <w:tcBorders>
              <w:top w:val="single" w:sz="4" w:space="0" w:color="D7DDE8"/>
              <w:left w:val="single" w:sz="4" w:space="0" w:color="D7DDE8"/>
              <w:bottom w:val="single" w:sz="4" w:space="0" w:color="D7DDE8"/>
              <w:right w:val="single" w:sz="4" w:space="0" w:color="D7DDE8"/>
            </w:tcBorders>
            <w:tcMar>
              <w:top w:w="90" w:type="dxa"/>
              <w:left w:w="120" w:type="dxa"/>
              <w:bottom w:w="90" w:type="dxa"/>
              <w:right w:w="120" w:type="dxa"/>
            </w:tcMar>
          </w:tcPr>
          <w:p w14:paraId="71FE2316" w14:textId="77777777" w:rsidR="005C5930" w:rsidRDefault="00000000">
            <w:r>
              <w:rPr>
                <w:sz w:val="20"/>
                <w:szCs w:val="20"/>
              </w:rPr>
              <w:t>Write a response contact list</w:t>
            </w:r>
          </w:p>
        </w:tc>
        <w:tc>
          <w:tcPr>
            <w:tcW w:w="5726" w:type="dxa"/>
            <w:tcBorders>
              <w:top w:val="single" w:sz="4" w:space="0" w:color="D7DDE8"/>
              <w:left w:val="single" w:sz="4" w:space="0" w:color="D7DDE8"/>
              <w:bottom w:val="single" w:sz="4" w:space="0" w:color="D7DDE8"/>
              <w:right w:val="single" w:sz="4" w:space="0" w:color="D7DDE8"/>
            </w:tcBorders>
            <w:tcMar>
              <w:top w:w="90" w:type="dxa"/>
              <w:left w:w="120" w:type="dxa"/>
              <w:bottom w:w="90" w:type="dxa"/>
              <w:right w:w="120" w:type="dxa"/>
            </w:tcMar>
          </w:tcPr>
          <w:p w14:paraId="3D94FACE" w14:textId="77777777" w:rsidR="005C5930" w:rsidRDefault="00000000">
            <w:r>
              <w:rPr>
                <w:sz w:val="20"/>
                <w:szCs w:val="20"/>
              </w:rPr>
              <w:t>IT, cloud, forensics, police and the PPC, decided in advance</w:t>
            </w:r>
          </w:p>
        </w:tc>
      </w:tr>
    </w:tbl>
    <w:p w14:paraId="50B2853F" w14:textId="77777777" w:rsidR="005C5930" w:rsidRDefault="005C5930">
      <w:pPr>
        <w:spacing w:after="120"/>
      </w:pPr>
    </w:p>
    <w:p w14:paraId="6BAEAEC1" w14:textId="77777777" w:rsidR="005C5930" w:rsidRDefault="00000000">
      <w:pPr>
        <w:pStyle w:val="Heading2"/>
      </w:pPr>
      <w:r>
        <w:t>The takeaway</w:t>
      </w:r>
    </w:p>
    <w:p w14:paraId="27731F65" w14:textId="77777777" w:rsidR="005C5930" w:rsidRDefault="00000000">
      <w:pPr>
        <w:spacing w:after="160" w:line="300" w:lineRule="auto"/>
      </w:pPr>
      <w:r>
        <w:rPr>
          <w:b/>
          <w:bCs/>
        </w:rPr>
        <w:t>None of these entry points were new. AI is changing the speed, not the method.</w:t>
      </w:r>
    </w:p>
    <w:p w14:paraId="06883425" w14:textId="77777777" w:rsidR="005C5930" w:rsidRDefault="00000000">
      <w:pPr>
        <w:spacing w:after="160" w:line="300" w:lineRule="auto"/>
      </w:pPr>
      <w:r>
        <w:t>Vendor servers, misconfigured APIs, unpatched software, single hijacked accounts and shared infrastructure are long-known weaknesses. What has changed is speed: AI tools help attackers find those weaknesses across many organisations at once, and attackers claimed that IDC Frontier’s encryption took only minutes, although that figure is unverified. Detection measured in days is now too slow. The basics, patching, MFA, isolated backups, vendor control and daily monitoring, still stop most of this wave.</w:t>
      </w:r>
    </w:p>
    <w:p w14:paraId="324529BD" w14:textId="77777777" w:rsidR="005C5930" w:rsidRDefault="00000000">
      <w:pPr>
        <w:pStyle w:val="Heading2"/>
      </w:pPr>
      <w:r>
        <w:t>Sources</w:t>
      </w:r>
    </w:p>
    <w:p w14:paraId="225EF747" w14:textId="77777777" w:rsidR="005C5930" w:rsidRDefault="00000000">
      <w:pPr>
        <w:pStyle w:val="Heading3"/>
      </w:pPr>
      <w:r>
        <w:t>Official advisories</w:t>
      </w:r>
    </w:p>
    <w:p w14:paraId="30411A70" w14:textId="77777777" w:rsidR="005C5930" w:rsidRDefault="00000000">
      <w:pPr>
        <w:pStyle w:val="ListParagraph"/>
        <w:numPr>
          <w:ilvl w:val="0"/>
          <w:numId w:val="2"/>
        </w:numPr>
        <w:spacing w:after="80" w:line="290" w:lineRule="auto"/>
      </w:pPr>
      <w:hyperlink r:id="rId11" w:history="1">
        <w:r>
          <w:rPr>
            <w:color w:val="1D4ED8"/>
            <w:u w:val="single"/>
          </w:rPr>
          <w:t>JPCERT/CC alert JPCERT-AT-2026-0033 (PHP vulnerabilities)</w:t>
        </w:r>
      </w:hyperlink>
    </w:p>
    <w:p w14:paraId="4CA004A4" w14:textId="77777777" w:rsidR="005C5930" w:rsidRDefault="00000000">
      <w:pPr>
        <w:pStyle w:val="ListParagraph"/>
        <w:numPr>
          <w:ilvl w:val="0"/>
          <w:numId w:val="2"/>
        </w:numPr>
        <w:spacing w:after="80" w:line="290" w:lineRule="auto"/>
      </w:pPr>
      <w:hyperlink r:id="rId12" w:history="1">
        <w:r>
          <w:rPr>
            <w:color w:val="1D4ED8"/>
            <w:u w:val="single"/>
          </w:rPr>
          <w:t>IPA security alert on PHP2Shell (22 October 2026)</w:t>
        </w:r>
      </w:hyperlink>
    </w:p>
    <w:p w14:paraId="31DEEC22" w14:textId="77777777" w:rsidR="005C5930" w:rsidRDefault="00000000">
      <w:pPr>
        <w:pStyle w:val="ListParagraph"/>
        <w:numPr>
          <w:ilvl w:val="0"/>
          <w:numId w:val="2"/>
        </w:numPr>
        <w:spacing w:after="80" w:line="290" w:lineRule="auto"/>
      </w:pPr>
      <w:hyperlink r:id="rId13" w:history="1">
        <w:r>
          <w:rPr>
            <w:color w:val="1D4ED8"/>
            <w:u w:val="single"/>
          </w:rPr>
          <w:t>Japan Vulnerability Notes (JVN)</w:t>
        </w:r>
      </w:hyperlink>
    </w:p>
    <w:p w14:paraId="5015A50C" w14:textId="77777777" w:rsidR="005C5930" w:rsidRDefault="00000000">
      <w:pPr>
        <w:pStyle w:val="Heading3"/>
      </w:pPr>
      <w:r>
        <w:t>Analysis</w:t>
      </w:r>
    </w:p>
    <w:p w14:paraId="6969AF40" w14:textId="77777777" w:rsidR="005C5930" w:rsidRDefault="00000000">
      <w:pPr>
        <w:pStyle w:val="ListParagraph"/>
        <w:numPr>
          <w:ilvl w:val="0"/>
          <w:numId w:val="2"/>
        </w:numPr>
        <w:spacing w:after="80" w:line="290" w:lineRule="auto"/>
      </w:pPr>
      <w:hyperlink r:id="rId14" w:history="1">
        <w:r>
          <w:rPr>
            <w:color w:val="1D4ED8"/>
            <w:u w:val="single"/>
          </w:rPr>
          <w:t>CS2: Japan’s October 2026 breach wave</w:t>
        </w:r>
      </w:hyperlink>
    </w:p>
    <w:p w14:paraId="167507B0" w14:textId="77777777" w:rsidR="005C5930" w:rsidRDefault="00000000">
      <w:pPr>
        <w:pStyle w:val="ListParagraph"/>
        <w:numPr>
          <w:ilvl w:val="0"/>
          <w:numId w:val="2"/>
        </w:numPr>
        <w:spacing w:after="80" w:line="290" w:lineRule="auto"/>
      </w:pPr>
      <w:hyperlink r:id="rId15" w:history="1">
        <w:r>
          <w:rPr>
            <w:color w:val="1D4ED8"/>
            <w:u w:val="single"/>
          </w:rPr>
          <w:t>UV Cyber: Japan’s cyber emergency and its ripple effects</w:t>
        </w:r>
      </w:hyperlink>
    </w:p>
    <w:p w14:paraId="22B4B1D2" w14:textId="77777777" w:rsidR="005C5930" w:rsidRDefault="00000000">
      <w:pPr>
        <w:pStyle w:val="ListParagraph"/>
        <w:numPr>
          <w:ilvl w:val="0"/>
          <w:numId w:val="2"/>
        </w:numPr>
        <w:spacing w:after="80" w:line="290" w:lineRule="auto"/>
      </w:pPr>
      <w:hyperlink r:id="rId16" w:history="1">
        <w:r>
          <w:rPr>
            <w:color w:val="1D4ED8"/>
            <w:u w:val="single"/>
          </w:rPr>
          <w:t>Malware News / SOCRadar: Inside the October surge</w:t>
        </w:r>
      </w:hyperlink>
    </w:p>
    <w:p w14:paraId="091698B0" w14:textId="77777777" w:rsidR="005C5930" w:rsidRDefault="00000000">
      <w:pPr>
        <w:pStyle w:val="ListParagraph"/>
        <w:numPr>
          <w:ilvl w:val="0"/>
          <w:numId w:val="2"/>
        </w:numPr>
        <w:spacing w:after="80" w:line="290" w:lineRule="auto"/>
      </w:pPr>
      <w:hyperlink r:id="rId17" w:history="1">
        <w:r>
          <w:rPr>
            <w:color w:val="1D4ED8"/>
            <w:u w:val="single"/>
          </w:rPr>
          <w:t>SOCRadar: PHP2Shell explained</w:t>
        </w:r>
      </w:hyperlink>
    </w:p>
    <w:p w14:paraId="42EC51C8" w14:textId="77777777" w:rsidR="005C5930" w:rsidRDefault="00000000">
      <w:pPr>
        <w:pStyle w:val="Heading3"/>
      </w:pPr>
      <w:r>
        <w:t>News</w:t>
      </w:r>
    </w:p>
    <w:p w14:paraId="7F0A482F" w14:textId="77777777" w:rsidR="005C5930" w:rsidRDefault="00000000">
      <w:pPr>
        <w:pStyle w:val="ListParagraph"/>
        <w:numPr>
          <w:ilvl w:val="0"/>
          <w:numId w:val="2"/>
        </w:numPr>
        <w:spacing w:after="80" w:line="290" w:lineRule="auto"/>
      </w:pPr>
      <w:hyperlink r:id="rId18" w:history="1">
        <w:r>
          <w:rPr>
            <w:color w:val="1D4ED8"/>
            <w:u w:val="single"/>
          </w:rPr>
          <w:t>Bloomberg: Trading platform rocked by Japan hack, $50 million ransom</w:t>
        </w:r>
      </w:hyperlink>
    </w:p>
    <w:p w14:paraId="48802DCE" w14:textId="77777777" w:rsidR="005C5930" w:rsidRDefault="00000000">
      <w:pPr>
        <w:pStyle w:val="ListParagraph"/>
        <w:numPr>
          <w:ilvl w:val="0"/>
          <w:numId w:val="2"/>
        </w:numPr>
        <w:spacing w:after="80" w:line="290" w:lineRule="auto"/>
      </w:pPr>
      <w:hyperlink r:id="rId19" w:history="1">
        <w:r>
          <w:rPr>
            <w:color w:val="1D4ED8"/>
            <w:u w:val="single"/>
          </w:rPr>
          <w:t>News On Japan: GMO refuses to pay $50 million cyberattack ransom</w:t>
        </w:r>
      </w:hyperlink>
    </w:p>
    <w:p w14:paraId="786A25E7" w14:textId="77777777" w:rsidR="005C5930" w:rsidRDefault="00000000">
      <w:pPr>
        <w:pStyle w:val="ListParagraph"/>
        <w:numPr>
          <w:ilvl w:val="0"/>
          <w:numId w:val="2"/>
        </w:numPr>
        <w:spacing w:after="80" w:line="290" w:lineRule="auto"/>
      </w:pPr>
      <w:hyperlink r:id="rId20" w:history="1">
        <w:r>
          <w:rPr>
            <w:color w:val="1D4ED8"/>
            <w:u w:val="single"/>
          </w:rPr>
          <w:t>Finance Magnates: Hackers publish alleged GMO customer data</w:t>
        </w:r>
      </w:hyperlink>
    </w:p>
    <w:p w14:paraId="1B3D089B" w14:textId="77777777" w:rsidR="005C5930" w:rsidRDefault="00000000">
      <w:pPr>
        <w:pStyle w:val="ListParagraph"/>
        <w:numPr>
          <w:ilvl w:val="0"/>
          <w:numId w:val="2"/>
        </w:numPr>
        <w:spacing w:after="80" w:line="290" w:lineRule="auto"/>
      </w:pPr>
      <w:hyperlink r:id="rId21" w:history="1">
        <w:r>
          <w:rPr>
            <w:color w:val="1D4ED8"/>
            <w:u w:val="single"/>
          </w:rPr>
          <w:t>Kyodo News (via Kumanichi): GMO requests Active Cyber Defense</w:t>
        </w:r>
      </w:hyperlink>
    </w:p>
    <w:p w14:paraId="0F7FD530" w14:textId="77777777" w:rsidR="005C5930" w:rsidRDefault="00000000">
      <w:pPr>
        <w:pStyle w:val="ListParagraph"/>
        <w:numPr>
          <w:ilvl w:val="0"/>
          <w:numId w:val="2"/>
        </w:numPr>
        <w:spacing w:after="80" w:line="290" w:lineRule="auto"/>
      </w:pPr>
      <w:hyperlink r:id="rId22" w:history="1">
        <w:r>
          <w:rPr>
            <w:color w:val="1D4ED8"/>
            <w:u w:val="single"/>
          </w:rPr>
          <w:t>News On Japan: Cyberattacks hit Japanese police and businesses</w:t>
        </w:r>
      </w:hyperlink>
    </w:p>
    <w:p w14:paraId="362252BA" w14:textId="77777777" w:rsidR="005C5930" w:rsidRDefault="00000000">
      <w:pPr>
        <w:pStyle w:val="ListParagraph"/>
        <w:numPr>
          <w:ilvl w:val="0"/>
          <w:numId w:val="2"/>
        </w:numPr>
        <w:spacing w:after="80" w:line="290" w:lineRule="auto"/>
      </w:pPr>
      <w:hyperlink r:id="rId23" w:history="1">
        <w:r>
          <w:rPr>
            <w:color w:val="1D4ED8"/>
            <w:u w:val="single"/>
          </w:rPr>
          <w:t>The Next Web: Japan steps up cyber warnings as data leaks hit millions</w:t>
        </w:r>
      </w:hyperlink>
    </w:p>
    <w:p w14:paraId="5DCC7D90" w14:textId="77777777" w:rsidR="005C5930" w:rsidRDefault="00000000">
      <w:pPr>
        <w:pStyle w:val="ListParagraph"/>
        <w:numPr>
          <w:ilvl w:val="0"/>
          <w:numId w:val="2"/>
        </w:numPr>
        <w:spacing w:after="80" w:line="290" w:lineRule="auto"/>
      </w:pPr>
      <w:hyperlink r:id="rId24" w:history="1">
        <w:r>
          <w:rPr>
            <w:color w:val="1D4ED8"/>
            <w:u w:val="single"/>
          </w:rPr>
          <w:t>Anadolu Agency: Japan suspends websites over critical PHP vulnerabilities</w:t>
        </w:r>
      </w:hyperlink>
    </w:p>
    <w:p w14:paraId="08F9EEE8" w14:textId="77777777" w:rsidR="005C5930" w:rsidRDefault="00000000">
      <w:pPr>
        <w:pStyle w:val="ListParagraph"/>
        <w:numPr>
          <w:ilvl w:val="0"/>
          <w:numId w:val="2"/>
        </w:numPr>
        <w:spacing w:after="80" w:line="290" w:lineRule="auto"/>
      </w:pPr>
      <w:hyperlink r:id="rId25" w:history="1">
        <w:r>
          <w:rPr>
            <w:color w:val="1D4ED8"/>
            <w:u w:val="single"/>
          </w:rPr>
          <w:t>Tech Times: Japan declares first cyberspace emergency</w:t>
        </w:r>
      </w:hyperlink>
    </w:p>
    <w:sectPr w:rsidR="005C5930">
      <w:pgSz w:w="11906" w:h="16838"/>
      <w:pgMar w:top="1300" w:right="1300" w:bottom="1300" w:left="13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roman"/>
    <w:pitch w:val="default"/>
  </w:font>
  <w:font w:name="Aptos Display">
    <w:panose1 w:val="020B0004020202020204"/>
    <w:charset w:val="00"/>
    <w:family w:val="roman"/>
    <w:notTrueType/>
    <w:pitch w:val="default"/>
  </w:font>
  <w:font w:name="Yu Mincho">
    <w:altName w:val="游明朝"/>
    <w:panose1 w:val="02020400000000000000"/>
    <w:charset w:val="80"/>
    <w:family w:val="roman"/>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0F1103E"/>
    <w:multiLevelType w:val="hybridMultilevel"/>
    <w:tmpl w:val="91FAABD0"/>
    <w:lvl w:ilvl="0" w:tplc="D30CF64C">
      <w:start w:val="1"/>
      <w:numFmt w:val="decimal"/>
      <w:lvlText w:val="%1."/>
      <w:lvlJc w:val="left"/>
      <w:pPr>
        <w:ind w:left="720" w:hanging="360"/>
      </w:pPr>
    </w:lvl>
    <w:lvl w:ilvl="1" w:tplc="6BD65D6E">
      <w:numFmt w:val="decimal"/>
      <w:lvlText w:val=""/>
      <w:lvlJc w:val="left"/>
    </w:lvl>
    <w:lvl w:ilvl="2" w:tplc="D668FF26">
      <w:numFmt w:val="decimal"/>
      <w:lvlText w:val=""/>
      <w:lvlJc w:val="left"/>
    </w:lvl>
    <w:lvl w:ilvl="3" w:tplc="1220BC2E">
      <w:numFmt w:val="decimal"/>
      <w:lvlText w:val=""/>
      <w:lvlJc w:val="left"/>
    </w:lvl>
    <w:lvl w:ilvl="4" w:tplc="A00EB83A">
      <w:numFmt w:val="decimal"/>
      <w:lvlText w:val=""/>
      <w:lvlJc w:val="left"/>
    </w:lvl>
    <w:lvl w:ilvl="5" w:tplc="307C736C">
      <w:numFmt w:val="decimal"/>
      <w:lvlText w:val=""/>
      <w:lvlJc w:val="left"/>
    </w:lvl>
    <w:lvl w:ilvl="6" w:tplc="837819E6">
      <w:numFmt w:val="decimal"/>
      <w:lvlText w:val=""/>
      <w:lvlJc w:val="left"/>
    </w:lvl>
    <w:lvl w:ilvl="7" w:tplc="CD0A728A">
      <w:numFmt w:val="decimal"/>
      <w:lvlText w:val=""/>
      <w:lvlJc w:val="left"/>
    </w:lvl>
    <w:lvl w:ilvl="8" w:tplc="B6EC2C28">
      <w:numFmt w:val="decimal"/>
      <w:lvlText w:val=""/>
      <w:lvlJc w:val="left"/>
    </w:lvl>
  </w:abstractNum>
  <w:abstractNum w:abstractNumId="1" w15:restartNumberingAfterBreak="0">
    <w:nsid w:val="40607110"/>
    <w:multiLevelType w:val="hybridMultilevel"/>
    <w:tmpl w:val="89028344"/>
    <w:lvl w:ilvl="0" w:tplc="3B720F32">
      <w:start w:val="1"/>
      <w:numFmt w:val="bullet"/>
      <w:lvlText w:val="●"/>
      <w:lvlJc w:val="left"/>
      <w:pPr>
        <w:ind w:left="720" w:hanging="360"/>
      </w:pPr>
    </w:lvl>
    <w:lvl w:ilvl="1" w:tplc="4C1408B8">
      <w:start w:val="1"/>
      <w:numFmt w:val="bullet"/>
      <w:lvlText w:val="○"/>
      <w:lvlJc w:val="left"/>
      <w:pPr>
        <w:ind w:left="1440" w:hanging="360"/>
      </w:pPr>
    </w:lvl>
    <w:lvl w:ilvl="2" w:tplc="B8D2FA22">
      <w:start w:val="1"/>
      <w:numFmt w:val="bullet"/>
      <w:lvlText w:val="■"/>
      <w:lvlJc w:val="left"/>
      <w:pPr>
        <w:ind w:left="2160" w:hanging="360"/>
      </w:pPr>
    </w:lvl>
    <w:lvl w:ilvl="3" w:tplc="99BAE548">
      <w:start w:val="1"/>
      <w:numFmt w:val="bullet"/>
      <w:lvlText w:val="●"/>
      <w:lvlJc w:val="left"/>
      <w:pPr>
        <w:ind w:left="2880" w:hanging="360"/>
      </w:pPr>
    </w:lvl>
    <w:lvl w:ilvl="4" w:tplc="BAE20DC4">
      <w:start w:val="1"/>
      <w:numFmt w:val="bullet"/>
      <w:lvlText w:val="○"/>
      <w:lvlJc w:val="left"/>
      <w:pPr>
        <w:ind w:left="3600" w:hanging="360"/>
      </w:pPr>
    </w:lvl>
    <w:lvl w:ilvl="5" w:tplc="9CE8F6FC">
      <w:start w:val="1"/>
      <w:numFmt w:val="bullet"/>
      <w:lvlText w:val="■"/>
      <w:lvlJc w:val="left"/>
      <w:pPr>
        <w:ind w:left="4320" w:hanging="360"/>
      </w:pPr>
    </w:lvl>
    <w:lvl w:ilvl="6" w:tplc="B29C9E96">
      <w:start w:val="1"/>
      <w:numFmt w:val="bullet"/>
      <w:lvlText w:val="●"/>
      <w:lvlJc w:val="left"/>
      <w:pPr>
        <w:ind w:left="5040" w:hanging="360"/>
      </w:pPr>
    </w:lvl>
    <w:lvl w:ilvl="7" w:tplc="6C0EACD4">
      <w:start w:val="1"/>
      <w:numFmt w:val="bullet"/>
      <w:lvlText w:val="●"/>
      <w:lvlJc w:val="left"/>
      <w:pPr>
        <w:ind w:left="5760" w:hanging="360"/>
      </w:pPr>
    </w:lvl>
    <w:lvl w:ilvl="8" w:tplc="DC3EDC04">
      <w:start w:val="1"/>
      <w:numFmt w:val="bullet"/>
      <w:lvlText w:val="●"/>
      <w:lvlJc w:val="left"/>
      <w:pPr>
        <w:ind w:left="6480" w:hanging="360"/>
      </w:pPr>
    </w:lvl>
  </w:abstractNum>
  <w:abstractNum w:abstractNumId="2" w15:restartNumberingAfterBreak="0">
    <w:nsid w:val="576D40D9"/>
    <w:multiLevelType w:val="hybridMultilevel"/>
    <w:tmpl w:val="F002FB80"/>
    <w:lvl w:ilvl="0" w:tplc="F9C6D240">
      <w:start w:val="1"/>
      <w:numFmt w:val="bullet"/>
      <w:lvlText w:val="•"/>
      <w:lvlJc w:val="left"/>
      <w:pPr>
        <w:ind w:left="720" w:hanging="360"/>
      </w:pPr>
    </w:lvl>
    <w:lvl w:ilvl="1" w:tplc="79201E46">
      <w:numFmt w:val="decimal"/>
      <w:lvlText w:val=""/>
      <w:lvlJc w:val="left"/>
    </w:lvl>
    <w:lvl w:ilvl="2" w:tplc="DDF0F984">
      <w:numFmt w:val="decimal"/>
      <w:lvlText w:val=""/>
      <w:lvlJc w:val="left"/>
    </w:lvl>
    <w:lvl w:ilvl="3" w:tplc="ED78CC64">
      <w:numFmt w:val="decimal"/>
      <w:lvlText w:val=""/>
      <w:lvlJc w:val="left"/>
    </w:lvl>
    <w:lvl w:ilvl="4" w:tplc="C73E49FC">
      <w:numFmt w:val="decimal"/>
      <w:lvlText w:val=""/>
      <w:lvlJc w:val="left"/>
    </w:lvl>
    <w:lvl w:ilvl="5" w:tplc="A36002DE">
      <w:numFmt w:val="decimal"/>
      <w:lvlText w:val=""/>
      <w:lvlJc w:val="left"/>
    </w:lvl>
    <w:lvl w:ilvl="6" w:tplc="7332C41C">
      <w:numFmt w:val="decimal"/>
      <w:lvlText w:val=""/>
      <w:lvlJc w:val="left"/>
    </w:lvl>
    <w:lvl w:ilvl="7" w:tplc="F02A0E94">
      <w:numFmt w:val="decimal"/>
      <w:lvlText w:val=""/>
      <w:lvlJc w:val="left"/>
    </w:lvl>
    <w:lvl w:ilvl="8" w:tplc="98CA0736">
      <w:numFmt w:val="decimal"/>
      <w:lvlText w:val=""/>
      <w:lvlJc w:val="left"/>
    </w:lvl>
  </w:abstractNum>
  <w:num w:numId="1" w16cid:durableId="1717924100">
    <w:abstractNumId w:val="1"/>
    <w:lvlOverride w:ilvl="0">
      <w:startOverride w:val="1"/>
    </w:lvlOverride>
  </w:num>
  <w:num w:numId="2" w16cid:durableId="1696075948">
    <w:abstractNumId w:val="2"/>
    <w:lvlOverride w:ilvl="0">
      <w:startOverride w:val="1"/>
    </w:lvlOverride>
  </w:num>
  <w:num w:numId="3" w16cid:durableId="66848530">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5930"/>
    <w:rsid w:val="003C38BD"/>
    <w:rsid w:val="005C5930"/>
    <w:rsid w:val="00FD7A5E"/>
  </w:rsids>
  <m:mathPr>
    <m:mathFont m:val="Cambria Math"/>
    <m:brkBin m:val="before"/>
    <m:brkBinSub m:val="--"/>
    <m:smallFrac m:val="0"/>
    <m:dispDef/>
    <m:lMargin m:val="0"/>
    <m:rMargin m:val="0"/>
    <m:defJc m:val="centerGroup"/>
    <m:wrapIndent m:val="1440"/>
    <m:intLim m:val="subSup"/>
    <m:naryLim m:val="undOvr"/>
  </m:mathPr>
  <w:themeFontLang w:val="en-JP"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5959B692"/>
  <w15:docId w15:val="{1A6A95A3-2C7F-9E4C-AA3C-946AE368E7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color w:val="1F2A44"/>
        <w:sz w:val="22"/>
        <w:szCs w:val="22"/>
        <w:lang w:val="en-JP"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120" w:after="200"/>
      <w:outlineLvl w:val="0"/>
    </w:pPr>
    <w:rPr>
      <w:b/>
      <w:bCs/>
      <w:color w:val="0B1A3A"/>
      <w:sz w:val="40"/>
      <w:szCs w:val="40"/>
    </w:rPr>
  </w:style>
  <w:style w:type="paragraph" w:styleId="Heading2">
    <w:name w:val="heading 2"/>
    <w:uiPriority w:val="9"/>
    <w:unhideWhenUsed/>
    <w:qFormat/>
    <w:pPr>
      <w:spacing w:before="320" w:after="140"/>
      <w:outlineLvl w:val="1"/>
    </w:pPr>
    <w:rPr>
      <w:b/>
      <w:bCs/>
      <w:color w:val="0B1A3A"/>
      <w:sz w:val="30"/>
      <w:szCs w:val="30"/>
    </w:rPr>
  </w:style>
  <w:style w:type="paragraph" w:styleId="Heading3">
    <w:name w:val="heading 3"/>
    <w:uiPriority w:val="9"/>
    <w:unhideWhenUsed/>
    <w:qFormat/>
    <w:pPr>
      <w:spacing w:before="240" w:after="100"/>
      <w:outlineLvl w:val="2"/>
    </w:pPr>
    <w:rPr>
      <w:b/>
      <w:bCs/>
      <w:color w:val="1D4ED8"/>
      <w:sz w:val="25"/>
      <w:szCs w:val="25"/>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hyperlink" Target="https://jvn.jp/" TargetMode="External"/><Relationship Id="rId18" Type="http://schemas.openxmlformats.org/officeDocument/2006/relationships/hyperlink" Target="https://www.bloomberg.com/news/articles/2026-10-26/japan-s-katayama-vows-to-address-cyber-attack-on-fx-with-urgency"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kumanichi.com/articles/2050148" TargetMode="External"/><Relationship Id="rId7" Type="http://schemas.openxmlformats.org/officeDocument/2006/relationships/image" Target="media/image3.jpg"/><Relationship Id="rId12" Type="http://schemas.openxmlformats.org/officeDocument/2006/relationships/hyperlink" Target="https://www.ipa.go.jp/security/security-alert/2026/alert20261022.html" TargetMode="External"/><Relationship Id="rId17" Type="http://schemas.openxmlformats.org/officeDocument/2006/relationships/hyperlink" Target="https://socradar.io/blog/php2shell-cve-2026-109618-cve-2026-109619/" TargetMode="External"/><Relationship Id="rId25" Type="http://schemas.openxmlformats.org/officeDocument/2006/relationships/hyperlink" Target="https://www.techtimes.com/articles/328908/20261012/japan-declares-first-cyberspace-emergency-ai-turns-ransomware-carpet-bombing.htm" TargetMode="External"/><Relationship Id="rId2" Type="http://schemas.openxmlformats.org/officeDocument/2006/relationships/styles" Target="styles.xml"/><Relationship Id="rId16" Type="http://schemas.openxmlformats.org/officeDocument/2006/relationships/hyperlink" Target="https://malware.news/t/japan-data-breaches-2026-inside-the-october-surge/126558" TargetMode="External"/><Relationship Id="rId20" Type="http://schemas.openxmlformats.org/officeDocument/2006/relationships/hyperlink" Target="https://financemagnates.com/forex/hackers-publish-alleged-gmo-customer-data-as-broker-fxtf-shuts-out-overseas-logins" TargetMode="Externa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hyperlink" Target="https://www.jpcert.or.jp/at/2026/at260033.html" TargetMode="External"/><Relationship Id="rId24" Type="http://schemas.openxmlformats.org/officeDocument/2006/relationships/hyperlink" Target="https://www.aa.com.tr/en/asia-pacific/japan-suspends-several-websites-over-critical-php-security-vulnerabilities/4096314" TargetMode="External"/><Relationship Id="rId5" Type="http://schemas.openxmlformats.org/officeDocument/2006/relationships/image" Target="media/image1.jpg"/><Relationship Id="rId15" Type="http://schemas.openxmlformats.org/officeDocument/2006/relationships/hyperlink" Target="https://www.uvcyber.com/resources/threat-advisories/threat-advisory-japans-cyber-emergency-and-its-ripple-effects" TargetMode="External"/><Relationship Id="rId23" Type="http://schemas.openxmlformats.org/officeDocument/2006/relationships/hyperlink" Target="https://thenextweb.com/news/japan-cyberattacks-warning-data-leaks" TargetMode="External"/><Relationship Id="rId10" Type="http://schemas.openxmlformats.org/officeDocument/2006/relationships/image" Target="media/image6.jpg"/><Relationship Id="rId19" Type="http://schemas.openxmlformats.org/officeDocument/2006/relationships/hyperlink" Target="https://newsonjapan.com/article/151147.php" TargetMode="External"/><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hyperlink" Target="https://www.cybers2.com/blog/japan-breach-wave-october-2026.html" TargetMode="External"/><Relationship Id="rId22" Type="http://schemas.openxmlformats.org/officeDocument/2006/relationships/hyperlink" Target="https://newsonjapan.com/article/151111.php"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1713</Words>
  <Characters>9766</Characters>
  <Application>Microsoft Office Word</Application>
  <DocSecurity>0</DocSecurity>
  <Lines>81</Lines>
  <Paragraphs>22</Paragraphs>
  <ScaleCrop>false</ScaleCrop>
  <Company/>
  <LinksUpToDate>false</LinksUpToDate>
  <CharactersWithSpaces>11457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Japan’s October 2026 Cyber Emergency</dc:title>
  <dc:creator>ZNexora Tech</dc:creator>
  <dc:description>Threat briefing: attack types, key incidents, remediation and prevention.</dc:description>
  <cp:lastModifiedBy>ZIN MAR LWIN</cp:lastModifiedBy>
  <cp:revision>2</cp:revision>
  <dcterms:created xsi:type="dcterms:W3CDTF">2026-11-01T14:12:00Z</dcterms:created>
  <dcterms:modified xsi:type="dcterms:W3CDTF">2026-11-01T14:15:00Z</dcterms:modified>
</cp:coreProperties>
</file>