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color w:val="616161"/>
          <w:sz w:val="24"/>
        </w:rPr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苏州智泊物联科技有限公司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产品部</w:t>
      </w:r>
    </w:p>
    <w:p>
      <w:pPr>
        <w:spacing w:before="0" w:after="280"/>
      </w:pPr>
      <w:r>
        <w:rPr>
          <w:rFonts w:ascii="微软雅黑" w:eastAsia="微软雅黑" w:hAnsi="微软雅黑" w:cs="微软雅黑" w:hint="eastAsia"/>
          <w:b/>
          <w:color w:val="00897B"/>
          <w:sz w:val="26"/>
          <w:lang w:eastAsia="zh-CN"/>
        </w:rPr>
        <w:t>软件工程文档</w:t>
      </w:r>
    </w:p>
    <w:p>
      <w:pPr>
        <w:spacing w:before="0" w:after="80"/>
      </w:pPr>
      <w:r>
        <w:rPr>
          <w:rFonts w:ascii="微软雅黑" w:eastAsia="微软雅黑" w:hAnsi="微软雅黑" w:cs="微软雅黑" w:hint="eastAsia"/>
          <w:b/>
          <w:color w:val="004D40"/>
          <w:sz w:val="52"/>
          <w:lang w:eastAsia="zh-CN"/>
        </w:rPr>
        <w:t>智泊云</w:t>
      </w:r>
      <w:r>
        <w:rPr>
          <w:b/>
          <w:color w:val="004D40"/>
          <w:sz w:val="52"/>
        </w:rPr>
        <w:t>·</w:t>
      </w:r>
      <w:r>
        <w:rPr>
          <w:rFonts w:ascii="微软雅黑" w:eastAsia="微软雅黑" w:hAnsi="微软雅黑" w:cs="微软雅黑" w:hint="eastAsia"/>
          <w:b/>
          <w:color w:val="004D40"/>
          <w:sz w:val="52"/>
          <w:lang w:eastAsia="zh-CN"/>
        </w:rPr>
        <w:t>智能停车场管理系统</w:t>
      </w:r>
    </w:p>
    <w:p>
      <w:pPr>
        <w:spacing w:before="0" w:after="200"/>
      </w:pPr>
      <w:r>
        <w:rPr>
          <w:rFonts w:ascii="微软雅黑" w:eastAsia="微软雅黑" w:hAnsi="微软雅黑" w:cs="微软雅黑" w:hint="eastAsia"/>
          <w:b/>
          <w:color w:val="004D40"/>
          <w:sz w:val="40"/>
          <w:lang w:eastAsia="zh-CN"/>
        </w:rPr>
        <w:t>软件需求规格说明书</w:t>
      </w:r>
    </w:p>
    <w:p>
      <w:pPr>
        <w:spacing w:before="0" w:after="3000"/>
      </w:pPr>
      <w:r>
        <w:rPr>
          <w:color w:val="9E9E9E"/>
          <w:sz w:val="20"/>
        </w:rPr>
        <w:t>Software Requirements Specification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文档名称：智泊云</w:t>
      </w:r>
      <w:r>
        <w:rPr>
          <w:color w:val="424242"/>
          <w:sz w:val="21"/>
        </w:rPr>
        <w:t>·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智能停车场管理系统</w:t>
      </w:r>
      <w:r>
        <w:rPr>
          <w:color w:val="424242"/>
          <w:sz w:val="21"/>
        </w:rPr>
        <w:t xml:space="preserve"> 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软件需求规格说明书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文档编号：</w:t>
      </w:r>
      <w:r>
        <w:rPr>
          <w:color w:val="424242"/>
          <w:sz w:val="21"/>
        </w:rPr>
        <w:t>ZB-SRS-SP-2026-001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版本号：</w:t>
      </w:r>
      <w:r>
        <w:rPr>
          <w:color w:val="424242"/>
          <w:sz w:val="21"/>
        </w:rPr>
        <w:t>V1.0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 xml:space="preserve">　　密级：内部公开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编制单位：苏州智泊物联科技有限公司</w:t>
      </w:r>
      <w:r>
        <w:rPr>
          <w:color w:val="424242"/>
          <w:sz w:val="21"/>
        </w:rPr>
        <w:t xml:space="preserve"> · </w:t>
      </w: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产品部</w:t>
      </w:r>
    </w:p>
    <w:p>
      <w:pPr>
        <w:spacing w:before="0" w:after="100"/>
      </w:pPr>
      <w:r>
        <w:rPr>
          <w:rFonts w:ascii="微软雅黑" w:eastAsia="微软雅黑" w:hAnsi="微软雅黑" w:cs="微软雅黑" w:hint="eastAsia"/>
          <w:color w:val="424242"/>
          <w:sz w:val="21"/>
          <w:lang w:eastAsia="zh-CN"/>
        </w:rPr>
        <w:t>编制日期：</w:t>
      </w:r>
      <w:r>
        <w:rPr>
          <w:color w:val="424242"/>
          <w:sz w:val="21"/>
        </w:rPr>
        <w:t>2026-10-09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bookmarkStart w:id="37" w:name="_Toc_sec_01"/>
      <w:bookmarkStart w:id="0" w:name="sec-01"/>
      <w:pPr>
        <w:pStyle w:val="Heading2"/>
      </w:pPr>
      <w:bookmarkEnd w:id="0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文档控制</w:t>
      </w:r>
      <w:bookmarkEnd w:id="3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文档名称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智泊云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智能停车场管理系统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软件需求规格说明书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ZB-SRS-SP-2026-001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版本号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密级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内部公开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已评审通过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编制单位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苏州智泊物联科技有限公司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接收单位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苏州智泊物联科技有限公司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质量保障部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2026-10-09</w:t>
            </w:r>
          </w:p>
        </w:tc>
      </w:tr>
    </w:tbl>
    <w:p>
      <w:bookmarkStart w:id="38" w:name="_Toc_sec_02"/>
      <w:bookmarkStart w:id="1" w:name="sec-02"/>
      <w:pPr>
        <w:pStyle w:val="Heading3"/>
      </w:pPr>
      <w:bookmarkEnd w:id="1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修订记录</w:t>
      </w:r>
      <w:bookmarkEnd w:id="3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版本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修订日期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修订人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修订说明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2026-09-23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初稿，覆盖车位、入场、出场计费、月卡四个模块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2026-09-30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补充计费规则细则与车位状态机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质量保障部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评审意见修订：新增数据一致性需求与时钟模拟需求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2026-10-09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产品部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评审通过，定版发布，作为测试用例设计基线</w:t>
            </w:r>
          </w:p>
        </w:tc>
      </w:tr>
    </w:tbl>
    <w:p>
      <w:bookmarkStart w:id="39" w:name="_Toc_sec_03"/>
      <w:bookmarkStart w:id="2" w:name="sec-03"/>
      <w:pPr>
        <w:pStyle w:val="Heading3"/>
      </w:pPr>
      <w:bookmarkEnd w:id="2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评审与签署</w:t>
      </w:r>
      <w:bookmarkEnd w:id="3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角色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姓名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签字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日期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编制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4" w:name="编制_01"/>
            <w:r>
              <w:rPr>
                <w:sz w:val="18"/>
              </w:rPr>
              <w:t xml:space="preserve"> </w:t>
            </w:r>
            <w:bookmarkEnd w:id="74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5" w:name="__DOCXFIELD_2714d15a29474e189c935895032f9111___01"/>
            <w:r>
              <w:rPr>
                <w:sz w:val="18"/>
              </w:rPr>
              <w:t xml:space="preserve"> </w:t>
            </w:r>
            <w:bookmarkEnd w:id="75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6" w:name="__DOCXFIELD_561719a993f5447c83f5fd72a0728e6d___01"/>
            <w:r>
              <w:rPr>
                <w:sz w:val="18"/>
              </w:rPr>
              <w:t xml:space="preserve"> </w:t>
            </w:r>
            <w:bookmarkEnd w:id="76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审核（研发负责人）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7" w:name="审核（研发负责人）_01"/>
            <w:r>
              <w:rPr>
                <w:sz w:val="18"/>
              </w:rPr>
              <w:t xml:space="preserve"> </w:t>
            </w:r>
            <w:bookmarkEnd w:id="77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8" w:name="__DOCXFIELD_58eb56e6dc0c4a159da12bad3da5ee1c___01"/>
            <w:r>
              <w:rPr>
                <w:sz w:val="18"/>
              </w:rPr>
              <w:t xml:space="preserve"> </w:t>
            </w:r>
            <w:bookmarkEnd w:id="78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79" w:name="__DOCXFIELD_c0892e47416f4d1590daf20644c5b1c9___01"/>
            <w:r>
              <w:rPr>
                <w:sz w:val="18"/>
              </w:rPr>
              <w:t xml:space="preserve"> </w:t>
            </w:r>
            <w:bookmarkEnd w:id="79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审核（质量保障负责人）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0" w:name="审核（质量保障负责人）_01"/>
            <w:r>
              <w:rPr>
                <w:sz w:val="18"/>
              </w:rPr>
              <w:t xml:space="preserve"> </w:t>
            </w:r>
            <w:bookmarkEnd w:id="80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1" w:name="__DOCXFIELD_21e26f73c3cd46ecb4e3150bcb310c26___01"/>
            <w:r>
              <w:rPr>
                <w:sz w:val="18"/>
              </w:rPr>
              <w:t xml:space="preserve"> </w:t>
            </w:r>
            <w:bookmarkEnd w:id="81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2" w:name="__DOCXFIELD_84dd179ab20a45ea8c2d2ee9ebe049fb___01"/>
            <w:r>
              <w:rPr>
                <w:sz w:val="18"/>
              </w:rPr>
              <w:t xml:space="preserve"> </w:t>
            </w:r>
            <w:bookmarkEnd w:id="82"/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批准（项目管理办公室）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3" w:name="批准（项目管理办公室）_01"/>
            <w:r>
              <w:rPr>
                <w:sz w:val="18"/>
              </w:rPr>
              <w:t xml:space="preserve"> </w:t>
            </w:r>
            <w:bookmarkEnd w:id="83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4" w:name="__DOCXFIELD_b181d1d103dd45eeb8902fd15ea7d1d2___01"/>
            <w:r>
              <w:rPr>
                <w:sz w:val="18"/>
              </w:rPr>
              <w:t xml:space="preserve"> </w:t>
            </w:r>
            <w:bookmarkEnd w:id="84"/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bookmarkStart w:id="85" w:name="__DOCXFIELD_7b5b88e79ab54f64a05e4d5ac9349168___01"/>
            <w:r>
              <w:rPr>
                <w:sz w:val="18"/>
              </w:rPr>
              <w:t xml:space="preserve"> </w:t>
            </w:r>
            <w:bookmarkEnd w:id="85"/>
          </w:p>
        </w:tc>
      </w:tr>
    </w:tbl>
    <w:p>
      <w:bookmarkStart w:id="40" w:name="_Toc_sec_04"/>
      <w:bookmarkStart w:id="3" w:name="sec-04"/>
      <w:pPr>
        <w:pStyle w:val="Heading3"/>
      </w:pPr>
      <w:bookmarkEnd w:id="3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文档分发范围</w:t>
      </w:r>
      <w:bookmarkEnd w:id="4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接收方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研发部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按需求实现功能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质量保障部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设计测试用例、编写测试计划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运维部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部署与数据初始化</w:t>
            </w:r>
          </w:p>
        </w:tc>
      </w:tr>
    </w:tbl>
    <w:p>
      <w:pPr>
        <w:spacing w:before="0" w:after="160"/>
      </w:pPr>
      <w:r>
        <w:rPr>
          <w:b/>
          <w:color w:val="004D40"/>
          <w:sz w:val="30"/>
        </w:rPr>
        <w:t>目录</w:t>
      </w:r>
    </w:p>
    <w:p>
      <w:hyperlink w:anchor="_Toc_sec_01">
        <w:r>
          <w:rPr>
            <w:rFonts w:hint="eastAsia"/>
            <w:color w:val="000000"/>
            <w:u w:val="none"/>
          </w:rPr>
          <w:t xml:space="preserve">文档控制</w:t>
        </w:r>
      </w:hyperlink>
    </w:p>
    <w:p>
      <w:pPr>
        <w:ind w:left="283"/>
      </w:pPr>
      <w:hyperlink w:anchor="_Toc_sec_02">
        <w:r>
          <w:rPr>
            <w:rFonts w:hint="eastAsia"/>
            <w:color w:val="000000"/>
            <w:u w:val="none"/>
          </w:rPr>
          <w:t xml:space="preserve">修订记录</w:t>
        </w:r>
      </w:hyperlink>
    </w:p>
    <w:p>
      <w:pPr>
        <w:ind w:left="283"/>
      </w:pPr>
      <w:hyperlink w:anchor="_Toc_sec_03">
        <w:r>
          <w:rPr>
            <w:rFonts w:hint="eastAsia"/>
            <w:color w:val="000000"/>
            <w:u w:val="none"/>
          </w:rPr>
          <w:t xml:space="preserve">评审与签署</w:t>
        </w:r>
      </w:hyperlink>
    </w:p>
    <w:p>
      <w:pPr>
        <w:ind w:left="283"/>
      </w:pPr>
      <w:hyperlink w:anchor="_Toc_sec_04">
        <w:r>
          <w:rPr>
            <w:rFonts w:hint="eastAsia"/>
            <w:color w:val="000000"/>
            <w:u w:val="none"/>
          </w:rPr>
          <w:t xml:space="preserve">文档分发范围</w:t>
        </w:r>
      </w:hyperlink>
    </w:p>
    <w:p>
      <w:hyperlink w:anchor="_Toc_sec_05">
        <w:r>
          <w:rPr>
            <w:rFonts w:hint="eastAsia"/>
            <w:color w:val="000000"/>
            <w:u w:val="none"/>
          </w:rPr>
          <w:t xml:space="preserve">一、引言</w:t>
        </w:r>
      </w:hyperlink>
    </w:p>
    <w:p>
      <w:pPr>
        <w:ind w:left="283"/>
      </w:pPr>
      <w:hyperlink w:anchor="_Toc_sec_06">
        <w:r>
          <w:rPr>
            <w:rFonts w:hint="eastAsia"/>
            <w:color w:val="000000"/>
            <w:u w:val="none"/>
          </w:rPr>
          <w:t xml:space="preserve">（一）编写目的</w:t>
        </w:r>
      </w:hyperlink>
    </w:p>
    <w:p>
      <w:pPr>
        <w:ind w:left="283"/>
      </w:pPr>
      <w:hyperlink w:anchor="_Toc_sec_07">
        <w:r>
          <w:rPr>
            <w:rFonts w:hint="eastAsia"/>
            <w:color w:val="000000"/>
            <w:u w:val="none"/>
          </w:rPr>
          <w:t xml:space="preserve">（二）项目背景</w:t>
        </w:r>
      </w:hyperlink>
    </w:p>
    <w:p>
      <w:pPr>
        <w:ind w:left="283"/>
      </w:pPr>
      <w:hyperlink w:anchor="_Toc_sec_08">
        <w:r>
          <w:rPr>
            <w:rFonts w:hint="eastAsia"/>
            <w:color w:val="000000"/>
            <w:u w:val="none"/>
          </w:rPr>
          <w:t xml:space="preserve">（三）适用范围</w:t>
        </w:r>
      </w:hyperlink>
    </w:p>
    <w:p>
      <w:pPr>
        <w:ind w:left="283"/>
      </w:pPr>
      <w:hyperlink w:anchor="_Toc_sec_09">
        <w:r>
          <w:rPr>
            <w:rFonts w:hint="eastAsia"/>
            <w:color w:val="000000"/>
            <w:u w:val="none"/>
          </w:rPr>
          <w:t xml:space="preserve">（四）术语与缩略语</w:t>
        </w:r>
      </w:hyperlink>
    </w:p>
    <w:p>
      <w:pPr>
        <w:ind w:left="283"/>
      </w:pPr>
      <w:hyperlink w:anchor="_Toc_sec_10">
        <w:r>
          <w:rPr>
            <w:rFonts w:hint="eastAsia"/>
            <w:color w:val="000000"/>
            <w:u w:val="none"/>
          </w:rPr>
          <w:t xml:space="preserve">（五）参考资料</w:t>
        </w:r>
      </w:hyperlink>
    </w:p>
    <w:p>
      <w:hyperlink w:anchor="_Toc_sec_11">
        <w:r>
          <w:rPr>
            <w:rFonts w:hint="eastAsia"/>
            <w:color w:val="000000"/>
            <w:u w:val="none"/>
          </w:rPr>
          <w:t xml:space="preserve">二、总体描述</w:t>
        </w:r>
      </w:hyperlink>
    </w:p>
    <w:p>
      <w:pPr>
        <w:ind w:left="283"/>
      </w:pPr>
      <w:hyperlink w:anchor="_Toc_sec_12">
        <w:r>
          <w:rPr>
            <w:rFonts w:hint="eastAsia"/>
            <w:color w:val="000000"/>
            <w:u w:val="none"/>
          </w:rPr>
          <w:t xml:space="preserve">（一）产品定位与目标</w:t>
        </w:r>
      </w:hyperlink>
    </w:p>
    <w:p>
      <w:pPr>
        <w:ind w:left="283"/>
      </w:pPr>
      <w:hyperlink w:anchor="_Toc_sec_13">
        <w:r>
          <w:rPr>
            <w:rFonts w:hint="eastAsia"/>
            <w:color w:val="000000"/>
            <w:u w:val="none"/>
          </w:rPr>
          <w:t xml:space="preserve">（二）用户角色与权限</w:t>
        </w:r>
      </w:hyperlink>
    </w:p>
    <w:p>
      <w:pPr>
        <w:ind w:left="283"/>
      </w:pPr>
      <w:hyperlink w:anchor="_Toc_sec_14">
        <w:r>
          <w:rPr>
            <w:rFonts w:hint="eastAsia"/>
            <w:color w:val="000000"/>
            <w:u w:val="none"/>
          </w:rPr>
          <w:t xml:space="preserve">（三）运行环境</w:t>
        </w:r>
      </w:hyperlink>
    </w:p>
    <w:p>
      <w:pPr>
        <w:ind w:left="283"/>
      </w:pPr>
      <w:hyperlink w:anchor="_Toc_sec_15">
        <w:r>
          <w:rPr>
            <w:rFonts w:hint="eastAsia"/>
            <w:color w:val="000000"/>
            <w:u w:val="none"/>
          </w:rPr>
          <w:t xml:space="preserve">（四）约束与假设</w:t>
        </w:r>
      </w:hyperlink>
    </w:p>
    <w:p>
      <w:pPr>
        <w:ind w:left="283"/>
      </w:pPr>
      <w:hyperlink w:anchor="_Toc_sec_16">
        <w:r>
          <w:rPr>
            <w:rFonts w:hint="eastAsia"/>
            <w:color w:val="000000"/>
            <w:u w:val="none"/>
          </w:rPr>
          <w:t xml:space="preserve">（五）业务流程总览</w:t>
        </w:r>
      </w:hyperlink>
    </w:p>
    <w:p>
      <w:hyperlink w:anchor="_Toc_sec_17">
        <w:r>
          <w:rPr>
            <w:rFonts w:hint="eastAsia"/>
            <w:color w:val="000000"/>
            <w:u w:val="none"/>
          </w:rPr>
          <w:t xml:space="preserve">三、功能需求</w:t>
        </w:r>
      </w:hyperlink>
    </w:p>
    <w:p>
      <w:pPr>
        <w:ind w:left="283"/>
      </w:pPr>
      <w:hyperlink w:anchor="_Toc_sec_18">
        <w:r>
          <w:rPr>
            <w:rFonts w:hint="eastAsia"/>
            <w:color w:val="000000"/>
            <w:u w:val="none"/>
          </w:rPr>
          <w:t xml:space="preserve">（一）车位模块</w:t>
        </w:r>
      </w:hyperlink>
    </w:p>
    <w:p>
      <w:pPr>
        <w:ind w:left="283"/>
      </w:pPr>
      <w:hyperlink w:anchor="_Toc_sec_19">
        <w:r>
          <w:rPr>
            <w:rFonts w:hint="eastAsia"/>
            <w:color w:val="000000"/>
            <w:u w:val="none"/>
          </w:rPr>
          <w:t xml:space="preserve">（二）入场模块</w:t>
        </w:r>
      </w:hyperlink>
    </w:p>
    <w:p>
      <w:pPr>
        <w:ind w:left="283"/>
      </w:pPr>
      <w:hyperlink w:anchor="_Toc_sec_20">
        <w:r>
          <w:rPr>
            <w:rFonts w:hint="eastAsia"/>
            <w:color w:val="000000"/>
            <w:u w:val="none"/>
          </w:rPr>
          <w:t xml:space="preserve">（三）出场与计费模块</w:t>
        </w:r>
      </w:hyperlink>
    </w:p>
    <w:p>
      <w:pPr>
        <w:ind w:left="283"/>
      </w:pPr>
      <w:hyperlink w:anchor="_Toc_sec_21">
        <w:r>
          <w:rPr>
            <w:rFonts w:hint="eastAsia"/>
            <w:color w:val="000000"/>
            <w:u w:val="none"/>
          </w:rPr>
          <w:t xml:space="preserve">（四）月卡模块</w:t>
        </w:r>
      </w:hyperlink>
    </w:p>
    <w:p>
      <w:pPr>
        <w:ind w:left="283"/>
      </w:pPr>
      <w:hyperlink w:anchor="_Toc_sec_22">
        <w:r>
          <w:rPr>
            <w:rFonts w:hint="eastAsia"/>
            <w:color w:val="000000"/>
            <w:u w:val="none"/>
          </w:rPr>
          <w:t xml:space="preserve">（五）数据一致性需求</w:t>
        </w:r>
      </w:hyperlink>
    </w:p>
    <w:p>
      <w:pPr>
        <w:ind w:left="283"/>
      </w:pPr>
      <w:hyperlink w:anchor="_Toc_sec_23">
        <w:r>
          <w:rPr>
            <w:rFonts w:hint="eastAsia"/>
            <w:color w:val="000000"/>
            <w:u w:val="none"/>
          </w:rPr>
          <w:t xml:space="preserve">（六）功能需求汇总</w:t>
        </w:r>
      </w:hyperlink>
    </w:p>
    <w:p>
      <w:hyperlink w:anchor="_Toc_sec_24">
        <w:r>
          <w:rPr>
            <w:rFonts w:hint="eastAsia"/>
            <w:color w:val="000000"/>
            <w:u w:val="none"/>
          </w:rPr>
          <w:t xml:space="preserve">四、非功能需求</w:t>
        </w:r>
      </w:hyperlink>
    </w:p>
    <w:p>
      <w:hyperlink w:anchor="_Toc_sec_25">
        <w:r>
          <w:rPr>
            <w:rFonts w:hint="eastAsia"/>
            <w:color w:val="000000"/>
            <w:u w:val="none"/>
          </w:rPr>
          <w:t xml:space="preserve">五、数据需求</w:t>
        </w:r>
      </w:hyperlink>
    </w:p>
    <w:p>
      <w:pPr>
        <w:ind w:left="283"/>
      </w:pPr>
      <w:hyperlink w:anchor="_Toc_sec_26">
        <w:r>
          <w:rPr>
            <w:rFonts w:hint="eastAsia"/>
            <w:color w:val="000000"/>
            <w:u w:val="none"/>
          </w:rPr>
          <w:t xml:space="preserve">（一）spots 车位表</w:t>
        </w:r>
      </w:hyperlink>
    </w:p>
    <w:p>
      <w:pPr>
        <w:ind w:left="283"/>
      </w:pPr>
      <w:hyperlink w:anchor="_Toc_sec_27">
        <w:r>
          <w:rPr>
            <w:rFonts w:hint="eastAsia"/>
            <w:color w:val="000000"/>
            <w:u w:val="none"/>
          </w:rPr>
          <w:t xml:space="preserve">（二）tickets 停车记录表</w:t>
        </w:r>
      </w:hyperlink>
    </w:p>
    <w:p>
      <w:pPr>
        <w:ind w:left="283"/>
      </w:pPr>
      <w:hyperlink w:anchor="_Toc_sec_28">
        <w:r>
          <w:rPr>
            <w:rFonts w:hint="eastAsia"/>
            <w:color w:val="000000"/>
            <w:u w:val="none"/>
          </w:rPr>
          <w:t xml:space="preserve">（三）month_cards 月卡表</w:t>
        </w:r>
      </w:hyperlink>
    </w:p>
    <w:p>
      <w:pPr>
        <w:ind w:left="283"/>
      </w:pPr>
      <w:hyperlink w:anchor="_Toc_sec_29">
        <w:r>
          <w:rPr>
            <w:rFonts w:hint="eastAsia"/>
            <w:color w:val="000000"/>
            <w:u w:val="none"/>
          </w:rPr>
          <w:t xml:space="preserve">（四）spot_logs 车位流水表</w:t>
        </w:r>
      </w:hyperlink>
    </w:p>
    <w:p>
      <w:hyperlink w:anchor="_Toc_sec_30">
        <w:r>
          <w:rPr>
            <w:rFonts w:hint="eastAsia"/>
            <w:color w:val="000000"/>
            <w:u w:val="none"/>
          </w:rPr>
          <w:t xml:space="preserve">六、状态机与业务规则</w:t>
        </w:r>
      </w:hyperlink>
    </w:p>
    <w:p>
      <w:pPr>
        <w:ind w:left="283"/>
      </w:pPr>
      <w:hyperlink w:anchor="_Toc_sec_31">
        <w:r>
          <w:rPr>
            <w:rFonts w:hint="eastAsia"/>
            <w:color w:val="000000"/>
            <w:u w:val="none"/>
          </w:rPr>
          <w:t xml:space="preserve">（一）停车记录状态机</w:t>
        </w:r>
      </w:hyperlink>
    </w:p>
    <w:p>
      <w:pPr>
        <w:ind w:left="283"/>
      </w:pPr>
      <w:hyperlink w:anchor="_Toc_sec_32">
        <w:r>
          <w:rPr>
            <w:rFonts w:hint="eastAsia"/>
            <w:color w:val="000000"/>
            <w:u w:val="none"/>
          </w:rPr>
          <w:t xml:space="preserve">（二）车位状态机</w:t>
        </w:r>
      </w:hyperlink>
    </w:p>
    <w:p>
      <w:pPr>
        <w:ind w:left="283"/>
      </w:pPr>
      <w:hyperlink w:anchor="_Toc_sec_33">
        <w:r>
          <w:rPr>
            <w:rFonts w:hint="eastAsia"/>
            <w:color w:val="000000"/>
            <w:u w:val="none"/>
          </w:rPr>
          <w:t xml:space="preserve">（三）关键业务规则清单</w:t>
        </w:r>
      </w:hyperlink>
    </w:p>
    <w:p>
      <w:hyperlink w:anchor="_Toc_sec_34">
        <w:r>
          <w:rPr>
            <w:rFonts w:hint="eastAsia"/>
            <w:color w:val="000000"/>
            <w:u w:val="none"/>
          </w:rPr>
          <w:t xml:space="preserve">七、接口需求</w:t>
        </w:r>
      </w:hyperlink>
    </w:p>
    <w:p>
      <w:hyperlink w:anchor="_Toc_sec_35">
        <w:r>
          <w:rPr>
            <w:rFonts w:hint="eastAsia"/>
            <w:color w:val="000000"/>
            <w:u w:val="none"/>
          </w:rPr>
          <w:t xml:space="preserve">八、关键需求验收标准</w:t>
        </w:r>
      </w:hyperlink>
    </w:p>
    <w:p>
      <w:hyperlink w:anchor="_Toc_sec_36">
        <w:r>
          <w:rPr>
            <w:rFonts w:hint="eastAsia"/>
            <w:color w:val="000000"/>
            <w:u w:val="none"/>
          </w:rPr>
          <w:t xml:space="preserve">附录A 需求追踪矩阵</w:t>
        </w:r>
      </w:hyperlink>
    </w:p>
    <w:p>
      <w:hyperlink w:anchor="_Toc_sec_37">
        <w:r>
          <w:rPr>
            <w:rFonts w:hint="eastAsia"/>
            <w:color w:val="000000"/>
            <w:u w:val="none"/>
          </w:rPr>
          <w:t xml:space="preserve">附录B 文档说明</w:t>
        </w:r>
      </w:hyperlink>
    </w:p>
    <w:p>
      <w:bookmarkStart w:id="41" w:name="_Toc_sec_05"/>
      <w:bookmarkStart w:id="4" w:name="sec-05"/>
      <w:pPr>
        <w:pStyle w:val="Heading2"/>
      </w:pPr>
      <w:bookmarkEnd w:id="4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一、引言</w:t>
      </w:r>
      <w:bookmarkEnd w:id="41"/>
    </w:p>
    <w:p>
      <w:bookmarkStart w:id="42" w:name="_Toc_sec_06"/>
      <w:bookmarkStart w:id="5" w:name="sec-06"/>
      <w:pPr>
        <w:pStyle w:val="Heading3"/>
      </w:pPr>
      <w:bookmarkEnd w:id="5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（一）编写目的</w:t>
      </w:r>
      <w:bookmarkEnd w:id="42"/>
    </w:p>
    <w:p>
      <w:pPr/>
      <w:r>
        <w:rPr>
          <w:rFonts w:ascii="微软雅黑" w:eastAsia="微软雅黑" w:hAnsi="微软雅黑" w:cs="微软雅黑" w:hint="eastAsia"/>
          <w:lang w:eastAsia="zh-CN"/>
        </w:rPr>
        <w:t>本文档定义「智泊云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智能停车场管理系统（</w:t>
      </w:r>
      <w:r>
        <w:t>SmartPark Cloud</w:t>
      </w:r>
      <w:r>
        <w:rPr>
          <w:rFonts w:ascii="微软雅黑" w:eastAsia="微软雅黑" w:hAnsi="微软雅黑" w:cs="微软雅黑" w:hint="eastAsia"/>
          <w:lang w:eastAsia="zh-CN"/>
        </w:rPr>
        <w:t>）」</w:t>
      </w:r>
      <w:r>
        <w:t xml:space="preserve">V1.0 </w:t>
      </w:r>
      <w:r>
        <w:rPr>
          <w:rFonts w:ascii="微软雅黑" w:eastAsia="微软雅黑" w:hAnsi="微软雅黑" w:cs="微软雅黑" w:hint="eastAsia"/>
          <w:lang w:eastAsia="zh-CN"/>
        </w:rPr>
        <w:t>的软件需求，作为产品、研发与质量三方共同认可的需求基线。预期读者包括产品经理、研发工程师、测试工程师与项目实施人员。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本文档的用途有三：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明确车场「入场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停车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出场计费」主链路的功能边界与计费口径；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作为测试用例设计的输入，用例须与本文档需求编号建立追踪关系；</w:t>
      </w:r>
    </w:p>
    <w:p>
      <w:pPr>
        <w:pStyle w:val="ListNumber"/>
        <w:numPr>
          <w:ilvl w:val="0"/>
          <w:numId w:val="10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作为现场实施与验收的比对基准，保证不同车场部署版本行为一致。</w:t>
      </w:r>
    </w:p>
    <w:p>
      <w:bookmarkStart w:id="43" w:name="_Toc_sec_07"/>
      <w:bookmarkStart w:id="6" w:name="sec-07"/>
      <w:pPr>
        <w:pStyle w:val="Heading3"/>
      </w:pPr>
      <w:bookmarkEnd w:id="6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（二）项目背景</w:t>
      </w:r>
      <w:bookmarkEnd w:id="43"/>
    </w:p>
    <w:p>
      <w:pPr/>
      <w:r>
        <w:rPr>
          <w:rFonts w:ascii="微软雅黑" w:eastAsia="微软雅黑" w:hAnsi="微软雅黑" w:cs="微软雅黑" w:hint="eastAsia"/>
          <w:lang w:eastAsia="zh-CN"/>
        </w:rPr>
        <w:t>智泊云面向单点停车场提供轻量化的车位管理与计费能力，覆盖车辆入场自动分配车位、停车计时、出场结算、车位释放与月卡管理。系统以「车位」为核心资源，要求任何时刻一个车位只能被一辆车占用，且车位占用状态、停车记录与车位流水三者必须始终互相印证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平台建设目标如下：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打通车辆进出场主流程，支持普通、无障碍、充电三类车位的差异化分配；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提供按停放时长计费的自动结算能力，支持日间短时免费与单次封顶；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提供月卡办理与有效性校验，实现持卡车辆出场免费；</w:t>
      </w:r>
    </w:p>
    <w:p>
      <w:pPr>
        <w:pStyle w:val="ListNumber"/>
        <w:numPr>
          <w:ilvl w:val="0"/>
          <w:numId w:val="11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提供数据一致性自检能力，支撑并发场景下的车位超卖问题排查。</w:t>
      </w:r>
    </w:p>
    <w:p>
      <w:bookmarkStart w:id="44" w:name="_Toc_sec_08"/>
      <w:bookmarkStart w:id="7" w:name="sec-08"/>
      <w:pPr>
        <w:pStyle w:val="Heading3"/>
      </w:pPr>
      <w:bookmarkEnd w:id="7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（三）适用范围</w:t>
      </w:r>
      <w:bookmarkEnd w:id="44"/>
    </w:p>
    <w:p>
      <w:pPr/>
      <w:r>
        <w:rPr>
          <w:rFonts w:ascii="微软雅黑" w:eastAsia="微软雅黑" w:hAnsi="微软雅黑" w:cs="微软雅黑" w:hint="eastAsia"/>
          <w:lang w:eastAsia="zh-CN"/>
        </w:rPr>
        <w:t>本文档适用于智泊云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的服务端业务功能与配套管理页面。不在本期范围内：多车场与集团化运营、车牌识别硬件对接、微信公众号与小程序缴费、发票与对账、道闸硬件联动。</w:t>
      </w:r>
    </w:p>
    <w:p>
      <w:bookmarkStart w:id="45" w:name="_Toc_sec_09"/>
      <w:bookmarkStart w:id="8" w:name="sec-09"/>
      <w:pPr>
        <w:pStyle w:val="Heading3"/>
      </w:pPr>
      <w:bookmarkEnd w:id="8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（四）术语与缩略语</w:t>
      </w:r>
      <w:bookmarkEnd w:id="4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术语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缩略语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SRS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Software Requirements Specification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，软件需求规格说明书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车场内可供一辆车停放的独立资源单位，具有唯一编号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车位类型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NORMAL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ACCESSIBLE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无障碍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CHARGING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充电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停车记录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一次「入场到出场」的完整记录，含入场时间、出场时间、时长与费用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在途车辆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已入场但尚未出场的车辆，停车记录状态为在场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车位流水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记录车位占用与释放动作的流水账，动作取值为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ENTRY / EXIT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按月办理的停车权益凭证，有效期内出场免费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封顶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单次停车费用的上限金额，超出部分不再计收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幂等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同一请求重复执行，对系统状态的影响与执行一次相同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一致性自检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对车位、停车记录、车位流水三者关系进行自动校验的能力</w:t>
            </w:r>
          </w:p>
        </w:tc>
      </w:tr>
    </w:tbl>
    <w:p>
      <w:bookmarkStart w:id="46" w:name="_Toc_sec_10"/>
      <w:bookmarkStart w:id="9" w:name="sec-10"/>
      <w:pPr>
        <w:pStyle w:val="Heading3"/>
      </w:pPr>
      <w:bookmarkEnd w:id="9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（五）参考资料</w:t>
      </w:r>
      <w:bookmarkEnd w:id="4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名称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REF-01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GB/T 8567-2006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计算机软件文档编制规范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REF-02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智泊云 数据库设计说明书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REF-03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智泊云 接口文档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REF-04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停车场收费标准管理办法（运营部）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V1.0</w:t>
            </w:r>
          </w:p>
        </w:tc>
      </w:tr>
    </w:tbl>
    <w:p>
      <w:bookmarkStart w:id="47" w:name="_Toc_sec_11"/>
      <w:bookmarkStart w:id="10" w:name="sec-11"/>
      <w:pPr>
        <w:pStyle w:val="Heading2"/>
      </w:pPr>
      <w:bookmarkEnd w:id="10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二、总体描述</w:t>
      </w:r>
      <w:bookmarkEnd w:id="47"/>
    </w:p>
    <w:p>
      <w:bookmarkStart w:id="48" w:name="_Toc_sec_12"/>
      <w:bookmarkStart w:id="11" w:name="sec-12"/>
      <w:pPr>
        <w:pStyle w:val="Heading3"/>
      </w:pPr>
      <w:bookmarkEnd w:id="11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（一）产品定位与目标</w:t>
      </w:r>
      <w:bookmarkEnd w:id="48"/>
    </w:p>
    <w:p>
      <w:pPr/>
      <w:r>
        <w:rPr>
          <w:rFonts w:ascii="微软雅黑" w:eastAsia="微软雅黑" w:hAnsi="微软雅黑" w:cs="微软雅黑" w:hint="eastAsia"/>
          <w:lang w:eastAsia="zh-CN"/>
        </w:rPr>
        <w:t>智泊云定位为轻量级单点停车场管理系统，服务于社区、写字楼与商业综合体的小型停车场。产品目标是：车位数与占用状态实时准确、计费规则可解释可复核、任何异常操作不破坏数据一致性。</w:t>
      </w:r>
    </w:p>
    <w:p>
      <w:bookmarkStart w:id="49" w:name="_Toc_sec_13"/>
      <w:bookmarkStart w:id="12" w:name="sec-13"/>
      <w:pPr>
        <w:pStyle w:val="Heading3"/>
      </w:pPr>
      <w:bookmarkEnd w:id="12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（二）用户角色与权限</w:t>
      </w:r>
      <w:bookmarkEnd w:id="4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角色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权限范围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车主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驾车进出车场的自然人或月卡用户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入场、出场；不直接访问管理页面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车场管理员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车场日常运营人员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查看车位总览与车位列表、查询停车记录、办理与查询月卡、查看数据一致性自检结果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分配与释放车位、计时计费、写车位流水、月卡有效性校验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本期不实现登录与权限体系，管理页面与接口默认面向车场管理员开放。</w:t>
      </w:r>
    </w:p>
    <w:p>
      <w:bookmarkStart w:id="50" w:name="_Toc_sec_14"/>
      <w:bookmarkStart w:id="13" w:name="sec-14"/>
      <w:pPr>
        <w:pStyle w:val="Heading3"/>
      </w:pPr>
      <w:bookmarkEnd w:id="13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（三）运行环境</w:t>
      </w:r>
      <w:bookmarkEnd w:id="5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服务端运行环境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Python 3.10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及以上，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Flask Web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框架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MySQL 8.0 / MariaDB 10.4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及以上，字符集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utf8mb4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，存储引擎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InnoDB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客户端浏览器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Chrome / Edge / Firefox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网络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HTTP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，默认服务端口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5002</w:t>
            </w:r>
          </w:p>
        </w:tc>
      </w:tr>
    </w:tbl>
    <w:p>
      <w:bookmarkStart w:id="51" w:name="_Toc_sec_15"/>
      <w:bookmarkStart w:id="14" w:name="sec-15"/>
      <w:pPr>
        <w:pStyle w:val="Heading3"/>
      </w:pPr>
      <w:bookmarkEnd w:id="14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（四）约束与假设</w:t>
      </w:r>
      <w:bookmarkEnd w:id="51"/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本期不接入道闸与车牌识别硬件，车辆进出场由管理员在页面或接口触发；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车位数量与类型由初始化数据配置，本期基线为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个车位（普通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个、无障碍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个、充电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个），生产部署时按现场实际调整；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计费以「分钟」为最小统计单位，金额精确到分；</w:t>
      </w:r>
    </w:p>
    <w:p>
      <w:pPr>
        <w:pStyle w:val="ListNumber"/>
        <w:numPr>
          <w:ilvl w:val="0"/>
          <w:numId w:val="12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假设同一时刻的进出场并发请求不超过</w:t>
      </w:r>
      <w:r>
        <w:t xml:space="preserve"> 20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52" w:name="_Toc_sec_16"/>
      <w:bookmarkStart w:id="15" w:name="sec-16"/>
      <w:pPr>
        <w:pStyle w:val="Heading3"/>
      </w:pPr>
      <w:bookmarkEnd w:id="15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（五）业务流程总览</w:t>
      </w:r>
      <w:bookmarkEnd w:id="52"/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车辆抵达入口，管理员录入车牌并提交入场，系统校验车牌格式与在途状态后分配车位；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分配成功后该车位状态转为占用并记录车牌，同时生成一条在场停车记录并写入一条车位流水；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车辆离场时提交出场，系统计算停放时长与费用，更新停车记录为已出场，释放车位并写入出场流水；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若出场车牌持有有效期内的月卡，本次出场费用减免为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管理员可办理月卡、查询停车记录与车位总览，并可随时执行数据一致性自检。</w:t>
      </w:r>
    </w:p>
    <w:p>
      <w:bookmarkStart w:id="53" w:name="_Toc_sec_17"/>
      <w:bookmarkStart w:id="16" w:name="sec-17"/>
      <w:pPr>
        <w:pStyle w:val="Heading2"/>
      </w:pPr>
      <w:bookmarkEnd w:id="16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三、功能需求</w:t>
      </w:r>
      <w:bookmarkEnd w:id="53"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需求编号规则为 </w:t>
      </w:r>
      <w:r>
        <w:rPr>
          <w:rFonts w:ascii="微软雅黑" w:hAnsi="微软雅黑" w:eastAsia="微软雅黑" w:cs="微软雅黑" w:hint="eastAsia"/>
          <w:color w:val="37474F"/>
          <w:sz w:val="18"/>
          <w:lang w:eastAsia="zh-CN"/>
        </w:rPr>
        <w:t>REQ-模块-序号</w:t>
      </w:r>
      <w:r>
        <w:rPr>
          <w:rFonts w:ascii="微软雅黑" w:eastAsia="微软雅黑" w:hAnsi="微软雅黑" w:cs="微软雅黑" w:hint="eastAsia"/>
          <w:lang w:eastAsia="zh-CN"/>
        </w:rPr>
        <w:t>，模块代号取值</w:t>
      </w:r>
      <w:r>
        <w:t xml:space="preserve"> SPOT / ENTRY / EXIT / CARD / DATA</w:t>
      </w:r>
      <w:r>
        <w:rPr>
          <w:rFonts w:ascii="微软雅黑" w:eastAsia="微软雅黑" w:hAnsi="微软雅黑" w:cs="微软雅黑" w:hint="eastAsia"/>
          <w:lang w:eastAsia="zh-CN"/>
        </w:rPr>
        <w:t>。优先级取值为高、中、低三档。</w:t>
      </w:r>
    </w:p>
    <w:p>
      <w:bookmarkStart w:id="54" w:name="_Toc_sec_18"/>
      <w:bookmarkStart w:id="17" w:name="sec-18"/>
      <w:pPr>
        <w:pStyle w:val="Heading3"/>
      </w:pPr>
      <w:bookmarkEnd w:id="17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（一）车位模块</w:t>
      </w:r>
      <w:bookmarkEnd w:id="5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车位基础数据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车场车位数量与类型由初始化数据配置，本期基线为普通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个、无障碍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个、充电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车场总览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可查看车场总览，包含车位总数、空闲数、占用数与占用率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分类统计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总览须按车位类型给出明细统计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车位列表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可查询车位列表，支持按状态与车位类型筛选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车位信息项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车位须展示编号、类型、状态与当前占用车牌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REQ-SPOT-006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占用与释放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车位被占用时记录车牌，车辆出场释放后车牌清空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车位模块业务规则</w:t>
      </w:r>
      <w:r>
        <w:rPr>
          <w:rFonts w:ascii="微软雅黑" w:eastAsia="微软雅黑" w:hAnsi="微软雅黑" w:cs="微软雅黑" w:hint="eastAsia"/>
          <w:lang w:eastAsia="zh-CN"/>
        </w:rPr>
        <w:t>：车位状态取值为</w:t>
      </w:r>
      <w:r>
        <w:t xml:space="preserve"> FREE</w:t>
      </w:r>
      <w:r>
        <w:rPr>
          <w:rFonts w:ascii="微软雅黑" w:eastAsia="微软雅黑" w:hAnsi="微软雅黑" w:cs="微软雅黑" w:hint="eastAsia"/>
          <w:lang w:eastAsia="zh-CN"/>
        </w:rPr>
        <w:t>（空闲）与</w:t>
      </w:r>
      <w:r>
        <w:t xml:space="preserve"> OCCUPIED</w:t>
      </w:r>
      <w:r>
        <w:rPr>
          <w:rFonts w:ascii="微软雅黑" w:eastAsia="微软雅黑" w:hAnsi="微软雅黑" w:cs="微软雅黑" w:hint="eastAsia"/>
          <w:lang w:eastAsia="zh-CN"/>
        </w:rPr>
        <w:t>（占用）；同一车位在同一时刻只能被一辆车占用；车牌仅在该车位处于占用状态时有值。</w:t>
      </w:r>
    </w:p>
    <w:p>
      <w:bookmarkStart w:id="55" w:name="_Toc_sec_19"/>
      <w:bookmarkStart w:id="18" w:name="sec-19"/>
      <w:pPr>
        <w:pStyle w:val="Heading3"/>
      </w:pPr>
      <w:bookmarkEnd w:id="18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（二）入场模块</w:t>
      </w:r>
      <w:bookmarkEnd w:id="5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自动分配车位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输入车牌后，系统自动分配第一个符合条件的空闲车位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指定类型入场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可指定车位类型入场，取值为普通、无障碍、充电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车牌格式校验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车牌须满足「省份简称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位字母数字」格式，不合规应返回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重复入场拦截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同一车牌处于在途状态时不可重复入场，应返回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无空位拦截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车场无可用车位时拒绝入场，应返回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指定类型无空位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指定类型无空位时，即使其他类型有空位也应拒绝入场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生成停车记录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入场成功须生成一条停车记录，状态为在场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写入车位流水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入场成功须写入一条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ENTRY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车位流水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并发车位分配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同一车位在同一时刻只能分配给一辆车，并发入场不得超卖车位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入场模块业务规则</w:t>
      </w:r>
      <w:r>
        <w:rPr>
          <w:rFonts w:ascii="微软雅黑" w:eastAsia="微软雅黑" w:hAnsi="微软雅黑" w:cs="微软雅黑" w:hint="eastAsia"/>
          <w:lang w:eastAsia="zh-CN"/>
        </w:rPr>
        <w:t>：车场一次只允许分配一个车位；车牌统一去掉首尾空格后按大写参与比对；指定类型入场时只在该类型内寻找空闲车位。</w:t>
      </w:r>
    </w:p>
    <w:p>
      <w:bookmarkStart w:id="56" w:name="_Toc_sec_20"/>
      <w:bookmarkStart w:id="19" w:name="sec-20"/>
      <w:pPr>
        <w:pStyle w:val="Heading3"/>
      </w:pPr>
      <w:bookmarkEnd w:id="19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（三）出场与计费模块</w:t>
      </w:r>
      <w:bookmarkEnd w:id="5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出场结算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车辆出场时结算费用并释放车位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免费时长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停放时长不超过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分钟的，免收停车费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首小时计费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分钟后，首小时收费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元，不足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后续计费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首小时之后每满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小时加收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元，不足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单次封顶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单次停车费用封顶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记录出场信息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出场后停车记录状态变为已出场，并记录出场时间与停放时长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释放车位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出场后车位恢复空闲，并可被其他车辆使用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REQ-EXIT-008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写入车位流水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出场须写入一条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EXIT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车位流水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无记录处理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对没有在途记录的车牌执行出场，应返回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出场幂等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出场必须幂等，同一停车记录重复出场应被拒绝，不得重复释放车位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释放不影响他人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释放车位时不得影响此刻停在该车位上的其他车辆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出场与计费模块业务规则</w:t>
      </w:r>
      <w:r>
        <w:rPr>
          <w:rFonts w:ascii="微软雅黑" w:eastAsia="微软雅黑" w:hAnsi="微软雅黑" w:cs="微软雅黑" w:hint="eastAsia"/>
          <w:lang w:eastAsia="zh-CN"/>
        </w:rPr>
        <w:t>：计费时长按「向上取整」到整小时，即不足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小时的部分按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小时计；计费公式为「首小时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超出小时数</w:t>
      </w:r>
      <w:r>
        <w:t xml:space="preserve"> × 3 </w:t>
      </w:r>
      <w:r>
        <w:rPr>
          <w:rFonts w:ascii="微软雅黑" w:eastAsia="微软雅黑" w:hAnsi="微软雅黑" w:cs="微软雅黑" w:hint="eastAsia"/>
          <w:lang w:eastAsia="zh-CN"/>
        </w:rPr>
        <w:t>元」，结果与封顶金额取较小值；</w:t>
      </w:r>
      <w:r>
        <w:t xml:space="preserve">15 </w:t>
      </w:r>
      <w:r>
        <w:rPr>
          <w:rFonts w:ascii="微软雅黑" w:eastAsia="微软雅黑" w:hAnsi="微软雅黑" w:cs="微软雅黑" w:hint="eastAsia"/>
          <w:lang w:eastAsia="zh-CN"/>
        </w:rPr>
        <w:t>分钟免费规则优先于一切计费规则。</w:t>
      </w:r>
    </w:p>
    <w:p>
      <w:bookmarkStart w:id="57" w:name="_Toc_sec_21"/>
      <w:bookmarkStart w:id="20" w:name="sec-21"/>
      <w:pPr>
        <w:pStyle w:val="Heading3"/>
      </w:pPr>
      <w:bookmarkEnd w:id="20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（四）月卡模块</w:t>
      </w:r>
      <w:bookmarkEnd w:id="5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办理月卡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可为指定车牌办理月卡，并指定有效期至日期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重复办理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同一车牌重复办理时应更新原月卡，不新增记录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查询月卡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可查询单车牌的月卡信息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过期标识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月卡信息应标识该卡是否已过期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REQ-CARD-005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有效期内免费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持有有效期覆盖出场时刻的月卡车辆，出场费用减免为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过期卡不免费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已过期的月卡不再享受免费，应按普通车辆计费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REQ-CARD-007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有效期格式校验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有效期格式非法时应返回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月卡模块业务规则</w:t>
      </w:r>
      <w:r>
        <w:rPr>
          <w:rFonts w:ascii="微软雅黑" w:eastAsia="微软雅黑" w:hAnsi="微软雅黑" w:cs="微软雅黑" w:hint="eastAsia"/>
          <w:lang w:eastAsia="zh-CN"/>
        </w:rPr>
        <w:t>：月卡以车牌为主键，一个车牌最多持有一张月卡；有效期按自然日判定，出场时刻不晚于有效期至日期的当日</w:t>
      </w:r>
      <w:r>
        <w:t xml:space="preserve"> 23:59:59 </w:t>
      </w:r>
      <w:r>
        <w:rPr>
          <w:rFonts w:ascii="微软雅黑" w:eastAsia="微软雅黑" w:hAnsi="微软雅黑" w:cs="微软雅黑" w:hint="eastAsia"/>
          <w:lang w:eastAsia="zh-CN"/>
        </w:rPr>
        <w:t>视为有效。</w:t>
      </w:r>
    </w:p>
    <w:p>
      <w:bookmarkStart w:id="58" w:name="_Toc_sec_22"/>
      <w:bookmarkStart w:id="21" w:name="sec-22"/>
      <w:pPr>
        <w:pStyle w:val="Heading3"/>
      </w:pPr>
      <w:bookmarkEnd w:id="21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（五）数据一致性需求</w:t>
      </w:r>
      <w:bookmarkEnd w:id="5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占用数一致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占用车位数量必须等于状态为在途的停车记录数量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REQ-DATA-002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占用车对应记录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每个占用车位必须对应一条在途记录，且两者车牌一致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流水收支平衡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对每个车位，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流水数减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EXIT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流水数应等于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（占用）或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（空闲）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自检能力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系统应提供数据一致性自检能力，可一键校验上述三项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</w:tbl>
    <w:p>
      <w:bookmarkStart w:id="59" w:name="_Toc_sec_23"/>
      <w:bookmarkStart w:id="22" w:name="sec-23"/>
      <w:pPr>
        <w:pStyle w:val="Heading3"/>
      </w:pPr>
      <w:bookmarkEnd w:id="22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（六）功能需求汇总</w:t>
      </w:r>
      <w:bookmarkEnd w:id="5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模块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需求条数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高优先级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中优先级</w:t>
            </w:r>
          </w:p>
        </w:tc>
        <w:tc>
          <w:tcPr>
            <w:tcW w:type="dxa" w:w="1728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低优先级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出场与计费模块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数据一致性模块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37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</w:tr>
    </w:tbl>
    <w:p>
      <w:bookmarkStart w:id="60" w:name="_Toc_sec_24"/>
      <w:bookmarkStart w:id="23" w:name="sec-24"/>
      <w:pPr>
        <w:pStyle w:val="Heading2"/>
      </w:pPr>
      <w:bookmarkEnd w:id="23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四、非功能需求</w:t>
      </w:r>
      <w:bookmarkEnd w:id="6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类别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NFR-001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性能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单接口响应时间在本地环境应低于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毫秒，并发场景下的可控延迟不计入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NFR-002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系统应支持不少于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个并发入场请求而不产生车位超卖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NFR-003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兼容性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前端页面应兼容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Chrome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Edge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Firefox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最新版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NFR-004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数据库连接信息须集中配置，并支持通过环境变量覆盖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NFR-005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可测试性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系统应支持在不修改操作系统时间的前提下模拟「车辆已停放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NFR-006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可观测性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应提供数据一致性自检接口，便于定位并发与状态机类问题</w:t>
            </w:r>
          </w:p>
        </w:tc>
      </w:tr>
    </w:tbl>
    <w:p>
      <w:bookmarkStart w:id="61" w:name="_Toc_sec_25"/>
      <w:bookmarkStart w:id="24" w:name="sec-25"/>
      <w:pPr>
        <w:pStyle w:val="Heading2"/>
      </w:pPr>
      <w:bookmarkEnd w:id="24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五、数据需求</w:t>
      </w:r>
      <w:bookmarkEnd w:id="61"/>
    </w:p>
    <w:p>
      <w:pPr/>
      <w:r>
        <w:rPr>
          <w:rFonts w:ascii="微软雅黑" w:eastAsia="微软雅黑" w:hAnsi="微软雅黑" w:cs="微软雅黑" w:hint="eastAsia"/>
          <w:lang w:eastAsia="zh-CN"/>
        </w:rPr>
        <w:t>数据库名</w:t>
      </w:r>
      <w:r>
        <w:t xml:space="preserve"> smart_parking</w:t>
      </w:r>
      <w:r>
        <w:rPr>
          <w:rFonts w:ascii="微软雅黑" w:eastAsia="微软雅黑" w:hAnsi="微软雅黑" w:cs="微软雅黑" w:hint="eastAsia"/>
          <w:lang w:eastAsia="zh-CN"/>
        </w:rPr>
        <w:t>，字符集</w:t>
      </w:r>
      <w:r>
        <w:t xml:space="preserve"> utf8mb4</w:t>
      </w:r>
      <w:r>
        <w:rPr>
          <w:rFonts w:ascii="微软雅黑" w:eastAsia="微软雅黑" w:hAnsi="微软雅黑" w:cs="微软雅黑" w:hint="eastAsia"/>
          <w:lang w:eastAsia="zh-CN"/>
        </w:rPr>
        <w:t>，存储引擎</w:t>
      </w:r>
      <w:r>
        <w:t xml:space="preserve"> InnoDB</w:t>
      </w:r>
      <w:r>
        <w:rPr>
          <w:rFonts w:ascii="微软雅黑" w:eastAsia="微软雅黑" w:hAnsi="微软雅黑" w:cs="微软雅黑" w:hint="eastAsia"/>
          <w:lang w:eastAsia="zh-CN"/>
        </w:rPr>
        <w:t>。本期共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张业务表。</w:t>
      </w:r>
    </w:p>
    <w:p>
      <w:bookmarkStart w:id="62" w:name="_Toc_sec_26"/>
      <w:bookmarkStart w:id="25" w:name="sec-26"/>
      <w:pPr>
        <w:pStyle w:val="Heading3"/>
      </w:pPr>
      <w:bookmarkEnd w:id="25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（一）spots 车位表</w:t>
      </w:r>
      <w:bookmarkEnd w:id="6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code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VARCHAR(16)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唯一，非空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车位编号，如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A-001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type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类型：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NORMAL / ACCESSIBLE / CHARGING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FREE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FREE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空闲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OCCUPIED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占用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plate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当前占用车牌，空闲时为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NULL</w:t>
            </w:r>
          </w:p>
        </w:tc>
      </w:tr>
    </w:tbl>
    <w:p>
      <w:bookmarkStart w:id="63" w:name="_Toc_sec_27"/>
      <w:bookmarkStart w:id="26" w:name="sec-27"/>
      <w:pPr>
        <w:pStyle w:val="Heading3"/>
      </w:pPr>
      <w:bookmarkEnd w:id="26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（二）tickets 停车记录表</w:t>
      </w:r>
      <w:bookmarkEnd w:id="6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停车记录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plate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非空，索引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spot_id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spots.id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分配的车位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entered_at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exited_at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duration_minutes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停放时长，单位分钟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fee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本次停车费用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非空，默认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PARKING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PARKING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CLOSED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已出场</w:t>
            </w:r>
          </w:p>
        </w:tc>
      </w:tr>
    </w:tbl>
    <w:p>
      <w:bookmarkStart w:id="64" w:name="_Toc_sec_28"/>
      <w:bookmarkStart w:id="27" w:name="sec-28"/>
      <w:pPr>
        <w:pStyle w:val="Heading3"/>
      </w:pPr>
      <w:bookmarkEnd w:id="27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（三）month_cards 月卡表</w:t>
      </w:r>
      <w:bookmarkEnd w:id="6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plate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valid_until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有效期至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issued_at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办理时间</w:t>
            </w:r>
          </w:p>
        </w:tc>
      </w:tr>
    </w:tbl>
    <w:p>
      <w:bookmarkStart w:id="65" w:name="_Toc_sec_29"/>
      <w:bookmarkStart w:id="28" w:name="sec-29"/>
      <w:pPr>
        <w:pStyle w:val="Heading3"/>
      </w:pPr>
      <w:bookmarkEnd w:id="28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（四）spot_logs 车位流水表</w:t>
      </w:r>
      <w:bookmarkEnd w:id="6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spot_id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外键，指向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spots.id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action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动作：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占用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EXIT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释放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plate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ticket_id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关联停车记录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发生时间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数据一致性校验口径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占用车位数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在场停车记录数；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每个占用车位都能找到唯一一条在场记录，且车牌一致；</w:t>
      </w:r>
    </w:p>
    <w:p>
      <w:pPr>
        <w:pStyle w:val="ListNumber"/>
        <w:numPr>
          <w:ilvl w:val="0"/>
          <w:numId w:val="14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对每个车位，</w:t>
      </w:r>
      <w:r>
        <w:t xml:space="preserve">ENTRY </w:t>
      </w:r>
      <w:r>
        <w:rPr>
          <w:rFonts w:ascii="微软雅黑" w:eastAsia="微软雅黑" w:hAnsi="微软雅黑" w:cs="微软雅黑" w:hint="eastAsia"/>
          <w:lang w:eastAsia="zh-CN"/>
        </w:rPr>
        <w:t>流水数</w:t>
      </w:r>
      <w:r>
        <w:t xml:space="preserve"> − EXIT </w:t>
      </w:r>
      <w:r>
        <w:rPr>
          <w:rFonts w:ascii="微软雅黑" w:eastAsia="微软雅黑" w:hAnsi="微软雅黑" w:cs="微软雅黑" w:hint="eastAsia"/>
          <w:lang w:eastAsia="zh-CN"/>
        </w:rPr>
        <w:t>流水数等于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（占用）或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（空闲）。</w:t>
      </w:r>
    </w:p>
    <w:p>
      <w:bookmarkStart w:id="66" w:name="_Toc_sec_30"/>
      <w:bookmarkStart w:id="29" w:name="sec-30"/>
      <w:pPr>
        <w:pStyle w:val="Heading2"/>
      </w:pPr>
      <w:bookmarkEnd w:id="29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六、状态机与业务规则</w:t>
      </w:r>
      <w:bookmarkEnd w:id="66"/>
    </w:p>
    <w:p>
      <w:bookmarkStart w:id="67" w:name="_Toc_sec_31"/>
      <w:bookmarkStart w:id="30" w:name="sec-31"/>
      <w:pPr>
        <w:pStyle w:val="Heading3"/>
      </w:pPr>
      <w:bookmarkEnd w:id="30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（一）停车记录状态机</w:t>
      </w:r>
      <w:bookmarkEnd w:id="6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起始状态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事件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应有结果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在场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PARKING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转为已出场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CLOSED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，记录出场时间、时长与费用，并释放车位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已出场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CLOSED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，且不得再次释放车位</w:t>
            </w:r>
          </w:p>
        </w:tc>
      </w:tr>
    </w:tbl>
    <w:p>
      <w:bookmarkStart w:id="68" w:name="_Toc_sec_32"/>
      <w:bookmarkStart w:id="31" w:name="sec-32"/>
      <w:pPr>
        <w:pStyle w:val="Heading3"/>
      </w:pPr>
      <w:bookmarkEnd w:id="31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（二）车位状态机</w:t>
      </w:r>
      <w:bookmarkEnd w:id="6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起始状态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事件</w:t>
            </w:r>
          </w:p>
        </w:tc>
        <w:tc>
          <w:tcPr>
            <w:tcW w:type="dxa" w:w="288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应有结果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空闲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FREE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车辆入场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转为占用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OCCUPIED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，写入车牌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OCCUPIED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该车出场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转为空闲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FREE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，清空车牌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OCCUPIED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非本车出场请求</w:t>
            </w:r>
          </w:p>
        </w:tc>
        <w:tc>
          <w:tcPr>
            <w:tcW w:type="dxa" w:w="288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拒绝，不得释放车位</w:t>
            </w:r>
          </w:p>
        </w:tc>
      </w:tr>
    </w:tbl>
    <w:p>
      <w:bookmarkStart w:id="69" w:name="_Toc_sec_33"/>
      <w:bookmarkStart w:id="32" w:name="sec-33"/>
      <w:pPr>
        <w:pStyle w:val="Heading3"/>
      </w:pPr>
      <w:bookmarkEnd w:id="32"/>
      <w:r>
        <w:rPr>
          <w:rFonts w:ascii="微软雅黑" w:eastAsia="微软雅黑" w:hAnsi="微软雅黑" w:cs="微软雅黑" w:hint="eastAsia"/>
          <w:b/>
          <w:color w:val="00695C"/>
          <w:sz w:val="24"/>
          <w:lang w:eastAsia="zh-CN"/>
        </w:rPr>
        <w:t>（三）关键业务规则清单</w:t>
      </w:r>
      <w:bookmarkEnd w:id="6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规则编号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规则内容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BR-01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计费时长按向上取整到整小时计算，不足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BR-02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计费顺序为：先判定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分钟免费，再按首小时与后续小时计费，最后与封顶金额取较小值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出场操作必须幂等，重复出场不得重复释放车位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BR-04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释放车位前必须校验车位当前占用车牌与出场车牌一致，禁止误释放他人车位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月卡免费仅适用于出场时刻在有效期内的车辆，过期月卡按普通车辆计费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BR-06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车位分配与停车记录创建、车位流水写入必须在同一事务中完成</w:t>
            </w:r>
          </w:p>
        </w:tc>
      </w:tr>
    </w:tbl>
    <w:p>
      <w:bookmarkStart w:id="70" w:name="_Toc_sec_34"/>
      <w:bookmarkStart w:id="33" w:name="sec-34"/>
      <w:pPr>
        <w:pStyle w:val="Heading2"/>
      </w:pPr>
      <w:bookmarkEnd w:id="33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七、接口需求</w:t>
      </w:r>
      <w:bookmarkEnd w:id="70"/>
    </w:p>
    <w:p>
      <w:pPr/>
      <w:r>
        <w:rPr>
          <w:rFonts w:ascii="微软雅黑" w:eastAsia="微软雅黑" w:hAnsi="微软雅黑" w:cs="微软雅黑" w:hint="eastAsia"/>
          <w:lang w:eastAsia="zh-CN"/>
        </w:rPr>
        <w:t>系统对内提供</w:t>
      </w:r>
      <w:r>
        <w:t xml:space="preserve"> REST </w:t>
      </w:r>
      <w:r>
        <w:rPr>
          <w:rFonts w:ascii="微软雅黑" w:eastAsia="微软雅黑" w:hAnsi="微软雅黑" w:cs="微软雅黑" w:hint="eastAsia"/>
          <w:lang w:eastAsia="zh-CN"/>
        </w:rPr>
        <w:t>风格接口，统一返回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。核心接口如下。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模块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路径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/api/lot/summary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查询车场总览，含总数、空闲、占用与占用率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/api/spots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查询车位列表，支持按状态与类型筛选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入场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/api/vehicles/entry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车辆入场，可指定车位类型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/api/vehicles/exit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车辆出场结算并释放车位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停车记录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/api/tickets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查询停车记录列表，支持状态筛选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停车记录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/api/tickets/{id}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查询单条停车记录详情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/api/cards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查询月卡列表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/api/cards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办理或更新月卡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月卡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/api/cards/{plate}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查询指定车牌月卡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/api/consistency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数据一致性自检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/api/dev/reset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重置为初始数据，仅测试环境可用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运维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 / POST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/api/dev/clock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查询或拨快服务端时钟，仅测试环境可用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统一响应体结构为 </w:t>
      </w:r>
      <w:r>
        <w:rPr>
          <w:rFonts w:ascii="Consolas" w:hAnsi="Consolas"/>
          <w:color w:val="37474F"/>
          <w:sz w:val="18"/>
        </w:rPr>
        <w:t>{"code": 0, "msg": "ok", "data": {...}}</w:t>
      </w:r>
      <w:r>
        <w:rPr>
          <w:rFonts w:ascii="微软雅黑" w:eastAsia="微软雅黑" w:hAnsi="微软雅黑" w:cs="微软雅黑" w:hint="eastAsia"/>
          <w:lang w:eastAsia="zh-CN"/>
        </w:rPr>
        <w:t>。参数非法返回</w:t>
      </w:r>
      <w:r>
        <w:t xml:space="preserve"> HTTP 400</w:t>
      </w:r>
      <w:r>
        <w:rPr>
          <w:rFonts w:ascii="微软雅黑" w:eastAsia="微软雅黑" w:hAnsi="微软雅黑" w:cs="微软雅黑" w:hint="eastAsia"/>
          <w:lang w:eastAsia="zh-CN"/>
        </w:rPr>
        <w:t>，资源不存在返回</w:t>
      </w:r>
      <w:r>
        <w:t xml:space="preserve"> HTTP 404</w:t>
      </w:r>
      <w:r>
        <w:rPr>
          <w:rFonts w:ascii="微软雅黑" w:eastAsia="微软雅黑" w:hAnsi="微软雅黑" w:cs="微软雅黑" w:hint="eastAsia"/>
          <w:lang w:eastAsia="zh-CN"/>
        </w:rPr>
        <w:t>，业务冲突返回</w:t>
      </w:r>
      <w:r>
        <w:t xml:space="preserve"> HTTP 409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71" w:name="_Toc_sec_35"/>
      <w:bookmarkStart w:id="34" w:name="sec-35"/>
      <w:pPr>
        <w:pStyle w:val="Heading2"/>
      </w:pPr>
      <w:bookmarkEnd w:id="34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八、关键需求验收标准</w:t>
      </w:r>
      <w:bookmarkEnd w:id="7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432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验收标准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分钟的车辆，应计费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元（首小时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超出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元），不得按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小时整计为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REQ-EXIT-004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分钟与停放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分钟，均应计为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个计费小时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停放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小时的车辆，费用应为封顶值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REQ-EXIT-010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对同一停车记录连续调用出场接口两次，第二次返回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，车位只释放一次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REQ-EXIT-011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某车位已被车辆乙占用时，对已出场的车辆甲执行重复出场，车辆乙的占用状态不得被清除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REQ-ENTRY-009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对同一车位类型发起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并发入场，成功笔数不超过该类型空闲车位数，且无车位被重复分配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REQ-CARD-006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持有已过期月卡的车辆出场，应按普通车辆正常计费，费用不为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REQ-DATA-001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任意时刻校验占用车位数与在场记录数相等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REQ-DATA-003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任意时刻校验每个车位的流水收支平衡，占用车位差值为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、空闲车位差值为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NFR-005</w:t>
            </w:r>
          </w:p>
        </w:tc>
        <w:tc>
          <w:tcPr>
            <w:tcW w:type="dxa" w:w="432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通过时钟模拟接口将服务端时间拨快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小时后，出场时长与费用应随之变化，无需修改系统时间</w:t>
            </w:r>
          </w:p>
        </w:tc>
      </w:tr>
    </w:tbl>
    <w:p>
      <w:bookmarkStart w:id="72" w:name="_Toc_sec_36"/>
      <w:bookmarkStart w:id="35" w:name="sec-36"/>
      <w:pPr>
        <w:pStyle w:val="Heading2"/>
      </w:pPr>
      <w:bookmarkEnd w:id="35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附录A 需求追踪矩阵</w:t>
      </w:r>
      <w:bookmarkEnd w:id="7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需求编号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需求名称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偏差说明</w:t>
            </w:r>
          </w:p>
        </w:tc>
        <w:tc>
          <w:tcPr>
            <w:tcW w:type="dxa" w:w="2160"/>
            <w:shd w:fill="E8F0FA" w:val="clear" w:color="auto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缺陷编号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首小时计费取整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未按不足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小时向上取整，存在少收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REQ-EXIT-004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后续小时计费取整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超出时长未按向上取整到整小时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REQ-EXIT-010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出场幂等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已出场记录仍可重复出场，车位被重复释放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REQ-EXIT-011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释放不影响他人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重复出场会清空他人占用，破坏车位与记录一致性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REQ-ENTRY-009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并发车位分配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并发入场导致同一车位被分配给多辆车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REQ-CARD-006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过期卡不免费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过期月卡仍按免费放行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BUG-S4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REQ-DATA-001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占用数一致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一致性自检，用于发现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BUG-S2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BUG-S3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校验手段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REQ-DATA-003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流水收支平衡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一致性自检，用于发现车位重复释放</w:t>
            </w:r>
          </w:p>
        </w:tc>
        <w:tc>
          <w:tcPr>
            <w:tcW w:type="dxa" w:w="2160"/>
            <w:vAlign w:val="center"/>
            <w:tcBorders>
              <w:top w:val="single" w:sz="6" w:space="0" w:color="B0BEC5"/>
              <w:bottom w:val="single" w:sz="6" w:space="0" w:color="B0BEC5"/>
              <w:left w:val="single" w:sz="6" w:space="0" w:color="B0BEC5"/>
              <w:right w:val="single" w:sz="6" w:space="0" w:color="B0BEC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校验手段</w:t>
            </w:r>
          </w:p>
        </w:tc>
      </w:tr>
    </w:tbl>
    <w:p>
      <w:bookmarkStart w:id="73" w:name="_Toc_sec_37"/>
      <w:bookmarkStart w:id="36" w:name="sec-37"/>
      <w:pPr>
        <w:pStyle w:val="Heading2"/>
      </w:pPr>
      <w:bookmarkEnd w:id="36"/>
      <w:r>
        <w:rPr>
          <w:rFonts w:ascii="微软雅黑" w:eastAsia="微软雅黑" w:hAnsi="微软雅黑" w:cs="微软雅黑" w:hint="eastAsia"/>
          <w:b/>
          <w:color w:val="004D40"/>
          <w:sz w:val="30"/>
          <w:lang w:eastAsia="zh-CN"/>
        </w:rPr>
        <w:t>附录B 文档说明</w:t>
      </w:r>
      <w:bookmarkEnd w:id="73"/>
    </w:p>
    <w:p>
      <w:pPr>
        <w:pStyle w:val="ListNumber"/>
        <w:numPr>
          <w:ilvl w:val="0"/>
          <w:numId w:val="15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本文档所描述的系统为测试演练用目标系统，具备完整可运行的进出场主流程；</w:t>
      </w:r>
    </w:p>
    <w:p>
      <w:pPr>
        <w:pStyle w:val="ListNumber"/>
        <w:numPr>
          <w:ilvl w:val="0"/>
          <w:numId w:val="15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文中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项已知偏差记录于《智泊云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缺陷报告》，测试用例应针对这些需求同时设计正向与反向用例；</w:t>
      </w:r>
    </w:p>
    <w:p>
      <w:pPr>
        <w:pStyle w:val="ListNumber"/>
        <w:numPr>
          <w:ilvl w:val="0"/>
          <w:numId w:val="15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本文档中的公司名称、部门名称与项目背景为教学演练场景下的模拟设定，不对应任何真实主体；</w:t>
      </w:r>
    </w:p>
    <w:p>
      <w:pPr>
        <w:pStyle w:val="ListNumber"/>
        <w:numPr>
          <w:ilvl w:val="0"/>
          <w:numId w:val="15"/>
        </w:numPr>
        <w:spacing w:before="0" w:after="40"/>
      </w:pPr>
      <w:r>
        <w:rPr>
          <w:rFonts w:ascii="微软雅黑" w:eastAsia="微软雅黑" w:hAnsi="微软雅黑" w:cs="微软雅黑" w:hint="eastAsia"/>
          <w:lang w:eastAsia="zh-CN"/>
        </w:rPr>
        <w:t>本文档自评审通过之日起生效，作为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需求基线，变更须走修订流程并升级版本号。</w:t>
      </w:r>
      <w:r/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6" w:val="center"/>
        <w:tab w:pos="9072" w:val="right"/>
      </w:tabs>
    </w:pPr>
    <w:r>
      <w:tab/>
    </w:r>
    <w:r>
      <w:tab/>
    </w:r>
    <w:r>
      <w:t>智泊云·智能停车场管理系统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ind w:firstLine="0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D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9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2424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