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color w:val="262626"/>
          <w:sz w:val="50"/>
          <w:szCs w:val="50"/>
        </w:rPr>
      </w:pPr>
      <w:bookmarkStart w:colFirst="0" w:colLast="0" w:name="_6b8byivol7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62626"/>
          <w:sz w:val="50"/>
          <w:szCs w:val="50"/>
          <w:rtl w:val="0"/>
        </w:rPr>
        <w:t xml:space="preserve">INGENIERÍA DE SOLUCIONES CON INTELIGENCIA ARTIFICIAL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Integrantes: Allan Nicolás Núñez Orellana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Asignatura: Ingeniería de soluciones con inteligencia artificial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Sección: 002D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Profesor: Giocrisrai Godoy Bonillo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​1. Contexto y Objetivos del Proyecto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​El Hospital Clínico San Borja Arriarán HCSA enfrenta desafíos operativos derivados de la alta afluencia de consultas administrativas y de reclamos, generando congestión en los canales de atención y diluyendo la trazabilidad de los casos críticos.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​El presente proyecto implementa un Agente de IA Modular cuyo objetivo primordial es automatizar la clasificación y respuesta a consultas frecuentes, al tiempo que establece protocolos de derivación obligatoria para solicitudes que demandan intervención humana inmediata, como reclamos formales y consultas de urgencia.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​2. Arquitectura de Solución y Justificación de Diseño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​La arquitectura se fundamenta en un patrón de orquestación modular que separa la lógica de razonamiento, la consulta de datos y la generación lingüística, lo cual garantiza la escalabilidad y la auditabilidad del sistema.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Documentación de Componentes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Función Técnica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de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Agente Coordinador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Ejecuta la lógica de planificación y la toma de decisiones.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Centraliza el flujo de control, desacoplando herramientas y lógica de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Módulo de Clasificación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Razonamiento.Identifica la intención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Habilita la derivación temprana a rutas específicas y asegura el cumplimiento de la política de riesgo.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Pipeline RAG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Consulta. Accede a la Memoria de Largo Plazo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Imprescindible para garantizar la precisión de las respuestas con información protocolaria verificada.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Memoria de Corto Plazo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Buffer de Conversación limitado a seis turnos.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Mantiene la coherencia contextual, fundamental para gestionar flujos multietapa como el registro de reclamos.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Flujo de Trabajo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​El flujo de trabajo prioriza la validación del conocimiento RAG antes de la respuesta autónoma, asegurando la fiabilidad operativa.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Para garantizar la gobernanza del modelo de lenguaje y el estricto cumplimiento de las políticas institucionales, se diseñó un Prompt del Sistema (System Prompt) que actúa como el manual de instrucciones operativo del Agente Coordinador en cada turno de conversación.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​3. Implementación de Protocolos de Seguridad y Ética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​La gestión de un Agente de IA en el sector salud exige la implementación rigurosa de medidas de seguridad para proteger la integridad del sistema y la privacidad de los usuarios.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​3.1. Seguridad Contra Amenazas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​Mitigación de Inyección de Prompts: Se aplica un filtro de saneamiento a la entrada de texto del paciente antes de ser procesada por el clasificador, minimizando el riesgo de manipulación del sistema por comandos maliciosos.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​Aislamiento de Herramientas Operacionales: El agente se ejecuta en un entorno de tipo sandbox que restringe su capacidad de ejecutar comandos fuera de su alcance funcional predefinido. Esto previene ataques de escalada de privilegios y acceso no autorizado a sistemas internos.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​Manejo de Credenciales: La conexión a la Memoria de Largo Plazo RAG se realiza mediante tokens o claves de acceso rotativas, evitando el hardcoding de credenciales sensibles en el código fuente.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​3.2. Protocolos Éticos y Legales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​Derivación de Riesgo Clínico: La clasificación de consultas de salud o urgencia fuerza la derivación obligatoria, impidiendo que el Agente entregue diagnósticos o consejos médicos no autorizados.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​Privacidad de Datos: La Memoria de Corto Plazo está diseñada para una destrucción programada de datos después del límite de turnos, y se evita deliberadamente el logging de información clínica o identificable.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​Transparencia: El Agente está configurado para declararse como una entidad artificial y para informar al usuario de manera inequívoca cuando el control pasa a ser humano.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Observabilidad y Trazabilidad para la Mejora Continua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​La implementación de métricas detalladas y la trazabilidad de cada decisión son esenciales para la auditoría y la optimización del modelo de servicio.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​4.1. Métricas de Observabilidad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​El sistema captura los siguientes Indicadores Clave de Desempeño IDP: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Propósito Analítico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Implicancia Operativa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Latencia Promedio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Mide el tiempo de respuesta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Indicador directo de la Experiencia del Usuario y la eficiencia del pipeline.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Precisión de Respuesta Autónoma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Mide la Efectividad del RAG y del clasificador combinados.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Justifica la inversión al demostrar la reducción de la carga de trabajo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Tasa de Derivación Humana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Mide la frecuencia de escalamiento de casos.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Establece los límites del conocimiento y justifica la necesidad de aumentar la base RAG.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Análisis de Trazabilidad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​Cada interacción de process_query() genera un registro estructurado que documenta la ruta de decisión completa. Esta trazabilidad es crítica para la auditoría posterior.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​Log: Se registra la categoría inicial, la decisión de derivación y la latencia específica del turno.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​Función: Si un reclamo es mal clasificado o una consulta urgente no se deriva, el log permite trazar el error hasta la herramienta específica que falló.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Propuestas de Optimización y Sostenibilidad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​El análisis de las métricas simuladas establece las siguientes acciones correctivas para optimizar el rendimiento y la calidad del servicio del Agente.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Refuerzo del Conocimiento y Precisión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​Acción: Implementar un proceso de curación de datos para expandir la Base de Conocimiento RAG.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​Justificación basada en Métrica: La alta Tasa de Derivación Humana en la categoría otra_consulta señala una brecha en el conocimiento. Los logs de trazabilidad identifican exactamente qué información debe ser añadida.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Optimización del Rendimiento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​Acción: Implementar Caching de respuestas en las capas superiores del pipeline.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​Justificación basada en Métrica: Reducir la Latencia Promedio para consultas frecuentes (Ejemplo: "horarios de visita"), evitando reejecutar el costoso proceso RAG en cada ocasión.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5.3. Mejora del Razonamiento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​Acción: Aplicar técnicas de Fine-Tuning o ajuste fino al módulo de clasificación LLM.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​Justificación basada en Métrica: Minimizar la Tasa Simulada de Error de Clasificación, asegurando que los casos de alta prioridad (reclamos) siempre tomen la ruta de derivación obligatoria por política institucional.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