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2E87" w:rsidRDefault="00612E87" w:rsidP="00612E87">
      <w:pPr>
        <w:pStyle w:val="NormalWeb"/>
      </w:pPr>
      <w:r>
        <w:t>Esta práctica muestra la importancia de la jerarquía de operaciones al aplicar porcentajes:</w:t>
      </w:r>
    </w:p>
    <w:p w:rsidR="00612E87" w:rsidRDefault="00612E87" w:rsidP="00612E87">
      <w:pPr>
        <w:pStyle w:val="NormalWeb"/>
        <w:numPr>
          <w:ilvl w:val="0"/>
          <w:numId w:val="2"/>
        </w:numPr>
      </w:pPr>
      <w:r>
        <w:rPr>
          <w:b/>
          <w:bCs/>
        </w:rPr>
        <w:t>Agrupación explícita:</w:t>
      </w:r>
      <w:r>
        <w:t xml:space="preserve"> Usar paréntesis para cada multiplicación asegura que los porcentajes se calculen de forma limpia antes de sumarse.</w:t>
      </w:r>
    </w:p>
    <w:p w:rsidR="00612E87" w:rsidRDefault="00612E87" w:rsidP="00612E87">
      <w:pPr>
        <w:pStyle w:val="NormalWeb"/>
        <w:numPr>
          <w:ilvl w:val="0"/>
          <w:numId w:val="2"/>
        </w:numPr>
      </w:pPr>
      <w:r>
        <w:rPr>
          <w:b/>
          <w:bCs/>
        </w:rPr>
        <w:t>Control de ponderaciones:</w:t>
      </w:r>
      <w:r>
        <w:t xml:space="preserve"> Comprobar que la suma de los porcentajes (</w:t>
      </w:r>
      <w:r>
        <w:rPr>
          <w:rStyle w:val="math-inline"/>
        </w:rPr>
        <w:t>$0.40 + 0.30 + 0.20 + 0.10 = 1.0$</w:t>
      </w:r>
      <w:r>
        <w:t>) equivale al 100% de la calificación final evita distorsiones en los resultados.</w:t>
      </w:r>
    </w:p>
    <w:p w:rsidR="00612E87" w:rsidRDefault="00612E87" w:rsidP="00612E87">
      <w:pPr>
        <w:pStyle w:val="NormalWeb"/>
        <w:numPr>
          <w:ilvl w:val="0"/>
          <w:numId w:val="2"/>
        </w:numPr>
      </w:pPr>
      <w:r>
        <w:rPr>
          <w:b/>
          <w:bCs/>
        </w:rPr>
        <w:t>Expresiones concentradas:</w:t>
      </w:r>
      <w:r>
        <w:t xml:space="preserve"> Realizar la operación en una sola línea demuestra cómo simplificar fórmulas complejas manteniendo el código entendible.</w:t>
      </w:r>
    </w:p>
    <w:p w:rsidR="00F4073B" w:rsidRDefault="00F4073B">
      <w:bookmarkStart w:id="0" w:name="_GoBack"/>
      <w:bookmarkEnd w:id="0"/>
    </w:p>
    <w:sectPr w:rsidR="00F407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1C187A"/>
    <w:multiLevelType w:val="multilevel"/>
    <w:tmpl w:val="8FD0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255797"/>
    <w:multiLevelType w:val="multilevel"/>
    <w:tmpl w:val="192C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0E1A"/>
    <w:rsid w:val="00612E87"/>
    <w:rsid w:val="00DD0314"/>
    <w:rsid w:val="00E40E1A"/>
    <w:rsid w:val="00F40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0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Strong">
    <w:name w:val="Strong"/>
    <w:basedOn w:val="DefaultParagraphFont"/>
    <w:uiPriority w:val="22"/>
    <w:qFormat/>
    <w:rsid w:val="00E40E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40E1A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612E8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0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Strong">
    <w:name w:val="Strong"/>
    <w:basedOn w:val="DefaultParagraphFont"/>
    <w:uiPriority w:val="22"/>
    <w:qFormat/>
    <w:rsid w:val="00E40E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40E1A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612E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17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6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2026-09-14T23:51:00Z</dcterms:created>
  <dcterms:modified xsi:type="dcterms:W3CDTF">2026-09-14T23:51:00Z</dcterms:modified>
</cp:coreProperties>
</file>