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CC7" w:rsidRDefault="00055CC7" w:rsidP="00055CC7">
      <w:pPr>
        <w:pStyle w:val="NormalWeb"/>
      </w:pPr>
      <w:r>
        <w:t>El desarrollo de este proyecto integrador consolida la importancia de la lógica secuencial previa a la programación orientada a objetos o estructurada con condicionales:</w:t>
      </w:r>
    </w:p>
    <w:p w:rsidR="00055CC7" w:rsidRDefault="00055CC7" w:rsidP="00055CC7">
      <w:pPr>
        <w:pStyle w:val="NormalWeb"/>
        <w:numPr>
          <w:ilvl w:val="0"/>
          <w:numId w:val="7"/>
        </w:numPr>
      </w:pPr>
      <w:r>
        <w:rPr>
          <w:b/>
          <w:bCs/>
        </w:rPr>
        <w:t>Sintaxis estricta en DFD:</w:t>
      </w:r>
      <w:r>
        <w:t xml:space="preserve"> La experiencia acumulada al resolver errores como </w:t>
      </w:r>
      <w:r>
        <w:rPr>
          <w:rStyle w:val="HTMLCode"/>
        </w:rPr>
        <w:t>"Se espera un operador"</w:t>
      </w:r>
      <w:r>
        <w:t xml:space="preserve"> resalta lo crucial que es la precisión sintáctica (evitar espacios en variables, usar notación de punto decimal y no omitir los operadores de multiplicación implícitos).</w:t>
      </w:r>
    </w:p>
    <w:p w:rsidR="00055CC7" w:rsidRDefault="00055CC7" w:rsidP="00055CC7">
      <w:pPr>
        <w:pStyle w:val="NormalWeb"/>
        <w:numPr>
          <w:ilvl w:val="0"/>
          <w:numId w:val="7"/>
        </w:numPr>
      </w:pPr>
      <w:r>
        <w:rPr>
          <w:b/>
          <w:bCs/>
        </w:rPr>
        <w:t>Poder de las expresiones booleanas:</w:t>
      </w:r>
      <w:r>
        <w:t xml:space="preserve"> Evaluar criterios de negocio complejos combinando operadores relacionales (</w:t>
      </w:r>
      <w:r>
        <w:rPr>
          <w:rStyle w:val="HTMLCode"/>
        </w:rPr>
        <w:t>&lt;=</w:t>
      </w:r>
      <w:r>
        <w:t>) y lógicos (</w:t>
      </w:r>
      <w:r>
        <w:rPr>
          <w:rStyle w:val="HTMLCode"/>
        </w:rPr>
        <w:t>AND</w:t>
      </w:r>
      <w:r>
        <w:t>) permite obtener decisiones binarias de aprobación instantáneas sin depender de ramificaciones de código.</w:t>
      </w:r>
    </w:p>
    <w:p w:rsidR="00055CC7" w:rsidRDefault="00055CC7" w:rsidP="00055CC7">
      <w:pPr>
        <w:pStyle w:val="NormalWeb"/>
        <w:numPr>
          <w:ilvl w:val="0"/>
          <w:numId w:val="7"/>
        </w:numPr>
      </w:pPr>
      <w:r>
        <w:rPr>
          <w:b/>
          <w:bCs/>
        </w:rPr>
        <w:t>Modularidad y simplificación:</w:t>
      </w:r>
      <w:r>
        <w:t xml:space="preserve"> Reducir nombres extensos a identificadores limpios en diagramas de flujo agiliza la trazabilidad y la corrección de errores en entornos de simulación restringidos.</w:t>
      </w:r>
    </w:p>
    <w:p w:rsidR="00B45704" w:rsidRDefault="00B45704">
      <w:bookmarkStart w:id="0" w:name="_GoBack"/>
      <w:bookmarkEnd w:id="0"/>
    </w:p>
    <w:sectPr w:rsidR="00B45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065F"/>
    <w:multiLevelType w:val="multilevel"/>
    <w:tmpl w:val="533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15850"/>
    <w:multiLevelType w:val="multilevel"/>
    <w:tmpl w:val="5FB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D64225"/>
    <w:multiLevelType w:val="multilevel"/>
    <w:tmpl w:val="746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55CC7"/>
    <w:rsid w:val="000E07FB"/>
    <w:rsid w:val="00240521"/>
    <w:rsid w:val="0063003A"/>
    <w:rsid w:val="008178C2"/>
    <w:rsid w:val="00865F3E"/>
    <w:rsid w:val="00B45704"/>
    <w:rsid w:val="00BD125F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2026-09-15T01:40:00Z</dcterms:created>
  <dcterms:modified xsi:type="dcterms:W3CDTF">2026-09-15T01:40:00Z</dcterms:modified>
</cp:coreProperties>
</file>