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6" w:rsidRPr="00353B59" w:rsidRDefault="00353B59" w:rsidP="00353B59">
      <w:r>
        <w:rPr>
          <w:b/>
          <w:bCs/>
        </w:rPr>
        <w:t>Análisis</w:t>
      </w:r>
      <w:r>
        <w:t xml:space="preserve">: Diseña un proceso estadístico determinista mediante un ciclo </w:t>
      </w:r>
      <w:r>
        <w:rPr>
          <w:rStyle w:val="HTMLCode"/>
          <w:rFonts w:eastAsiaTheme="minorHAnsi"/>
        </w:rPr>
        <w:t>Para</w:t>
      </w:r>
      <w:r>
        <w:t xml:space="preserve">, el cual ejecuta una cantidad exacta de iteraciones definida previamente por el usuario a través de la variable </w:t>
      </w:r>
      <w:proofErr w:type="spellStart"/>
      <w:r>
        <w:rPr>
          <w:rStyle w:val="HTMLCode"/>
          <w:rFonts w:eastAsiaTheme="minorHAnsi"/>
        </w:rPr>
        <w:t>totalRegistros</w:t>
      </w:r>
      <w:proofErr w:type="spellEnd"/>
      <w:r>
        <w:t>. En cada paso de la secuencia, lee un código de respuesta de servidor web e incrementa contadores independientes mediante condicionales encadenados: agrupa las peticiones exitosas (código 200), los fallos atribuibles al cliente (códigos 400 a 499) y los fallos propios del servidor (códigos 500 a 599). Una vez completada la totalidad de las vueltas programadas, el sistema imprime el acumulado final de cada categoría a modo de reporte de auditoría.</w:t>
      </w:r>
      <w:bookmarkStart w:id="0" w:name="_GoBack"/>
      <w:bookmarkEnd w:id="0"/>
    </w:p>
    <w:sectPr w:rsidR="007D5CC6" w:rsidRPr="00353B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0114AF"/>
    <w:rsid w:val="000D1DEC"/>
    <w:rsid w:val="00353B59"/>
    <w:rsid w:val="00455E70"/>
    <w:rsid w:val="004F3719"/>
    <w:rsid w:val="00755B93"/>
    <w:rsid w:val="007B23FC"/>
    <w:rsid w:val="007D5CC6"/>
    <w:rsid w:val="00971894"/>
    <w:rsid w:val="00B5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2026-09-17T17:28:00Z</dcterms:created>
  <dcterms:modified xsi:type="dcterms:W3CDTF">2026-09-17T17:28:00Z</dcterms:modified>
</cp:coreProperties>
</file>