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ДОПОЛНЕНИЕ № 1 к Публичной оферте</w:t>
      </w:r>
    </w:p>
    <w:p>
      <w:pPr>
        <w:jc w:val="center"/>
      </w:pPr>
      <w:r>
        <w:rPr>
          <w:i/>
          <w:sz w:val="22"/>
        </w:rPr>
        <w:t>Редакция от 15 августа 2026 г. · ООО «ЗАВЕДУЮЩАЯ» · ИНН 3801165360 · ОГРН 1253800010320</w:t>
      </w:r>
    </w:p>
    <w:p>
      <w:pPr>
        <w:jc w:val="both"/>
      </w:pPr>
      <w: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t>Сайт (Сервис): https://capydoc.ru, включая веб-сайт и PWA-приложение.</w:t>
      </w:r>
    </w:p>
    <w:p>
      <w:pPr>
        <w:jc w:val="both"/>
      </w:pPr>
      <w:r>
        <w:t>Дата публикации и вступления в силу: 15 августа 2026 г.</w:t>
      </w:r>
    </w:p>
    <w:p>
      <w:pPr>
        <w:jc w:val="both"/>
      </w:pPr>
      <w:r>
        <w:t>Настоящее Дополнение является неотъемлемой частью Публичной оферты ООО «ЗАВЕДУЮЩАЯ» в редакции от 15 августа 2026 г.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/>
        </w:rPr>
        <w:t xml:space="preserve">1.1. </w:t>
      </w:r>
      <w: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/>
        </w:rPr>
        <w:t xml:space="preserve">1.2. </w:t>
      </w:r>
      <w: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/>
        </w:rPr>
        <w:t xml:space="preserve">1.3. </w:t>
      </w:r>
      <w:r>
        <w:t>«Дополнительная услуга» — разработка 1 (одного) уникального шаблона документа, формируемого индивидуально под деятельность участника акции, в соответствии с параметрами, установленными в п. 2 настоящего Дополнения, и размещение такого шаблона в Сервисе.</w:t>
      </w:r>
    </w:p>
    <w:p>
      <w:pPr>
        <w:jc w:val="both"/>
      </w:pPr>
      <w:r>
        <w:rPr>
          <w:b/>
        </w:rPr>
        <w:t xml:space="preserve">1.4. </w:t>
      </w:r>
      <w: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 Указанная стоимость определена сторонами исходя из индивидуального характера разработки шаблона и его размещения в Сервисе.</w:t>
      </w:r>
    </w:p>
    <w:p>
      <w:pPr>
        <w:jc w:val="both"/>
      </w:pPr>
      <w:r>
        <w:rPr>
          <w:b/>
        </w:rPr>
        <w:t xml:space="preserve">1.5. </w:t>
      </w:r>
      <w:r>
        <w:t>«Стоимость тарифа "Рост"» — 15 555 (пятнадцать тысяч пятьсот пятьдесят пять) рублей за 6 месяцев. Для целей расчёта возврата денежных средств пропорционально неиспользованному периоду применяется базовая ежемесячная стоимость тарифа «Рост» — 3 333 (три тысячи триста тридцать три) рубля, установленная тарифной линейкой Сервиса вне зависимости от суммы, фактически уплаченной участником за 6 месяцев.</w:t>
      </w:r>
    </w:p>
    <w:p>
      <w:pPr>
        <w:jc w:val="both"/>
      </w:pPr>
      <w:r>
        <w:rPr>
          <w:b/>
        </w:rPr>
        <w:t xml:space="preserve">1.6. </w:t>
      </w:r>
      <w: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/>
        </w:rPr>
        <w:t xml:space="preserve">2.1. </w:t>
      </w:r>
      <w:r>
        <w:t>В рамках акции каждому из первых 12 участников, оформивших тариф «Рост» на 6 месяцев, предоставляется дополнительная услуга — разработка 1 (одного) уникального шаблона документа, формируемого индивидуально по запросу участника с учётом его вида деятельности, порядка работы и условий расчётов.</w:t>
      </w:r>
    </w:p>
    <w:p>
      <w:pPr>
        <w:jc w:val="both"/>
      </w:pPr>
      <w:r>
        <w:rPr>
          <w:b/>
        </w:rPr>
        <w:t xml:space="preserve">2.2. </w:t>
      </w:r>
      <w:r>
        <w:t>Параметры шаблона:</w:t>
      </w:r>
    </w:p>
    <w:p>
      <w:pPr>
        <w:pStyle w:val="ListBullet"/>
        <w:spacing w:line="360" w:lineRule="auto"/>
        <w:jc w:val="both"/>
      </w:pPr>
      <w:r>
        <w:t>объём: до 4 (четырёх) листов формата А4;</w:t>
      </w:r>
    </w:p>
    <w:p>
      <w:pPr>
        <w:pStyle w:val="ListBullet"/>
        <w:spacing w:line="360" w:lineRule="auto"/>
        <w:jc w:val="both"/>
      </w:pPr>
      <w:r>
        <w:t>оформление: шрифт Times New Roman, единый размер 12 пт и единое начертание (обычное, без полужирного и курсива в основном тексте) на протяжении всего документа, межстрочный интервал 1,5, стандартные поля;</w:t>
      </w:r>
    </w:p>
    <w:p>
      <w:pPr>
        <w:pStyle w:val="ListBullet"/>
        <w:spacing w:line="360" w:lineRule="auto"/>
        <w:jc w:val="both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  <w:jc w:val="both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/>
        </w:rPr>
        <w:t xml:space="preserve">2.3. </w:t>
      </w:r>
      <w:r>
        <w:t>Срок разработки шаблона установлен п. 4.6 настоящего Дополнения.</w:t>
      </w:r>
    </w:p>
    <w:p>
      <w:pPr>
        <w:jc w:val="both"/>
      </w:pPr>
      <w:r>
        <w:rPr>
          <w:b/>
        </w:rPr>
        <w:t xml:space="preserve">2.4. </w:t>
      </w:r>
      <w:r>
        <w:t>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п. 7.3 Публичной оферты.</w:t>
      </w:r>
    </w:p>
    <w:p>
      <w:pPr>
        <w:jc w:val="both"/>
      </w:pPr>
      <w:r>
        <w:rPr>
          <w:b/>
        </w:rPr>
        <w:t xml:space="preserve">2.5. </w:t>
      </w:r>
      <w:r>
        <w:t>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/>
        </w:rPr>
        <w:t xml:space="preserve">3.1. </w:t>
      </w:r>
      <w:r>
        <w:t>Период проведения акции: с 15 августа 2026 г. по 21 августа 2026 г. включительно.</w:t>
      </w:r>
    </w:p>
    <w:p>
      <w:pPr>
        <w:jc w:val="both"/>
      </w:pPr>
      <w:r>
        <w:rPr>
          <w:b/>
        </w:rPr>
        <w:t xml:space="preserve">3.2. </w:t>
      </w:r>
      <w:r>
        <w:t>Лимит: первые 12 (двенадцать) оплат тарифа «Рост» на 6 месяцев.</w:t>
      </w:r>
    </w:p>
    <w:p>
      <w:pPr>
        <w:jc w:val="both"/>
      </w:pPr>
      <w:r>
        <w:rPr>
          <w:b/>
        </w:rPr>
        <w:t xml:space="preserve">3.3. </w:t>
      </w:r>
      <w:r>
        <w:t>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/>
        </w:rPr>
        <w:t xml:space="preserve">3.4. </w:t>
      </w:r>
      <w:r>
        <w:t>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/>
        </w:rPr>
        <w:t xml:space="preserve">3.5. </w:t>
      </w:r>
      <w:r>
        <w:t>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/>
        </w:rPr>
        <w:t xml:space="preserve">4.1. </w:t>
      </w:r>
      <w:r>
        <w:t>Участник оформляет и оплачивает тариф «Рост» на 6 месяцев.</w:t>
      </w:r>
    </w:p>
    <w:p>
      <w:pPr>
        <w:jc w:val="both"/>
      </w:pPr>
      <w:r>
        <w:rPr>
          <w:b/>
        </w:rPr>
        <w:t xml:space="preserve">4.2. </w:t>
      </w:r>
      <w:r>
        <w:t>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/>
        </w:rPr>
        <w:t xml:space="preserve">4.3. </w:t>
      </w:r>
      <w:r>
        <w:t>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/>
        </w:rPr>
        <w:t xml:space="preserve">4.4. </w:t>
      </w:r>
      <w:r>
        <w:t>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/>
        </w:rPr>
        <w:t xml:space="preserve">4.5. </w:t>
      </w:r>
      <w:r>
        <w:t>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/>
        </w:rPr>
        <w:t xml:space="preserve">4.6. </w:t>
      </w:r>
      <w:r>
        <w:t>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/>
        </w:rPr>
        <w:t xml:space="preserve">4.7. </w:t>
      </w:r>
      <w:r>
        <w:t>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/>
        </w:rPr>
        <w:t xml:space="preserve">4.8. </w:t>
      </w:r>
      <w:r>
        <w:t>Готовый шаблон становится доступен участнику исключительно в Сервисе в разделе «Шаблоны».</w:t>
      </w:r>
    </w:p>
    <w:p>
      <w:pPr>
        <w:jc w:val="both"/>
      </w:pPr>
      <w:r>
        <w:rPr>
          <w:b/>
        </w:rPr>
        <w:t xml:space="preserve">4.9. </w:t>
      </w:r>
      <w:r>
        <w:t>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/>
        </w:rPr>
        <w:t xml:space="preserve">5.1. </w:t>
      </w:r>
      <w:r>
        <w:t>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/>
        </w:rPr>
        <w:t xml:space="preserve">5.2. </w:t>
      </w:r>
      <w:r>
        <w:t>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/>
        </w:rPr>
        <w:t xml:space="preserve">5.3. </w:t>
      </w:r>
      <w:r>
        <w:t>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 Плашка отображается в течение 24 (двадцати четырёх) часов с даты окончания акции, по истечении которых блок акции скрывается.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rPr>
          <w:b/>
        </w:rPr>
        <w:t xml:space="preserve">6.0. </w:t>
      </w:r>
      <w: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/>
        </w:rPr>
        <w:t xml:space="preserve">6.1. </w:t>
      </w:r>
      <w:r>
        <w:t>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/>
        </w:rPr>
        <w:t xml:space="preserve">6.2. </w:t>
      </w:r>
      <w:r>
        <w:t>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/>
        </w:rPr>
        <w:t xml:space="preserve">6.3. </w:t>
      </w:r>
      <w:r>
        <w:t>Участник не предоставил заполненную анкету в срок, установленный п. 4.2.</w:t>
      </w:r>
    </w:p>
    <w:p>
      <w:pPr>
        <w:jc w:val="both"/>
      </w:pPr>
      <w:r>
        <w:rPr>
          <w:b/>
        </w:rPr>
        <w:t xml:space="preserve">6.4. </w:t>
      </w:r>
      <w:r>
        <w:t>Деятельность участника относится к категориям, указанным в п. 2.5.</w:t>
      </w:r>
    </w:p>
    <w:p>
      <w:pPr>
        <w:jc w:val="both"/>
      </w:pPr>
      <w:r>
        <w:rPr>
          <w:b/>
        </w:rPr>
        <w:t xml:space="preserve">6.5. </w:t>
      </w:r>
      <w:r>
        <w:t>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/>
        </w:rPr>
        <w:t xml:space="preserve">6.6. </w:t>
      </w:r>
      <w:r>
        <w:t>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/>
        </w:rPr>
        <w:t xml:space="preserve">7.1. </w:t>
      </w:r>
      <w:r>
        <w:t>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/>
        </w:rPr>
        <w:t xml:space="preserve">7.2. </w:t>
      </w:r>
      <w:r>
        <w:t>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/>
        </w:rPr>
        <w:t xml:space="preserve">7.3. </w:t>
      </w:r>
      <w:r>
        <w:t>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/>
        </w:rPr>
        <w:t xml:space="preserve">8.1. </w:t>
      </w:r>
      <w:r>
        <w:t>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/>
        </w:rPr>
        <w:t xml:space="preserve">8.2. </w:t>
      </w:r>
      <w:r>
        <w:t>Стороны признают, что дополнительная услуга носит индивидуальный характер: шаблон разрабатывается персонально под деятельность участника, не может быть использован участником повторно у иного исполнителя без утраты ценности и размещается в Сервисе. Стоимость такой услуги согласована сторонами в размере 7 777 (семи тысяч семисот семидесяти семи) рублей.</w:t>
      </w:r>
    </w:p>
    <w:p>
      <w:pPr>
        <w:jc w:val="both"/>
      </w:pPr>
      <w:r>
        <w:rPr>
          <w:b/>
        </w:rPr>
        <w:t xml:space="preserve">8.3. </w:t>
      </w:r>
      <w:r>
        <w:t>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  <w:jc w:val="both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фактически оказанной услуги;</w:t>
      </w:r>
    </w:p>
    <w:p>
      <w:pPr>
        <w:pStyle w:val="ListBullet"/>
        <w:spacing w:line="360" w:lineRule="auto"/>
        <w:jc w:val="both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  <w:jc w:val="both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/>
        </w:rPr>
        <w:t xml:space="preserve">8.4. </w:t>
      </w:r>
      <w:r>
        <w:t>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/>
        </w:rPr>
        <w:t xml:space="preserve">8.5. </w:t>
      </w:r>
      <w:r>
        <w:t>Заявление о возврате подаётся в порядке и в сроки, установленные пп. 11.1–11.3 и 11.7 Публичной оферты.</w:t>
      </w:r>
    </w:p>
    <w:p>
      <w:pPr>
        <w:jc w:val="both"/>
      </w:pPr>
      <w:r>
        <w:rPr>
          <w:b/>
        </w:rPr>
        <w:t xml:space="preserve">8.6. </w:t>
      </w:r>
      <w:r>
        <w:t>Исполнитель также вправе отказаться от оказания дополнительной услуги в порядке одностороннего отказа, предусмотренном п. 11.8 и разделом 16 Публичной оферты, с возвратом денежных средств на условиях, установленных указанными пунктами.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/>
        </w:rPr>
        <w:t xml:space="preserve">9.1. </w:t>
      </w:r>
      <w:r>
        <w:t>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/>
        </w:rPr>
        <w:t xml:space="preserve">9.2. </w:t>
      </w:r>
      <w:r>
        <w:t>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/>
        </w:rPr>
        <w:t xml:space="preserve">9.3. </w:t>
      </w:r>
      <w:r>
        <w:t>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/>
        </w:rPr>
        <w:t xml:space="preserve">10.1. </w:t>
      </w:r>
      <w:r>
        <w:t>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/>
        </w:rPr>
        <w:t xml:space="preserve">10.2. </w:t>
      </w:r>
      <w:r>
        <w:t>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/>
        </w:rPr>
        <w:t xml:space="preserve">11.1. </w:t>
      </w:r>
      <w:r>
        <w:t>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/>
        </w:rPr>
        <w:t xml:space="preserve">11.2. </w:t>
      </w:r>
      <w:r>
        <w:t>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>
      <w:pPr>
        <w:jc w:val="both"/>
      </w:pPr>
      <w:r>
        <w:t>ООО «ЗАВЕДУЮЩАЯ» · ИНН 3801165360 · ОГРН 1253800010320</w:t>
      </w:r>
    </w:p>
    <w:p>
      <w:pPr>
        <w:jc w:val="both"/>
      </w:pPr>
      <w: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