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68" w:rsidRDefault="000F2868" w:rsidP="000F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TEKSIP</w:t>
      </w:r>
    </w:p>
    <w:p w:rsidR="000F2868" w:rsidRPr="000F2868" w:rsidRDefault="000F2868" w:rsidP="000F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mengusung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bereputasi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akreditasi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BAN-PT,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sertivikasi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ISO 9001:2000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2007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7165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program D3, D4, S1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Reguler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S1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S2,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S3.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lain Lab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Beton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Keairan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Pantai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Perhubungan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Mekanika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Tanah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Batuan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Lab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Material, Lab Model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Workshop/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Bengkel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ARSI</w:t>
      </w:r>
    </w:p>
    <w:p w:rsidR="000F2868" w:rsidRPr="000F2868" w:rsidRDefault="000F2868" w:rsidP="000F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berdiri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15 September 1965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sekelompok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86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Statusnya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1983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(FTSP).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meluluskan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1974.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gelar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doktor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master,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berkiprah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Akreditasi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BAN-PT.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39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studio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Perumahan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Permukiman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Sains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Lansekap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Studio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(di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tingkatan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TEKLING</w:t>
      </w:r>
    </w:p>
    <w:p w:rsidR="000F2868" w:rsidRDefault="000F2868" w:rsidP="000F2868">
      <w:pPr>
        <w:pStyle w:val="NormalWeb"/>
      </w:pPr>
      <w:r>
        <w:t xml:space="preserve">Department of Environmental Engineering is managed under Faculty of Civil Engineering and Planning ITS. The department was established in 1996 with Undergraduate Program of Environmental Engineering, </w:t>
      </w:r>
      <w:proofErr w:type="spellStart"/>
      <w:r>
        <w:t>wich</w:t>
      </w:r>
      <w:proofErr w:type="spellEnd"/>
      <w:r>
        <w:t xml:space="preserve"> was the new name of Sanitary Engineering. Currently, the department has three study programs, i.e.:</w:t>
      </w:r>
    </w:p>
    <w:p w:rsidR="000F2868" w:rsidRDefault="000F2868" w:rsidP="000F2868">
      <w:pPr>
        <w:pStyle w:val="NormalWeb"/>
      </w:pPr>
      <w:r>
        <w:br/>
        <w:t>1. Undergraduate Program of Environmental Engineering</w:t>
      </w:r>
      <w:r>
        <w:br/>
        <w:t>2. Master Program of Environmental Engineering</w:t>
      </w:r>
      <w:r>
        <w:br/>
        <w:t>3. Doctorate Program of Environmental Engineering.</w:t>
      </w:r>
    </w:p>
    <w:p w:rsidR="000F2868" w:rsidRDefault="000F2868" w:rsidP="000F2868">
      <w:pPr>
        <w:pStyle w:val="NormalWeb"/>
        <w:spacing w:after="240" w:afterAutospacing="0"/>
      </w:pPr>
      <w:r>
        <w:rPr>
          <w:rStyle w:val="Strong"/>
        </w:rPr>
        <w:lastRenderedPageBreak/>
        <w:t>Vision</w:t>
      </w:r>
      <w:proofErr w:type="gramStart"/>
      <w:r>
        <w:rPr>
          <w:rStyle w:val="Strong"/>
        </w:rPr>
        <w:t>:</w:t>
      </w:r>
      <w:proofErr w:type="gramEnd"/>
      <w:r>
        <w:rPr>
          <w:b/>
          <w:bCs/>
        </w:rPr>
        <w:br/>
      </w:r>
      <w:r>
        <w:br/>
        <w:t>To be a reference in environmental engineering and environmental management</w:t>
      </w:r>
      <w:r>
        <w:br/>
        <w:t>which is internationally reputed to increase environmental quality.</w:t>
      </w:r>
    </w:p>
    <w:p w:rsidR="000F2868" w:rsidRDefault="000F2868" w:rsidP="000F2868">
      <w:pPr>
        <w:pStyle w:val="NormalWeb"/>
      </w:pPr>
      <w:r>
        <w:rPr>
          <w:rStyle w:val="Strong"/>
        </w:rPr>
        <w:t>Mission</w:t>
      </w:r>
      <w:proofErr w:type="gramStart"/>
      <w:r>
        <w:rPr>
          <w:rStyle w:val="Strong"/>
        </w:rPr>
        <w:t>:</w:t>
      </w:r>
      <w:proofErr w:type="gramEnd"/>
      <w:r>
        <w:rPr>
          <w:b/>
          <w:bCs/>
        </w:rPr>
        <w:br/>
      </w:r>
      <w:r>
        <w:br/>
        <w:t>1. To conduct internationally reputed undergraduate and graduate education in environmental engineering and environmental management.</w:t>
      </w:r>
      <w:r>
        <w:br/>
        <w:t>2. To develop science and technology in environmental engineering and environmental management that give priority on environmental quality, including coastal area.</w:t>
      </w:r>
      <w:r>
        <w:br/>
        <w:t>3. To actively disseminate and apply technological innovation works and methods to resolve environmental issues.</w:t>
      </w:r>
      <w:r>
        <w:br/>
        <w:t>4. To build partnership with government institutions and private sectors in Indonesia and other countries, in the field of environmental engineering and environmental management.</w:t>
      </w:r>
      <w:r>
        <w:br/>
        <w:t xml:space="preserve">5. To build good ethics, moral, attitude, and soft skills of academic and </w:t>
      </w:r>
      <w:proofErr w:type="spellStart"/>
      <w:r>
        <w:t>nonaccademic</w:t>
      </w:r>
      <w:proofErr w:type="spellEnd"/>
      <w:r>
        <w:t xml:space="preserve"> staffs as well as students.</w:t>
      </w:r>
    </w:p>
    <w:p w:rsidR="000F2868" w:rsidRDefault="000F2868" w:rsidP="000F2868">
      <w:r>
        <w:t>TEKGEOMATIKA</w:t>
      </w:r>
    </w:p>
    <w:p w:rsidR="000F2868" w:rsidRPr="000F2868" w:rsidRDefault="000F2868" w:rsidP="000F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Geomatika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mengusung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bertaraf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pengalihan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pemetaan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spasial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keruangan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kebumian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kelautan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permukiman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berwawasan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868" w:rsidRPr="000F2868" w:rsidRDefault="000F2868" w:rsidP="000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Geomatika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sarjana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Geomatika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cakap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trampil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penguasaan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pemetaan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kebumian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kelautan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permukiman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berwawasan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pengakuan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Geomatika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86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KELAUTAN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BRKP –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Kelautan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Perikanan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BPPT.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KADASTRAL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BPN.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PENGINDERAAN JAUH staff BAPPEDA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BAPEKO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LAPAN.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Toyo University -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Universite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de La Rochelle -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Perancis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DESPRO</w:t>
      </w:r>
    </w:p>
    <w:p w:rsidR="000F2868" w:rsidRPr="000F2868" w:rsidRDefault="000F2868" w:rsidP="000F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0F2868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(FTSP) ITS,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S1,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Visual,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Interior.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berdiri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1984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lastRenderedPageBreak/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Interior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berdiri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2000.</w:t>
      </w: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etos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beretika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berwawasan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Seni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(IPTEKS),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manajerial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mengaplikasikan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penciptaan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estetika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ergonomi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sosial-budaya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PWK</w:t>
      </w:r>
    </w:p>
    <w:p w:rsidR="000F2868" w:rsidRPr="000F2868" w:rsidRDefault="000F2868" w:rsidP="000F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Wilayah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Kota (PWK),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sarjana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PWK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otonomi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Indonesia.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PWK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mengusung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Wilayah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Kota,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Wilayah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Kota,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Wilayah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Kota,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Pesisir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Kota,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868" w:rsidRPr="000F2868" w:rsidRDefault="000F2868" w:rsidP="000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PWK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Wilayah,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Kota,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Kota (Tata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bangungan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penataan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koridor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masterplan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Sektoral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Pesisir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Permukiman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Perdagangan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lain-lain),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Pembangunan (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Sektoral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penyiapan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indikasi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sektoral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(GIS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GIS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sektoral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2868" w:rsidRPr="000F2868" w:rsidRDefault="000F2868" w:rsidP="000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PWK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konsultan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konsultan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LSM,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Berderet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ajang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ditorehkan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PWK ITS.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Prodi PWK ITS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November 2012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terpilihnya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Juara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Sayembara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Direktorat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Penataan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Kementerian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RI.</w:t>
      </w: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TEKNIK GEOFISIKA</w:t>
      </w:r>
    </w:p>
    <w:p w:rsidR="000F2868" w:rsidRPr="000F2868" w:rsidRDefault="000F2868" w:rsidP="000F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Geofisika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eksplorasi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minyak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gas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mineral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mitigasi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fisis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metode-metode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geofisika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Geofisika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memegang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peranan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eksplorasi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cadangan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mineral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minyak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gas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Geofisika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Eksplorasi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Minyak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Gas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Geothermal,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Tambang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Mineral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Mitigasi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Terbatasnya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Geofisika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perusahaan-perusahaan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perminyakan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pertambangan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geothermal,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seismologi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mitigasi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868" w:rsidRDefault="000F2868" w:rsidP="000F28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DESAIN INTERIOR</w:t>
      </w:r>
    </w:p>
    <w:p w:rsidR="000F2868" w:rsidRPr="000F2868" w:rsidRDefault="000F2868" w:rsidP="000F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Interior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menitik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beratkan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Based Education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dipadukan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studio.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pengajar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berpengalaman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berpengetahuan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doktor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S3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master S2.</w:t>
      </w:r>
    </w:p>
    <w:p w:rsidR="000F2868" w:rsidRDefault="000F2868" w:rsidP="000F2868"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pendampingan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pembelajarannya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Interior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Pendalaman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desainer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berskala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86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kesiapan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Interior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di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Interior </w:t>
      </w:r>
      <w:proofErr w:type="spellStart"/>
      <w:proofErr w:type="gramStart"/>
      <w:r w:rsidRPr="000F286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keakraban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keramahan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lulus.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Interior yang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periodik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tingginya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86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F2868">
        <w:rPr>
          <w:rFonts w:ascii="Times New Roman" w:eastAsia="Times New Roman" w:hAnsi="Times New Roman" w:cs="Times New Roman"/>
          <w:sz w:val="24"/>
          <w:szCs w:val="24"/>
        </w:rPr>
        <w:t xml:space="preserve"> Interior FTSP – ITS.</w:t>
      </w:r>
      <w:bookmarkStart w:id="0" w:name="_GoBack"/>
      <w:bookmarkEnd w:id="0"/>
    </w:p>
    <w:sectPr w:rsidR="000F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68"/>
    <w:rsid w:val="000F2868"/>
    <w:rsid w:val="0066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ACD75-F072-461F-9C0F-2EAB0DE5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1350</Words>
  <Characters>7700</Characters>
  <Application>Microsoft Office Word</Application>
  <DocSecurity>0</DocSecurity>
  <Lines>64</Lines>
  <Paragraphs>18</Paragraphs>
  <ScaleCrop>false</ScaleCrop>
  <Company>Microsoft</Company>
  <LinksUpToDate>false</LinksUpToDate>
  <CharactersWithSpaces>9032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2016-12-27T15:10:00Z</dcterms:created>
  <dcterms:modified xsi:type="dcterms:W3CDTF">2016-12-27T15:14:00Z</dcterms:modified>
</cp:coreProperties>
</file>