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894: Design &amp; Implementation of AI Systems</w:t>
      </w:r>
    </w:p>
    <w:p>
      <w:pPr>
        <w:jc w:val="center"/>
      </w:pPr>
      <w:r>
        <w:t>Adversarial-Robust RL-based Asset Pricing AI Agent</w:t>
      </w:r>
    </w:p>
    <w:p>
      <w:pPr>
        <w:jc w:val="center"/>
      </w:pPr>
      <w:r>
        <w:t>Project 1 – Week 8 Submission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Zelalem Abahana</w:t>
            </w:r>
          </w:p>
        </w:tc>
      </w:tr>
      <w:tr>
        <w:tc>
          <w:tcPr>
            <w:tcW w:type="dxa" w:w="4320"/>
          </w:tcPr>
          <w:p>
            <w:r>
              <w:t>Program</w:t>
            </w:r>
          </w:p>
        </w:tc>
        <w:tc>
          <w:tcPr>
            <w:tcW w:type="dxa" w:w="4320"/>
          </w:tcPr>
          <w:p>
            <w:r>
              <w:t>Master of Artificial Intelligence – Fall 2025</w:t>
            </w:r>
          </w:p>
        </w:tc>
      </w:tr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Youakim Badr, Ph.D.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November 10, 2025</w:t>
            </w:r>
          </w:p>
        </w:tc>
      </w:tr>
    </w:tbl>
    <w:p/>
    <w:p>
      <w:pPr>
        <w:pStyle w:val="Heading1"/>
      </w:pPr>
      <w:r>
        <w:t>1. Executive Summary (Week 8)</w:t>
      </w:r>
    </w:p>
    <w:p>
      <w:r>
        <w:t>Week 8 focused on completing the adversarial-robust reinforcement learning (RL) pipeline, finalizing model architectures, and validating robustness across five attack families. The Multi-Head Attention Deep Q-Network (MHA-DQN) now operates end-to-end with walk-forward validation, adversarial training, and comprehensive benchmarking against DQN and A2C baselines.</w:t>
      </w:r>
    </w:p>
    <w:p>
      <w:pPr>
        <w:pStyle w:val="Heading1"/>
      </w:pPr>
      <w:r>
        <w:t>2. Completed Deliverables</w:t>
      </w:r>
    </w:p>
    <w:p>
      <w:pPr>
        <w:pStyle w:val="ListBullet"/>
      </w:pPr>
      <w:r>
        <w:t>Integrated adversarial training loop with FGSM, PGD, C&amp;W, BIM, and DeepFool perturbations across 36 configurations.</w:t>
      </w:r>
    </w:p>
    <w:p>
      <w:pPr>
        <w:pStyle w:val="ListBullet"/>
      </w:pPr>
      <w:r>
        <w:t>Finalized production-ready MHA-DQN architecture with attention mechanism diagnostics and policy inspection tooling.</w:t>
      </w:r>
    </w:p>
    <w:p>
      <w:pPr>
        <w:pStyle w:val="ListBullet"/>
      </w:pPr>
      <w:r>
        <w:t>Executed walk-forward backtesting on 10-year NVIDIA dataset with transaction costs and risk controls.</w:t>
      </w:r>
    </w:p>
    <w:p>
      <w:pPr>
        <w:pStyle w:val="ListBullet"/>
      </w:pPr>
      <w:r>
        <w:t>Generated full model comparison dashboards (`notebooks/protagonist_dqn_real_results.png`, `notebooks/multi_stock_comparison.png`).</w:t>
      </w:r>
    </w:p>
    <w:p>
      <w:pPr>
        <w:pStyle w:val="ListBullet"/>
      </w:pPr>
      <w:r>
        <w:t>Documented robustness evaluation framework and summarized financial implications of each attack type.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MHA-DQN (robust)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Sharpe Ratio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  <w:tc>
          <w:tcPr>
            <w:tcW w:type="dxa" w:w="2160"/>
          </w:tcPr>
          <w:p>
            <w:r>
              <w:t>0.98 (A2C)</w:t>
            </w:r>
          </w:p>
        </w:tc>
        <w:tc>
          <w:tcPr>
            <w:tcW w:type="dxa" w:w="2160"/>
          </w:tcPr>
          <w:p>
            <w:r>
              <w:t>notebooks/dqn_comparison_table.png</w:t>
            </w:r>
          </w:p>
        </w:tc>
      </w:tr>
      <w:tr>
        <w:tc>
          <w:tcPr>
            <w:tcW w:type="dxa" w:w="2160"/>
          </w:tcPr>
          <w:p>
            <w:r>
              <w:t>Mean Squared Error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  <w:tc>
          <w:tcPr>
            <w:tcW w:type="dxa" w:w="2160"/>
          </w:tcPr>
          <w:p>
            <w:r>
              <w:t>9,450 (DQN)</w:t>
            </w:r>
          </w:p>
        </w:tc>
        <w:tc>
          <w:tcPr>
            <w:tcW w:type="dxa" w:w="2160"/>
          </w:tcPr>
          <w:p>
            <w:r>
              <w:t>results/robustness_summary.json</w:t>
            </w:r>
          </w:p>
        </w:tc>
      </w:tr>
      <w:tr>
        <w:tc>
          <w:tcPr>
            <w:tcW w:type="dxa" w:w="2160"/>
          </w:tcPr>
          <w:p>
            <w:r>
              <w:t>Robustness Score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78% (DQN)</w:t>
            </w:r>
          </w:p>
        </w:tc>
        <w:tc>
          <w:tcPr>
            <w:tcW w:type="dxa" w:w="2160"/>
          </w:tcPr>
          <w:p>
            <w:r>
              <w:t>notebooks/dqn_comparison_results.png</w:t>
            </w:r>
          </w:p>
        </w:tc>
      </w:tr>
      <w:tr>
        <w:tc>
          <w:tcPr>
            <w:tcW w:type="dxa" w:w="2160"/>
          </w:tcPr>
          <w:p>
            <w:r>
              <w:t>Average MSE Δ under Attacks</w:t>
            </w:r>
          </w:p>
        </w:tc>
        <w:tc>
          <w:tcPr>
            <w:tcW w:type="dxa" w:w="2160"/>
          </w:tcPr>
          <w:p>
            <w:r>
              <w:t>-0.26</w:t>
            </w:r>
          </w:p>
        </w:tc>
        <w:tc>
          <w:tcPr>
            <w:tcW w:type="dxa" w:w="2160"/>
          </w:tcPr>
          <w:p>
            <w:r>
              <w:t>+0.12 (DQN)</w:t>
            </w:r>
          </w:p>
        </w:tc>
        <w:tc>
          <w:tcPr>
            <w:tcW w:type="dxa" w:w="2160"/>
          </w:tcPr>
          <w:p>
            <w:r>
              <w:t>notebooks/compare_dqn_attention_simple.py</w:t>
            </w:r>
          </w:p>
        </w:tc>
      </w:tr>
    </w:tbl>
    <w:p>
      <w:r>
        <w:t>Note: Metrics computed from Week 8 backtests with adversarial augmentation and transaction cost assumptions of 5 bps per trade.</w:t>
      </w:r>
    </w:p>
    <w:p>
      <w:pPr>
        <w:pStyle w:val="Heading1"/>
      </w:pPr>
      <w:r>
        <w:t>3. Detailed Progress Narrative</w:t>
      </w:r>
    </w:p>
    <w:p>
      <w:r>
        <w:t>Model Development and Training:</w:t>
      </w:r>
    </w:p>
    <w:p>
      <w:pPr>
        <w:pStyle w:val="ListBullet"/>
      </w:pPr>
      <w:r>
        <w:t>Completed hyperparameter sweep for attention heads (H ∈ {4, 8, 12}) and hidden dimensions using Optuna.</w:t>
      </w:r>
    </w:p>
    <w:p>
      <w:pPr>
        <w:pStyle w:val="ListBullet"/>
      </w:pPr>
      <w:r>
        <w:t>Extended replay buffer to retain adversarial samples with prioritized sampling and stratified batching.</w:t>
      </w:r>
    </w:p>
    <w:p>
      <w:pPr>
        <w:pStyle w:val="ListBullet"/>
      </w:pPr>
      <w:r>
        <w:t>Implemented curriculum training schedule: clean pretraining (200 epochs) followed by adversarial fine-tuning (60 epochs).</w:t>
      </w:r>
    </w:p>
    <w:p>
      <w:r>
        <w:t>Robustness Evaluation:</w:t>
      </w:r>
    </w:p>
    <w:p>
      <w:pPr>
        <w:pStyle w:val="ListBullet"/>
      </w:pPr>
      <w:r>
        <w:t>FGSM variants (ε ∈ {0.01, 0.03, 0.05}) increased MSE by 2.27 on average, confirming need for defensive tuning.</w:t>
      </w:r>
    </w:p>
    <w:p>
      <w:pPr>
        <w:pStyle w:val="ListBullet"/>
      </w:pPr>
      <w:r>
        <w:t>C&amp;W and DeepFool attacks produced negative ΔMSE (−1.47, −12.67) indicating higher resilience to optimization-based exploits.</w:t>
      </w:r>
    </w:p>
    <w:p>
      <w:pPr>
        <w:pStyle w:val="ListBullet"/>
      </w:pPr>
      <w:r>
        <w:t>Generated risk taxonomy linking each attack family to financial threat scenarios (spoofing, data corruption, systemic shock).</w:t>
      </w:r>
    </w:p>
    <w:p>
      <w:r>
        <w:t>Operationalization:</w:t>
      </w:r>
    </w:p>
    <w:p>
      <w:pPr>
        <w:pStyle w:val="ListBullet"/>
      </w:pPr>
      <w:r>
        <w:t>Containerized training and inference services with Docker; orchestrated via local Docker Compose.</w:t>
      </w:r>
    </w:p>
    <w:p>
      <w:pPr>
        <w:pStyle w:val="ListBullet"/>
      </w:pPr>
      <w:r>
        <w:t>Prepared deployment playbook outlining API endpoints (FastAPI) and monitoring stack (Prometheus + Grafana).</w:t>
      </w:r>
    </w:p>
    <w:p>
      <w:pPr>
        <w:pStyle w:val="ListBullet"/>
      </w:pPr>
      <w:r>
        <w:t>Versioned artifacts and experiment metadata using MLflow tracking server (local deployment).</w:t>
      </w:r>
    </w:p>
    <w:p>
      <w:pPr>
        <w:pStyle w:val="Heading1"/>
      </w:pPr>
      <w:r>
        <w:t>4. Blockers and Mitigations</w:t>
      </w:r>
    </w:p>
    <w:p>
      <w:r>
        <w:rPr>
          <w:b/>
        </w:rPr>
        <w:t xml:space="preserve">GPU Runtime Limits: </w:t>
      </w:r>
      <w:r>
        <w:t>Resolved by using gradient accumulation and mixed-precision training to stay within local GPU memory constraints.</w:t>
      </w:r>
    </w:p>
    <w:p>
      <w:r>
        <w:rPr>
          <w:b/>
        </w:rPr>
        <w:t xml:space="preserve">Attack Runtime Overhead: </w:t>
      </w:r>
      <w:r>
        <w:t>Mitigated with batched perturbation generation and caching attack gradients for iterative methods.</w:t>
      </w:r>
    </w:p>
    <w:p>
      <w:r>
        <w:rPr>
          <w:b/>
        </w:rPr>
        <w:t xml:space="preserve">Data Latency Simulation: </w:t>
      </w:r>
      <w:r>
        <w:t>Implemented synthetic latency injection in evaluation pipeline to emulate production delays.</w:t>
      </w:r>
    </w:p>
    <w:p>
      <w:pPr>
        <w:pStyle w:val="Heading1"/>
      </w:pPr>
      <w:r>
        <w:t>5. Next Steps (Weeks 9-10)</w:t>
      </w:r>
    </w:p>
    <w:p>
      <w:pPr>
        <w:pStyle w:val="ListBullet"/>
      </w:pPr>
      <w:r>
        <w:t>Deploy adversarial detection microservice with anomaly scoring (Isolation Forest + autoencoder reconstruction error).</w:t>
      </w:r>
    </w:p>
    <w:p>
      <w:pPr>
        <w:pStyle w:val="ListBullet"/>
      </w:pPr>
      <w:r>
        <w:t>Integrate live data feed simulator and replay historical stress scenarios for real-time evaluation.</w:t>
      </w:r>
    </w:p>
    <w:p>
      <w:pPr>
        <w:pStyle w:val="ListBullet"/>
      </w:pPr>
      <w:r>
        <w:t>Finalize user-facing dashboard (React + FastAPI) with real-time signals, attack alerts, and explainability overlays.</w:t>
      </w:r>
    </w:p>
    <w:p>
      <w:pPr>
        <w:pStyle w:val="ListBullet"/>
      </w:pPr>
      <w:r>
        <w:t>Conduct ablation study on attention heads and reward shaping to quantify component impact.</w:t>
      </w:r>
    </w:p>
    <w:p>
      <w:pPr>
        <w:pStyle w:val="Heading1"/>
      </w:pPr>
      <w:r>
        <w:t>6. References</w:t>
      </w:r>
    </w:p>
    <w:p>
      <w:pPr>
        <w:pStyle w:val="ListNumber"/>
      </w:pPr>
      <w:r>
        <w:t>[1] Gleave, A. et al. (2020). Adversarial Policies: Attacking Deep Reinforcement Learning. ICML.</w:t>
      </w:r>
    </w:p>
    <w:p>
      <w:pPr>
        <w:pStyle w:val="ListNumber"/>
      </w:pPr>
      <w:r>
        <w:t>[2] Zhang, Z. et al. (2024). Deep Reinforcement Learning for Financial Asset Pricing: A Comprehensive Survey. Journal of Financial Data Science.</w:t>
      </w:r>
    </w:p>
    <w:p>
      <w:pPr>
        <w:pStyle w:val="ListNumber"/>
      </w:pPr>
      <w:r>
        <w:t>[3] Liu, H. et al. (2024). Robust Deep Q-Learning for Asset Allocation Under Market Uncertainty. AAAI.</w:t>
      </w:r>
    </w:p>
    <w:p>
      <w:pPr>
        <w:pStyle w:val="ListNumber"/>
      </w:pPr>
      <w:r>
        <w:t>[4] Kumar, A. et al. (2023). Adversarial Attacks on Deep RL in Financial Applications. ICML Workshop on AI in Finance.</w:t>
      </w:r>
    </w:p>
    <w:p>
      <w:pPr>
        <w:pStyle w:val="ListNumber"/>
      </w:pPr>
      <w:r>
        <w:t>[5] Pinto, L. et al. (2017). Robust Adversarial Reinforcement Learning. ICML.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