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Times New Roman" w:hAnsi="Times New Roman"/>
          <w:b/>
          <w:sz w:val="28"/>
        </w:rPr>
        <w:t>Multi-Head Attention Deep Q-Networks for Portfolio Optimization: A Novel Reinforcement Learning Approach with Temporal Pattern Recognition</w:t>
      </w:r>
    </w:p>
    <w:p/>
    <w:p>
      <w:pPr>
        <w:jc w:val="center"/>
      </w:pPr>
      <w:r>
        <w:rPr>
          <w:rFonts w:ascii="Times New Roman" w:hAnsi="Times New Roman"/>
          <w:b/>
          <w:sz w:val="22"/>
        </w:rPr>
        <w:t>Zelalem Abahana</w:t>
        <w:br/>
      </w:r>
      <w:r>
        <w:rPr>
          <w:rFonts w:ascii="Times New Roman" w:hAnsi="Times New Roman"/>
          <w:sz w:val="22"/>
        </w:rPr>
        <w:t>Master of Artificial Intelligence Program</w:t>
        <w:br/>
      </w:r>
      <w:r>
        <w:rPr>
          <w:rFonts w:ascii="Times New Roman" w:hAnsi="Times New Roman"/>
          <w:sz w:val="22"/>
        </w:rPr>
        <w:t>The Pennsylvania State University, Malvern, PA, USA</w:t>
        <w:br/>
      </w:r>
      <w:r>
        <w:rPr>
          <w:rFonts w:ascii="Times New Roman" w:hAnsi="Times New Roman"/>
          <w:sz w:val="22"/>
        </w:rPr>
        <w:t>Senior Data Scientist</w:t>
        <w:br/>
      </w:r>
      <w:r>
        <w:rPr>
          <w:rFonts w:ascii="Times New Roman" w:hAnsi="Times New Roman"/>
          <w:sz w:val="22"/>
        </w:rPr>
        <w:t>Wells Fargo</w:t>
        <w:br/>
      </w:r>
      <w:r>
        <w:rPr>
          <w:rFonts w:ascii="Times New Roman" w:hAnsi="Times New Roman"/>
          <w:sz w:val="22"/>
        </w:rPr>
        <w:t>zga5029@psu.edu</w:t>
        <w:br/>
      </w:r>
    </w:p>
    <w:p/>
    <w:p>
      <w:pPr>
        <w:pStyle w:val="Heading1"/>
      </w:pPr>
      <w:r>
        <w:rPr>
          <w:rFonts w:ascii="Times New Roman" w:hAnsi="Times New Roman"/>
          <w:b/>
          <w:sz w:val="24"/>
        </w:rPr>
        <w:t>Abstract</w:t>
      </w:r>
    </w:p>
    <w:p>
      <w:pPr/>
      <w:r>
        <w:t>Portfolio optimization remains a fundamental challenge in quantitative finance, requiring sophisticated models to capture complex market dynamics and temporal dependencies. We propose a novel Multi-Head Attention Deep Q-Network (MHA-DQN) architecture that leverages transformer-inspired attention mechanisms for portfolio optimization. Our approach addresses key limitations in existing reinforcement learning methods by incorporating multi-head self-attention for temporal pattern recognition and cross-attention for feature integration. We evaluate our method on a comprehensive dataset of 10 large-cap stocks over 5 years (2020-2024), demonstrating superior risk-adjusted returns with a Sharpe ratio of 1.265 compared to 0.389 for equal-weight benchmarks. The model achieves 41.75% annual returns with 31.42% volatility, significantly outperforming traditional approaches. Our contributions include: (1) the first application of multi-head attention to deep Q-networks for portfolio optimization, (2) a novel temporal encoding mechanism for financial time series, and (3) comprehensive empirical validation with statistical significance testing. The results demonstrate the effectiveness of attention mechanisms in capturing complex market dynamics and improving portfolio performance.</w:t>
      </w:r>
    </w:p>
    <w:p/>
    <w:p>
      <w:r>
        <w:rPr>
          <w:rFonts w:ascii="Times New Roman" w:hAnsi="Times New Roman"/>
          <w:b/>
          <w:sz w:val="22"/>
        </w:rPr>
        <w:t xml:space="preserve">Keywords: </w:t>
      </w:r>
      <w:r>
        <w:rPr>
          <w:rFonts w:ascii="Times New Roman" w:hAnsi="Times New Roman"/>
          <w:sz w:val="22"/>
        </w:rPr>
        <w:t>Reinforcement Learning, Portfolio Optimization, Attention Mechanisms, Deep Q-Networks, Financial AI</w:t>
      </w:r>
    </w:p>
    <w:p>
      <w:pPr>
        <w:pStyle w:val="Heading1"/>
      </w:pPr>
      <w:r>
        <w:rPr>
          <w:rFonts w:ascii="Times New Roman" w:hAnsi="Times New Roman"/>
          <w:b/>
          <w:sz w:val="24"/>
        </w:rPr>
        <w:t>1. Introduction</w:t>
      </w:r>
    </w:p>
    <w:p>
      <w:r>
        <w:rPr>
          <w:rFonts w:ascii="Times New Roman" w:hAnsi="Times New Roman"/>
          <w:sz w:val="22"/>
        </w:rPr>
        <w:t>Portfolio optimization has evolved from traditional mean-variance frameworks to sophisticated machine learning approaches that can capture non-linear market dynamics and temporal dependencies. The challenge lies in developing models that can effectively process high-dimensional financial time series while maintaining interpretability and robustness across different market conditions.</w:t>
      </w:r>
    </w:p>
    <w:p>
      <w:r>
        <w:rPr>
          <w:rFonts w:ascii="Times New Roman" w:hAnsi="Times New Roman"/>
          <w:sz w:val="22"/>
        </w:rPr>
        <w:t>Recent advances in deep reinforcement learning have shown promise for portfolio optimization, with Deep Q-Networks (DQN) [41] demonstrating the ability to learn complex trading strategies from historical data. The breakthrough work of Mnih et al. [40] showed that DQN could achieve human-level performance in complex environments, providing the foundation for financial applications. However, existing approaches often struggle with temporal pattern recognition and fail to capture long-range dependencies in financial time series, which are crucial for effective portfolio management.</w:t>
      </w:r>
    </w:p>
    <w:p>
      <w:r>
        <w:rPr>
          <w:rFonts w:ascii="Times New Roman" w:hAnsi="Times New Roman"/>
          <w:sz w:val="22"/>
        </w:rPr>
        <w:t>The transformer architecture, originally developed for natural language processing, has revolutionized sequence modeling by introducing self-attention mechanisms that can capture long-range dependencies effectively. This paper presents the first application of multi-head attention mechanisms to deep Q-networks for portfolio optimization, addressing key limitations in existing approaches.</w:t>
      </w:r>
    </w:p>
    <w:p>
      <w:pPr>
        <w:pStyle w:val="Heading1"/>
      </w:pPr>
      <w:r>
        <w:rPr>
          <w:rFonts w:ascii="Times New Roman" w:hAnsi="Times New Roman"/>
          <w:b/>
          <w:sz w:val="24"/>
        </w:rPr>
        <w:t>2. Related Work</w:t>
      </w:r>
    </w:p>
    <w:p>
      <w:pPr>
        <w:pStyle w:val="Heading2"/>
      </w:pPr>
      <w:r>
        <w:rPr>
          <w:rFonts w:ascii="Times New Roman" w:hAnsi="Times New Roman"/>
          <w:b/>
          <w:sz w:val="22"/>
        </w:rPr>
        <w:t>2.1 Reinforcement Learning in Finance</w:t>
      </w:r>
    </w:p>
    <w:p>
      <w:r>
        <w:rPr>
          <w:rFonts w:ascii="Times New Roman" w:hAnsi="Times New Roman"/>
          <w:sz w:val="22"/>
        </w:rPr>
        <w:t>The application of reinforcement learning to portfolio optimization has gained significant attention in recent years. [1] pioneered the use of reinforcement learning for trading, demonstrating the potential of Q-learning for portfolio management. [2] extended this work by introducing risk-sensitive reinforcement learning for portfolio optimization.</w:t>
      </w:r>
    </w:p>
    <w:p>
      <w:r>
        <w:rPr>
          <w:rFonts w:ascii="Times New Roman" w:hAnsi="Times New Roman"/>
          <w:sz w:val="22"/>
        </w:rPr>
        <w:t>[4] proposed a comprehensive deep reinforcement learning framework for portfolio management, using convolutional neural networks to process financial time series. [3] introduced a deep reinforcement learning approach with multiple reward functions and demonstrated superior performance on cryptocurrency markets. [5] developed a deep deterministic policy gradient (DDPG) approach for portfolio optimization, while [6] proposed a hierarchical reinforcement learning framework for multi-asset portfolio management.</w:t>
      </w:r>
    </w:p>
    <w:p>
      <w:r>
        <w:rPr>
          <w:rFonts w:ascii="Times New Roman" w:hAnsi="Times New Roman"/>
          <w:sz w:val="22"/>
        </w:rPr>
        <w:t>[7] introduced attention mechanisms to reinforcement learning for trading, but focused on single-asset trading rather than portfolio optimization. [8] developed continuous control methods that have been adapted for portfolio management, while [9] proposed soft actor-critic methods for financial applications.</w:t>
      </w:r>
    </w:p>
    <w:p>
      <w:pPr>
        <w:pStyle w:val="Heading2"/>
      </w:pPr>
      <w:r>
        <w:rPr>
          <w:rFonts w:ascii="Times New Roman" w:hAnsi="Times New Roman"/>
          <w:b/>
          <w:sz w:val="22"/>
        </w:rPr>
        <w:t>2.2 Deep Q-Networks and Portfolio Management</w:t>
      </w:r>
    </w:p>
    <w:p>
      <w:r>
        <w:rPr>
          <w:rFonts w:ascii="Times New Roman" w:hAnsi="Times New Roman"/>
          <w:sz w:val="22"/>
        </w:rPr>
        <w:t>DQN has been extensively applied to portfolio optimization with various enhancements. [14] proposed a DQN-based approach for portfolio management with transaction costs. [15] introduced dueling DQN for portfolio optimization, demonstrating improved performance over standard DQN by decomposing Q-values into value and advantage components.</w:t>
      </w:r>
    </w:p>
    <w:p>
      <w:r>
        <w:rPr>
          <w:rFonts w:ascii="Times New Roman" w:hAnsi="Times New Roman"/>
          <w:sz w:val="22"/>
        </w:rPr>
        <w:t>[16] developed a double DQN approach for portfolio management, addressing the overestimation bias in Q-learning. [17] proposed a prioritized experience replay DQN for financial trading, improving sample efficiency. [18] introduced multi-agent DQN for portfolio optimization, but did not incorporate attention mechanisms.</w:t>
      </w:r>
    </w:p>
    <w:p>
      <w:r>
        <w:rPr>
          <w:rFonts w:ascii="Times New Roman" w:hAnsi="Times New Roman"/>
          <w:sz w:val="22"/>
        </w:rPr>
        <w:t>[12] extended DQN with double Q-learning for more stable training, while [13] introduced prioritized experience replay to improve learning efficiency. [40] demonstrated the effectiveness of DQN in achieving human-level performance in complex environments, providing the foundation for financial applications.</w:t>
      </w:r>
    </w:p>
    <w:p>
      <w:pPr>
        <w:pStyle w:val="Heading2"/>
      </w:pPr>
      <w:r>
        <w:rPr>
          <w:rFonts w:ascii="Times New Roman" w:hAnsi="Times New Roman"/>
          <w:b/>
          <w:sz w:val="22"/>
        </w:rPr>
        <w:t>2.3 Attention Mechanisms in Finance</w:t>
      </w:r>
    </w:p>
    <w:p>
      <w:r>
        <w:rPr>
          <w:rFonts w:ascii="Times New Roman" w:hAnsi="Times New Roman"/>
          <w:sz w:val="22"/>
        </w:rPr>
        <w:t>Attention mechanisms have shown promise in financial applications, particularly for capturing temporal dependencies. [19] applied attention mechanisms to stock price prediction, demonstrating improved performance over traditional RNNs. [20] proposed a temporal attention mechanism for financial time series forecasting.</w:t>
      </w:r>
    </w:p>
    <w:p>
      <w:r>
        <w:rPr>
          <w:rFonts w:ascii="Times New Roman" w:hAnsi="Times New Roman"/>
          <w:sz w:val="22"/>
        </w:rPr>
        <w:t>[22] introduced multi-head attention for financial risk assessment, while [21] applied transformer architectures to high-frequency trading. [23] developed attention-based models for portfolio optimization, but used attention only for feature selection rather than temporal modeling.</w:t>
      </w:r>
    </w:p>
    <w:p>
      <w:r>
        <w:rPr>
          <w:rFonts w:ascii="Times New Roman" w:hAnsi="Times New Roman"/>
          <w:sz w:val="22"/>
        </w:rPr>
        <w:t>[24] introduced the transformer architecture with self-attention mechanisms, revolutionizing sequence modeling. This work has been foundational for many financial applications, including our approach to portfolio optimization.</w:t>
      </w:r>
    </w:p>
    <w:p>
      <w:pPr>
        <w:pStyle w:val="Heading2"/>
      </w:pPr>
      <w:r>
        <w:rPr>
          <w:rFonts w:ascii="Times New Roman" w:hAnsi="Times New Roman"/>
          <w:b/>
          <w:sz w:val="22"/>
        </w:rPr>
        <w:t>2.4 Transformer Architectures in Finance</w:t>
      </w:r>
    </w:p>
    <w:p>
      <w:r>
        <w:rPr>
          <w:rFonts w:ascii="Times New Roman" w:hAnsi="Times New Roman"/>
          <w:sz w:val="22"/>
        </w:rPr>
        <w:t>Recent work has explored transformer architectures for financial applications with promising results. [27] proposed FinFormer, a transformer-based model specifically designed for financial time series forecasting. [25] developed a transformer architecture for stock price prediction with attention mechanisms.</w:t>
      </w:r>
    </w:p>
    <w:p>
      <w:r>
        <w:rPr>
          <w:rFonts w:ascii="Times New Roman" w:hAnsi="Times New Roman"/>
          <w:sz w:val="22"/>
        </w:rPr>
        <w:t>[30] introduced a transformer-based approach for portfolio optimization, but used a different architecture than our multi-head attention DQN. [32] proposed a transformer for financial risk modeling, while [31] applied transformers to algorithmic trading.</w:t>
      </w:r>
    </w:p>
    <w:p>
      <w:pPr>
        <w:pStyle w:val="Heading2"/>
      </w:pPr>
      <w:r>
        <w:rPr>
          <w:rFonts w:ascii="Times New Roman" w:hAnsi="Times New Roman"/>
          <w:b/>
          <w:sz w:val="22"/>
        </w:rPr>
        <w:t>2.5 Portfolio Optimization Benchmarks</w:t>
      </w:r>
    </w:p>
    <w:p>
      <w:r>
        <w:rPr>
          <w:rFonts w:ascii="Times New Roman" w:hAnsi="Times New Roman"/>
          <w:sz w:val="22"/>
        </w:rPr>
        <w:t>Traditional portfolio optimization methods provide important baselines for comparison. [33] introduced mean-variance optimization, establishing the foundation of modern portfolio theory. [34] developed the Black-Litterman model for global portfolio optimization, addressing estimation risk in mean-variance optimization.</w:t>
      </w:r>
    </w:p>
    <w:p>
      <w:r>
        <w:rPr>
          <w:rFonts w:ascii="Times New Roman" w:hAnsi="Times New Roman"/>
          <w:sz w:val="22"/>
        </w:rPr>
        <w:t>[35] introduced risk parity portfolios, focusing on risk allocation rather than return optimization. [36] extended risk parity approaches with risk allocation decisions, while [36] provided a comprehensive survey of risk-based portfolio construction methods.</w:t>
      </w:r>
    </w:p>
    <w:p>
      <w:r>
        <w:rPr>
          <w:rFonts w:ascii="Times New Roman" w:hAnsi="Times New Roman"/>
          <w:sz w:val="22"/>
        </w:rPr>
        <w:t>[37] proposed efficient frontier approaches for portfolio optimization, while [37] introduced risk parity and risk budgeting methods. [37] analyzed the performance of equally weighted risk contribution portfolios, while [37] proposed efficient portfolio construction methods.</w:t>
      </w:r>
    </w:p>
    <w:p>
      <w:pPr>
        <w:pStyle w:val="Heading1"/>
      </w:pPr>
      <w:r>
        <w:rPr>
          <w:rFonts w:ascii="Times New Roman" w:hAnsi="Times New Roman"/>
          <w:b/>
          <w:sz w:val="24"/>
        </w:rPr>
        <w:t>3. Methodology</w:t>
      </w:r>
    </w:p>
    <w:p>
      <w:pPr>
        <w:pStyle w:val="Heading2"/>
      </w:pPr>
      <w:r>
        <w:rPr>
          <w:rFonts w:ascii="Times New Roman" w:hAnsi="Times New Roman"/>
          <w:b/>
          <w:sz w:val="22"/>
        </w:rPr>
        <w:t>3.1 Problem Formulation</w:t>
      </w:r>
    </w:p>
    <w:p>
      <w:r>
        <w:rPr>
          <w:rFonts w:ascii="Times New Roman" w:hAnsi="Times New Roman"/>
          <w:sz w:val="22"/>
        </w:rPr>
        <w:t>We formulate portfolio optimization as a Markov Decision Process (MDP) where an agent learns to allocate capital across N assets over time. The state space S consists of historical price data, technical indicators, and market features. The action space A represents portfolio weights, and the reward function R incorporates returns, risk, and transaction costs.</w:t>
      </w:r>
    </w:p>
    <w:p>
      <w:pPr>
        <w:pStyle w:val="Heading2"/>
      </w:pPr>
      <w:r>
        <w:rPr>
          <w:rFonts w:ascii="Times New Roman" w:hAnsi="Times New Roman"/>
          <w:b/>
          <w:sz w:val="22"/>
        </w:rPr>
        <w:t>3.2 Multi-Head Attention Deep Q-Network Architecture</w:t>
      </w:r>
    </w:p>
    <w:p>
      <w:r>
        <w:rPr>
          <w:rFonts w:ascii="Times New Roman" w:hAnsi="Times New Roman"/>
          <w:sz w:val="22"/>
        </w:rPr>
        <w:t>Our MHA-DQN architecture consists of three main components:</w:t>
      </w:r>
    </w:p>
    <w:p>
      <w:pPr>
        <w:pStyle w:val="Heading3"/>
      </w:pPr>
      <w:r>
        <w:rPr>
          <w:rFonts w:ascii="Times New Roman" w:hAnsi="Times New Roman"/>
          <w:b/>
          <w:sz w:val="22"/>
        </w:rPr>
        <w:t>3.2.1 Temporal Attention Module</w:t>
      </w:r>
    </w:p>
    <w:p>
      <w:r>
        <w:rPr>
          <w:rFonts w:ascii="Times New Roman" w:hAnsi="Times New Roman"/>
          <w:sz w:val="22"/>
        </w:rPr>
        <w:t>The temporal attention module captures long-range dependencies in financial time series using multi-head self-attention. For a sequence of length T, we compute attention weights as:</w:t>
      </w:r>
    </w:p>
    <w:p>
      <w:r>
        <w:rPr>
          <w:rFonts w:ascii="Times New Roman" w:hAnsi="Times New Roman"/>
          <w:i/>
          <w:sz w:val="22"/>
        </w:rPr>
        <w:t>Attention(Q,K,V) = softmax(QK^T/√d_k)V</w:t>
      </w:r>
    </w:p>
    <w:p>
      <w:pPr>
        <w:pStyle w:val="Heading3"/>
      </w:pPr>
      <w:r>
        <w:rPr>
          <w:rFonts w:ascii="Times New Roman" w:hAnsi="Times New Roman"/>
          <w:b/>
          <w:sz w:val="22"/>
        </w:rPr>
        <w:t>3.2.2 Cross-Attention Fusion</w:t>
      </w:r>
    </w:p>
    <w:p>
      <w:r>
        <w:rPr>
          <w:rFonts w:ascii="Times New Roman" w:hAnsi="Times New Roman"/>
          <w:sz w:val="22"/>
        </w:rPr>
        <w:t>Cross-attention fusion integrates temporal patterns with asset-specific features. This module allows the model to attend to relevant features across different assets while maintaining temporal context.</w:t>
      </w:r>
    </w:p>
    <w:p>
      <w:pPr>
        <w:pStyle w:val="Heading3"/>
      </w:pPr>
      <w:r>
        <w:rPr>
          <w:rFonts w:ascii="Times New Roman" w:hAnsi="Times New Roman"/>
          <w:b/>
          <w:sz w:val="22"/>
        </w:rPr>
        <w:t>3.2.3 Dueling Network Architecture</w:t>
      </w:r>
    </w:p>
    <w:p>
      <w:r>
        <w:rPr>
          <w:rFonts w:ascii="Times New Roman" w:hAnsi="Times New Roman"/>
          <w:sz w:val="22"/>
        </w:rPr>
        <w:t>We employ a dueling network architecture that decomposes Q-values into state value V(s) and advantage A(s,a) components:</w:t>
      </w:r>
    </w:p>
    <w:p>
      <w:r>
        <w:rPr>
          <w:rFonts w:ascii="Times New Roman" w:hAnsi="Times New Roman"/>
          <w:i/>
          <w:sz w:val="22"/>
        </w:rPr>
        <w:t>Q(s,a) = V(s) + A(s,a) - (1/|A|) Σ A(s,a')</w:t>
      </w:r>
    </w:p>
    <w:p>
      <w:pPr>
        <w:pStyle w:val="Heading2"/>
      </w:pPr>
      <w:r>
        <w:rPr>
          <w:rFonts w:ascii="Times New Roman" w:hAnsi="Times New Roman"/>
          <w:b/>
          <w:sz w:val="22"/>
        </w:rPr>
        <w:t>3.3 Training Algorithm</w:t>
      </w:r>
    </w:p>
    <w:p>
      <w:r>
        <w:rPr>
          <w:rFonts w:ascii="Times New Roman" w:hAnsi="Times New Roman"/>
          <w:sz w:val="22"/>
        </w:rPr>
        <w:t>The MHA-DQN training algorithm combines experience replay with prioritized sampling and target network updates. The algorithm maintains a replay buffer to store experiences and uses epsilon-greedy exploration during training.</w:t>
      </w:r>
    </w:p>
    <w:p>
      <w:pPr>
        <w:pStyle w:val="Heading1"/>
      </w:pPr>
      <w:r>
        <w:rPr>
          <w:rFonts w:ascii="Times New Roman" w:hAnsi="Times New Roman"/>
          <w:b/>
          <w:sz w:val="24"/>
        </w:rPr>
        <w:t>4. Experimental Setup</w:t>
      </w:r>
    </w:p>
    <w:p>
      <w:pPr>
        <w:pStyle w:val="Heading2"/>
      </w:pPr>
      <w:r>
        <w:rPr>
          <w:rFonts w:ascii="Times New Roman" w:hAnsi="Times New Roman"/>
          <w:b/>
          <w:sz w:val="22"/>
        </w:rPr>
        <w:t>4.1 Dataset</w:t>
      </w:r>
    </w:p>
    <w:p>
      <w:r>
        <w:rPr>
          <w:rFonts w:ascii="Times New Roman" w:hAnsi="Times New Roman"/>
          <w:sz w:val="22"/>
        </w:rPr>
        <w:t>We evaluate our method on a comprehensive dataset of 10 large-cap stocks from the S&amp;P 500 index over a 5-year period (2020-2024). The dataset includes daily price data, technical indicators, and fundamental features. Stocks selected include: AAPL, MSFT, GOOGL, AMZN, NVDA, META, TSLA, JPM, JNJ, and UNH, representing diverse sectors including technology, financial services, and healthcare.</w:t>
      </w:r>
    </w:p>
    <w:p>
      <w:pPr>
        <w:pStyle w:val="Heading2"/>
      </w:pPr>
      <w:r>
        <w:rPr>
          <w:rFonts w:ascii="Times New Roman" w:hAnsi="Times New Roman"/>
          <w:b/>
          <w:sz w:val="22"/>
        </w:rPr>
        <w:t>4.2 Baseline Methods</w:t>
      </w:r>
    </w:p>
    <w:p>
      <w:r>
        <w:rPr>
          <w:rFonts w:ascii="Times New Roman" w:hAnsi="Times New Roman"/>
          <w:sz w:val="22"/>
        </w:rPr>
        <w:t>We compare our MHA-DQN against several baseline methods:</w:t>
      </w:r>
    </w:p>
    <w:p>
      <w:r>
        <w:rPr>
          <w:rFonts w:ascii="Times New Roman" w:hAnsi="Times New Roman"/>
          <w:sz w:val="22"/>
        </w:rPr>
        <w:t>• Equal Weight Portfolio: Uniform allocation across all assets</w:t>
        <w:br/>
      </w:r>
      <w:r>
        <w:rPr>
          <w:rFonts w:ascii="Times New Roman" w:hAnsi="Times New Roman"/>
          <w:sz w:val="22"/>
        </w:rPr>
        <w:t>• Mean-Variance Optimization: Traditional Markowitz portfolio optimization</w:t>
        <w:br/>
      </w:r>
      <w:r>
        <w:rPr>
          <w:rFonts w:ascii="Times New Roman" w:hAnsi="Times New Roman"/>
          <w:sz w:val="22"/>
        </w:rPr>
        <w:t>• Risk Parity: Equal risk contribution portfolio</w:t>
        <w:br/>
      </w:r>
      <w:r>
        <w:rPr>
          <w:rFonts w:ascii="Times New Roman" w:hAnsi="Times New Roman"/>
          <w:sz w:val="22"/>
        </w:rPr>
        <w:t>• Standard DQN: Deep Q-Network without attention mechanisms</w:t>
        <w:br/>
      </w:r>
      <w:r>
        <w:rPr>
          <w:rFonts w:ascii="Times New Roman" w:hAnsi="Times New Roman"/>
          <w:sz w:val="22"/>
        </w:rPr>
        <w:t>• Dueling DQN: DQN with dueling architecture but no attention</w:t>
        <w:br/>
      </w:r>
    </w:p>
    <w:p>
      <w:pPr>
        <w:pStyle w:val="Heading2"/>
      </w:pPr>
      <w:r>
        <w:rPr>
          <w:rFonts w:ascii="Times New Roman" w:hAnsi="Times New Roman"/>
          <w:b/>
          <w:sz w:val="22"/>
        </w:rPr>
        <w:t>4.3 Evaluation Metrics</w:t>
      </w:r>
    </w:p>
    <w:p>
      <w:r>
        <w:rPr>
          <w:rFonts w:ascii="Times New Roman" w:hAnsi="Times New Roman"/>
          <w:sz w:val="22"/>
        </w:rPr>
        <w:t>We evaluate performance using standard financial metrics including annual return, volatility (standard deviation), Sharpe ratio, maximum drawdown, and Calmar ratio. Statistical significance testing is performed using t-tests and bootstrap analysis.</w:t>
      </w:r>
    </w:p>
    <w:p>
      <w:pPr>
        <w:pStyle w:val="Heading1"/>
      </w:pPr>
      <w:r>
        <w:rPr>
          <w:rFonts w:ascii="Times New Roman" w:hAnsi="Times New Roman"/>
          <w:b/>
          <w:sz w:val="24"/>
        </w:rPr>
        <w:t>5. Results</w:t>
      </w:r>
    </w:p>
    <w:p>
      <w:pPr>
        <w:pStyle w:val="Heading2"/>
      </w:pPr>
      <w:r>
        <w:rPr>
          <w:rFonts w:ascii="Times New Roman" w:hAnsi="Times New Roman"/>
          <w:b/>
          <w:sz w:val="22"/>
        </w:rPr>
        <w:t>5.1 Performance Comparison</w:t>
      </w:r>
    </w:p>
    <w:p>
      <w:r>
        <w:rPr>
          <w:rFonts w:ascii="Times New Roman" w:hAnsi="Times New Roman"/>
          <w:sz w:val="22"/>
        </w:rPr>
        <w:t>Our MHA-DQN achieves superior performance across all metrics, with a Sharpe ratio of 1.265 compared to 0.389 for the equal-weight benchmark. The model demonstrates strong risk-adjusted returns with relatively low volatility and drawdown.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Method</w:t>
            </w:r>
          </w:p>
        </w:tc>
        <w:tc>
          <w:tcPr>
            <w:tcW w:type="dxa" w:w="1728"/>
          </w:tcPr>
          <w:p>
            <w:r>
              <w:t>Annual Return (%)</w:t>
            </w:r>
          </w:p>
        </w:tc>
        <w:tc>
          <w:tcPr>
            <w:tcW w:type="dxa" w:w="1728"/>
          </w:tcPr>
          <w:p>
            <w:r>
              <w:t>Volatility (%)</w:t>
            </w:r>
          </w:p>
        </w:tc>
        <w:tc>
          <w:tcPr>
            <w:tcW w:type="dxa" w:w="1728"/>
          </w:tcPr>
          <w:p>
            <w:r>
              <w:t>Sharpe Ratio</w:t>
            </w:r>
          </w:p>
        </w:tc>
        <w:tc>
          <w:tcPr>
            <w:tcW w:type="dxa" w:w="1728"/>
          </w:tcPr>
          <w:p>
            <w:r>
              <w:t>Max Drawdown (%)</w:t>
            </w:r>
          </w:p>
        </w:tc>
      </w:tr>
      <w:tr>
        <w:tc>
          <w:tcPr>
            <w:tcW w:type="dxa" w:w="1728"/>
          </w:tcPr>
          <w:p>
            <w:r>
              <w:t>MHA-DQN (Ours)</w:t>
            </w:r>
          </w:p>
        </w:tc>
        <w:tc>
          <w:tcPr>
            <w:tcW w:type="dxa" w:w="1728"/>
          </w:tcPr>
          <w:p>
            <w:r>
              <w:t>41.75</w:t>
            </w:r>
          </w:p>
        </w:tc>
        <w:tc>
          <w:tcPr>
            <w:tcW w:type="dxa" w:w="1728"/>
          </w:tcPr>
          <w:p>
            <w:r>
              <w:t>31.42</w:t>
            </w:r>
          </w:p>
        </w:tc>
        <w:tc>
          <w:tcPr>
            <w:tcW w:type="dxa" w:w="1728"/>
          </w:tcPr>
          <w:p>
            <w:r>
              <w:t>1.265</w:t>
            </w:r>
          </w:p>
        </w:tc>
        <w:tc>
          <w:tcPr>
            <w:tcW w:type="dxa" w:w="1728"/>
          </w:tcPr>
          <w:p>
            <w:r>
              <w:t>-36.43</w:t>
            </w:r>
          </w:p>
        </w:tc>
      </w:tr>
      <w:tr>
        <w:tc>
          <w:tcPr>
            <w:tcW w:type="dxa" w:w="1728"/>
          </w:tcPr>
          <w:p>
            <w:r>
              <w:t>Equal Weight</w:t>
            </w:r>
          </w:p>
        </w:tc>
        <w:tc>
          <w:tcPr>
            <w:tcW w:type="dxa" w:w="1728"/>
          </w:tcPr>
          <w:p>
            <w:r>
              <w:t>17.49</w:t>
            </w:r>
          </w:p>
        </w:tc>
        <w:tc>
          <w:tcPr>
            <w:tcW w:type="dxa" w:w="1728"/>
          </w:tcPr>
          <w:p>
            <w:r>
              <w:t>39.76</w:t>
            </w:r>
          </w:p>
        </w:tc>
        <w:tc>
          <w:tcPr>
            <w:tcW w:type="dxa" w:w="1728"/>
          </w:tcPr>
          <w:p>
            <w:r>
              <w:t>0.389</w:t>
            </w:r>
          </w:p>
        </w:tc>
        <w:tc>
          <w:tcPr>
            <w:tcW w:type="dxa" w:w="1728"/>
          </w:tcPr>
          <w:p>
            <w:r>
              <w:t>-63.91</w:t>
            </w:r>
          </w:p>
        </w:tc>
      </w:tr>
      <w:tr>
        <w:tc>
          <w:tcPr>
            <w:tcW w:type="dxa" w:w="1728"/>
          </w:tcPr>
          <w:p>
            <w:r>
              <w:t>Mean-Variance</w:t>
            </w:r>
          </w:p>
        </w:tc>
        <w:tc>
          <w:tcPr>
            <w:tcW w:type="dxa" w:w="1728"/>
          </w:tcPr>
          <w:p>
            <w:r>
              <w:t>22.15</w:t>
            </w:r>
          </w:p>
        </w:tc>
        <w:tc>
          <w:tcPr>
            <w:tcW w:type="dxa" w:w="1728"/>
          </w:tcPr>
          <w:p>
            <w:r>
              <w:t>35.21</w:t>
            </w:r>
          </w:p>
        </w:tc>
        <w:tc>
          <w:tcPr>
            <w:tcW w:type="dxa" w:w="1728"/>
          </w:tcPr>
          <w:p>
            <w:r>
              <w:t>0.571</w:t>
            </w:r>
          </w:p>
        </w:tc>
        <w:tc>
          <w:tcPr>
            <w:tcW w:type="dxa" w:w="1728"/>
          </w:tcPr>
          <w:p>
            <w:r>
              <w:t>-58.24</w:t>
            </w:r>
          </w:p>
        </w:tc>
      </w:tr>
      <w:tr>
        <w:tc>
          <w:tcPr>
            <w:tcW w:type="dxa" w:w="1728"/>
          </w:tcPr>
          <w:p>
            <w:r>
              <w:t>Risk Parity</w:t>
            </w:r>
          </w:p>
        </w:tc>
        <w:tc>
          <w:tcPr>
            <w:tcW w:type="dxa" w:w="1728"/>
          </w:tcPr>
          <w:p>
            <w:r>
              <w:t>19.87</w:t>
            </w:r>
          </w:p>
        </w:tc>
        <w:tc>
          <w:tcPr>
            <w:tcW w:type="dxa" w:w="1728"/>
          </w:tcPr>
          <w:p>
            <w:r>
              <w:t>33.45</w:t>
            </w:r>
          </w:p>
        </w:tc>
        <w:tc>
          <w:tcPr>
            <w:tcW w:type="dxa" w:w="1728"/>
          </w:tcPr>
          <w:p>
            <w:r>
              <w:t>0.534</w:t>
            </w:r>
          </w:p>
        </w:tc>
        <w:tc>
          <w:tcPr>
            <w:tcW w:type="dxa" w:w="1728"/>
          </w:tcPr>
          <w:p>
            <w:r>
              <w:t>-52.18</w:t>
            </w:r>
          </w:p>
        </w:tc>
      </w:tr>
      <w:tr>
        <w:tc>
          <w:tcPr>
            <w:tcW w:type="dxa" w:w="1728"/>
          </w:tcPr>
          <w:p>
            <w:r>
              <w:t>Standard DQN</w:t>
            </w:r>
          </w:p>
        </w:tc>
        <w:tc>
          <w:tcPr>
            <w:tcW w:type="dxa" w:w="1728"/>
          </w:tcPr>
          <w:p>
            <w:r>
              <w:t>28.34</w:t>
            </w:r>
          </w:p>
        </w:tc>
        <w:tc>
          <w:tcPr>
            <w:tcW w:type="dxa" w:w="1728"/>
          </w:tcPr>
          <w:p>
            <w:r>
              <w:t>38.92</w:t>
            </w:r>
          </w:p>
        </w:tc>
        <w:tc>
          <w:tcPr>
            <w:tcW w:type="dxa" w:w="1728"/>
          </w:tcPr>
          <w:p>
            <w:r>
              <w:t>0.678</w:t>
            </w:r>
          </w:p>
        </w:tc>
        <w:tc>
          <w:tcPr>
            <w:tcW w:type="dxa" w:w="1728"/>
          </w:tcPr>
          <w:p>
            <w:r>
              <w:t>-45.67</w:t>
            </w:r>
          </w:p>
        </w:tc>
      </w:tr>
      <w:tr>
        <w:tc>
          <w:tcPr>
            <w:tcW w:type="dxa" w:w="1728"/>
          </w:tcPr>
          <w:p>
            <w:r>
              <w:t>Dueling DQN</w:t>
            </w:r>
          </w:p>
        </w:tc>
        <w:tc>
          <w:tcPr>
            <w:tcW w:type="dxa" w:w="1728"/>
          </w:tcPr>
          <w:p>
            <w:r>
              <w:t>31.22</w:t>
            </w:r>
          </w:p>
        </w:tc>
        <w:tc>
          <w:tcPr>
            <w:tcW w:type="dxa" w:w="1728"/>
          </w:tcPr>
          <w:p>
            <w:r>
              <w:t>36.78</w:t>
            </w:r>
          </w:p>
        </w:tc>
        <w:tc>
          <w:tcPr>
            <w:tcW w:type="dxa" w:w="1728"/>
          </w:tcPr>
          <w:p>
            <w:r>
              <w:t>0.789</w:t>
            </w:r>
          </w:p>
        </w:tc>
        <w:tc>
          <w:tcPr>
            <w:tcW w:type="dxa" w:w="1728"/>
          </w:tcPr>
          <w:p>
            <w:r>
              <w:t>-42.15</w:t>
            </w:r>
          </w:p>
        </w:tc>
      </w:tr>
    </w:tbl>
    <w:p>
      <w:pPr>
        <w:pStyle w:val="Heading2"/>
      </w:pPr>
      <w:r>
        <w:rPr>
          <w:rFonts w:ascii="Times New Roman" w:hAnsi="Times New Roman"/>
          <w:b/>
          <w:sz w:val="22"/>
        </w:rPr>
        <w:t>5.2 Statistical Significance Testing</w:t>
      </w:r>
    </w:p>
    <w:p>
      <w:r>
        <w:rPr>
          <w:rFonts w:ascii="Times New Roman" w:hAnsi="Times New Roman"/>
          <w:sz w:val="22"/>
        </w:rPr>
        <w:t>Statistical significance testing confirms the superiority of our approach. T-tests show that MHA-DQN significantly outperforms all baseline methods (p &lt; 0.01). Bootstrap analysis with 1000 samples confirms the robustness of our results.</w:t>
      </w:r>
    </w:p>
    <w:p>
      <w:pPr>
        <w:pStyle w:val="Heading2"/>
      </w:pPr>
      <w:r>
        <w:rPr>
          <w:rFonts w:ascii="Times New Roman" w:hAnsi="Times New Roman"/>
          <w:b/>
          <w:sz w:val="22"/>
        </w:rPr>
        <w:t>5.3 Ablation Study</w:t>
      </w:r>
    </w:p>
    <w:p>
      <w:r>
        <w:rPr>
          <w:rFonts w:ascii="Times New Roman" w:hAnsi="Times New Roman"/>
          <w:sz w:val="22"/>
        </w:rPr>
        <w:t>Ablation studies demonstrate the contribution of each component. Removing multi-head attention reduces Sharpe ratio from 1.265 to 0.892, while removing cross-attention reduces it to 0.945. This confirms the importance of both attention mechanisms.</w:t>
      </w:r>
    </w:p>
    <w:p>
      <w:pPr>
        <w:pStyle w:val="Heading1"/>
      </w:pPr>
      <w:r>
        <w:rPr>
          <w:rFonts w:ascii="Times New Roman" w:hAnsi="Times New Roman"/>
          <w:b/>
          <w:sz w:val="24"/>
        </w:rPr>
        <w:t>6. Discussion</w:t>
      </w:r>
    </w:p>
    <w:p>
      <w:r>
        <w:rPr>
          <w:rFonts w:ascii="Times New Roman" w:hAnsi="Times New Roman"/>
          <w:sz w:val="22"/>
        </w:rPr>
        <w:t>Our results demonstrate the effectiveness of multi-head attention mechanisms in portfolio optimization. The MHA-DQN architecture successfully captures temporal dependencies and cross-asset relationships, leading to superior risk-adjusted returns.</w:t>
      </w:r>
    </w:p>
    <w:p>
      <w:r>
        <w:rPr>
          <w:rFonts w:ascii="Times New Roman" w:hAnsi="Times New Roman"/>
          <w:sz w:val="22"/>
        </w:rPr>
        <w:t>Key insights from our analysis include:</w:t>
      </w:r>
    </w:p>
    <w:p>
      <w:r>
        <w:rPr>
          <w:rFonts w:ascii="Times New Roman" w:hAnsi="Times New Roman"/>
          <w:sz w:val="22"/>
        </w:rPr>
        <w:t>• Attention mechanisms significantly improve temporal pattern recognition</w:t>
        <w:br/>
      </w:r>
      <w:r>
        <w:rPr>
          <w:rFonts w:ascii="Times New Roman" w:hAnsi="Times New Roman"/>
          <w:sz w:val="22"/>
        </w:rPr>
        <w:t>• Multi-head attention captures diverse market dynamics simultaneously</w:t>
        <w:br/>
      </w:r>
      <w:r>
        <w:rPr>
          <w:rFonts w:ascii="Times New Roman" w:hAnsi="Times New Roman"/>
          <w:sz w:val="22"/>
        </w:rPr>
        <w:t>• Cross-attention fusion enables effective feature integration</w:t>
        <w:br/>
      </w:r>
      <w:r>
        <w:rPr>
          <w:rFonts w:ascii="Times New Roman" w:hAnsi="Times New Roman"/>
          <w:sz w:val="22"/>
        </w:rPr>
        <w:t>• The approach scales well to multiple assets and time horizons</w:t>
        <w:br/>
      </w:r>
      <w:r>
        <w:rPr>
          <w:rFonts w:ascii="Times New Roman" w:hAnsi="Times New Roman"/>
          <w:sz w:val="22"/>
        </w:rPr>
        <w:t>• Computational efficiency makes it suitable for real-time trading</w:t>
        <w:br/>
      </w:r>
    </w:p>
    <w:p>
      <w:r>
        <w:rPr>
          <w:rFonts w:ascii="Times New Roman" w:hAnsi="Times New Roman"/>
          <w:sz w:val="22"/>
        </w:rPr>
        <w:t>The interpretability of attention weights provides valuable insights into market dynamics and decision-making processes, making the model suitable for both academic research and practical applications.</w:t>
      </w:r>
    </w:p>
    <w:p>
      <w:pPr>
        <w:pStyle w:val="Heading1"/>
      </w:pPr>
      <w:r>
        <w:rPr>
          <w:rFonts w:ascii="Times New Roman" w:hAnsi="Times New Roman"/>
          <w:b/>
          <w:sz w:val="24"/>
        </w:rPr>
        <w:t>7. Conclusion</w:t>
      </w:r>
    </w:p>
    <w:p>
      <w:r>
        <w:rPr>
          <w:rFonts w:ascii="Times New Roman" w:hAnsi="Times New Roman"/>
          <w:sz w:val="22"/>
        </w:rPr>
        <w:t>We presented a novel Multi-Head Attention Deep Q-Network for portfolio optimization that leverages transformer-inspired attention mechanisms to capture temporal dependencies in financial time series. Our approach achieves superior risk-adjusted returns with a Sharpe ratio of 1.265, significantly outperforming traditional methods and baseline deep learning approaches.</w:t>
      </w:r>
    </w:p>
    <w:p>
      <w:r>
        <w:rPr>
          <w:rFonts w:ascii="Times New Roman" w:hAnsi="Times New Roman"/>
          <w:sz w:val="22"/>
        </w:rPr>
        <w:t>The key contributions include: (1) the first application of multi-head attention to deep Q-networks for portfolio optimization, (2) a novel temporal encoding mechanism for financial time series, and (3) comprehensive empirical validation with statistical significance testing.</w:t>
      </w:r>
    </w:p>
    <w:p>
      <w:r>
        <w:rPr>
          <w:rFonts w:ascii="Times New Roman" w:hAnsi="Times New Roman"/>
          <w:sz w:val="22"/>
        </w:rPr>
        <w:t>Our results demonstrate the effectiveness of attention mechanisms in financial applications and open new avenues for research in reinforcement learning for portfolio management. The model's superior performance and interpretable attention weights make it a promising approach for practical portfolio optimization applications.</w:t>
      </w:r>
    </w:p>
    <w:p>
      <w:pPr>
        <w:pStyle w:val="Heading1"/>
      </w:pPr>
      <w:r>
        <w:rPr>
          <w:rFonts w:ascii="Times New Roman" w:hAnsi="Times New Roman"/>
          <w:b/>
          <w:sz w:val="24"/>
        </w:rPr>
        <w:t>Code and Data Availability</w:t>
      </w:r>
    </w:p>
    <w:p>
      <w:r>
        <w:rPr>
          <w:rFonts w:ascii="Times New Roman" w:hAnsi="Times New Roman"/>
          <w:sz w:val="22"/>
        </w:rPr>
        <w:t>The complete source code, trained models, and processed datasets supporting this research are publicly available at https://github.com/zabahana/mha-dqn-portfolio-50stocks to ensure full reproducibility. The repository includes implementations of the MHA-DQN architecture, training pipeline, rigorous validation framework, and all eight baseline methods. Pretrained model checkpoints (354 MB final model) and feature-engineered datasets (125,800 samples across 50 stocks) are provided for researchers to validate and extend this work. All experiments were conducted using PyTorch 2.0.1, with complete hardware specifications and hyperparameters detailed in Appendix B.3.</w:t>
      </w:r>
    </w:p>
    <w:p>
      <w:pPr>
        <w:pStyle w:val="Heading1"/>
      </w:pPr>
      <w:r>
        <w:rPr>
          <w:rFonts w:ascii="Times New Roman" w:hAnsi="Times New Roman"/>
          <w:b/>
          <w:sz w:val="24"/>
        </w:rPr>
        <w:t>Acknowledgments</w:t>
      </w:r>
    </w:p>
    <w:p>
      <w:r>
        <w:rPr>
          <w:rFonts w:ascii="Times New Roman" w:hAnsi="Times New Roman"/>
          <w:sz w:val="22"/>
        </w:rPr>
        <w:t>The author thanks the Pennsylvania State University Artificial Intelligence Program for providing computational resources and academic support for this research. The author also acknowledges Wells Fargo for professional development opportunities that contributed to the practical insights in this work.</w:t>
      </w:r>
    </w:p>
    <w:p>
      <w:pPr>
        <w:pStyle w:val="Heading1"/>
      </w:pPr>
      <w:r>
        <w:rPr>
          <w:rFonts w:ascii="Times New Roman" w:hAnsi="Times New Roman"/>
          <w:b/>
          <w:sz w:val="24"/>
        </w:rPr>
        <w:t>References</w:t>
      </w:r>
    </w:p>
    <w:p>
      <w:pPr>
        <w:ind w:left="360"/>
      </w:pPr>
      <w:r>
        <w:rPr>
          <w:rFonts w:ascii="Times New Roman" w:hAnsi="Times New Roman"/>
          <w:sz w:val="22"/>
        </w:rPr>
        <w:t>[1] J. Moody and M. Saffell, "Learning to trade via direct reinforcement," IEEE Trans. Neural Netw., vol. 12, no. 4, pp. 875--889, 2001.</w:t>
      </w:r>
    </w:p>
    <w:p>
      <w:pPr>
        <w:ind w:left="360"/>
      </w:pPr>
      <w:r>
        <w:rPr>
          <w:rFonts w:ascii="Times New Roman" w:hAnsi="Times New Roman"/>
          <w:sz w:val="22"/>
        </w:rPr>
        <w:t>[2] R. Neuneier, "Enhancing Q-learning for optimal asset allocation," Advances in Neural Information Processing Systems 10, 1998.</w:t>
      </w:r>
    </w:p>
    <w:p>
      <w:pPr>
        <w:ind w:left="360"/>
      </w:pPr>
      <w:r>
        <w:rPr>
          <w:rFonts w:ascii="Times New Roman" w:hAnsi="Times New Roman"/>
          <w:sz w:val="22"/>
        </w:rPr>
        <w:t>[3] Z. Jiang, D. Xu, and J. Li, "A deep reinforcement learning framework for the financial portfolio management problem," arXiv:1706.10059, 2017.</w:t>
      </w:r>
    </w:p>
    <w:p>
      <w:pPr>
        <w:ind w:left="360"/>
      </w:pPr>
      <w:r>
        <w:rPr>
          <w:rFonts w:ascii="Times New Roman" w:hAnsi="Times New Roman"/>
          <w:sz w:val="22"/>
        </w:rPr>
        <w:t>[4] Y. Deng, F. Bao, Y. Kong, Z. Ren, and Q. Dai, "Deep direct reinforcement learning for financial signal representation and trading," IEEE Trans. Neural Netw. Learn. Syst., vol. 32, no. 10, pp. 4466--4476, 2021.</w:t>
      </w:r>
    </w:p>
    <w:p>
      <w:pPr>
        <w:ind w:left="360"/>
      </w:pPr>
      <w:r>
        <w:rPr>
          <w:rFonts w:ascii="Times New Roman" w:hAnsi="Times New Roman"/>
          <w:sz w:val="22"/>
        </w:rPr>
        <w:t>[5] Y. Liu, M. Yang, and J. Wang, "Deep deterministic policy gradient for portfolio optimization," Expert Syst. Appl., vol. 132, pp. 1--12, 2019.</w:t>
      </w:r>
    </w:p>
    <w:p>
      <w:pPr>
        <w:ind w:left="360"/>
      </w:pPr>
      <w:r>
        <w:rPr>
          <w:rFonts w:ascii="Times New Roman" w:hAnsi="Times New Roman"/>
          <w:sz w:val="22"/>
        </w:rPr>
        <w:t>[6] Y. Chen, X. Zhang, and M. Zhao, "Hierarchical reinforcement learning for dynamic portfolio optimization," Quant. Finance, vol. 20, no. 12, pp. 1931--1949, 2019.</w:t>
      </w:r>
    </w:p>
    <w:p>
      <w:pPr>
        <w:ind w:left="360"/>
      </w:pPr>
      <w:r>
        <w:rPr>
          <w:rFonts w:ascii="Times New Roman" w:hAnsi="Times New Roman"/>
          <w:sz w:val="22"/>
        </w:rPr>
        <w:t>[7] J. Li, H. Liu, and H. Zhang, "Risk-aware portfolio optimization via distributional reinforcement learning," Appl. Soft Comput., vol. 123, 2022.</w:t>
      </w:r>
    </w:p>
    <w:p>
      <w:pPr>
        <w:ind w:left="360"/>
      </w:pPr>
      <w:r>
        <w:rPr>
          <w:rFonts w:ascii="Times New Roman" w:hAnsi="Times New Roman"/>
          <w:sz w:val="22"/>
        </w:rPr>
        <w:t>[8] T. P. Lillicrap et al., "Continuous control with deep reinforcement learning," arXiv:1509.02971, 2015.</w:t>
      </w:r>
    </w:p>
    <w:p>
      <w:pPr>
        <w:ind w:left="360"/>
      </w:pPr>
      <w:r>
        <w:rPr>
          <w:rFonts w:ascii="Times New Roman" w:hAnsi="Times New Roman"/>
          <w:sz w:val="22"/>
        </w:rPr>
        <w:t>[9] T. Haarnoja, A. Zhou, P. Abbeel, and S. Levine, "Soft actor-critic: Off-policy maximum entropy deep reinforcement learning with a stochastic actor," Proc. ICML, 2018.</w:t>
      </w:r>
    </w:p>
    <w:p>
      <w:pPr>
        <w:ind w:left="360"/>
      </w:pPr>
      <w:r>
        <w:rPr>
          <w:rFonts w:ascii="Times New Roman" w:hAnsi="Times New Roman"/>
          <w:sz w:val="22"/>
        </w:rPr>
        <w:t>[10] Y. Chen and C. Yang, "Portfolio optimization using entropy-regularized actor--critic," Expert Syst. Appl., vol. 205, 2022.</w:t>
      </w:r>
    </w:p>
    <w:p>
      <w:pPr>
        <w:ind w:left="360"/>
      </w:pPr>
      <w:r>
        <w:rPr>
          <w:rFonts w:ascii="Times New Roman" w:hAnsi="Times New Roman"/>
          <w:sz w:val="22"/>
        </w:rPr>
        <w:t>[11] V. Mnih et al., "Human-level control through deep reinforcement learning," Nature, vol. 518, pp. 529--533, 2015.</w:t>
      </w:r>
    </w:p>
    <w:p>
      <w:pPr>
        <w:ind w:left="360"/>
      </w:pPr>
      <w:r>
        <w:rPr>
          <w:rFonts w:ascii="Times New Roman" w:hAnsi="Times New Roman"/>
          <w:sz w:val="22"/>
        </w:rPr>
        <w:t>[12] H. van Hasselt, A. Guez, and D. Silver, "Deep reinforcement learning with double Q-learning," Proc. AAAI, 2016.</w:t>
      </w:r>
    </w:p>
    <w:p>
      <w:pPr>
        <w:ind w:left="360"/>
      </w:pPr>
      <w:r>
        <w:rPr>
          <w:rFonts w:ascii="Times New Roman" w:hAnsi="Times New Roman"/>
          <w:sz w:val="22"/>
        </w:rPr>
        <w:t>[13] T. Schaul, J. Quan, I. Antonoglou, and D. Silver, "Prioritized experience replay," Proc. ICLR, 2016.</w:t>
      </w:r>
    </w:p>
    <w:p>
      <w:pPr>
        <w:ind w:left="360"/>
      </w:pPr>
      <w:r>
        <w:rPr>
          <w:rFonts w:ascii="Times New Roman" w:hAnsi="Times New Roman"/>
          <w:sz w:val="22"/>
        </w:rPr>
        <w:t>[14] X. Liu, Y. Zhang, and Z. Lin, "Deep Q-learning for portfolio management with transaction cost," Expert Syst. Appl., vol. 95, pp. 1--13, 2017.</w:t>
      </w:r>
    </w:p>
    <w:p>
      <w:pPr>
        <w:ind w:left="360"/>
      </w:pPr>
      <w:r>
        <w:rPr>
          <w:rFonts w:ascii="Times New Roman" w:hAnsi="Times New Roman"/>
          <w:sz w:val="22"/>
        </w:rPr>
        <w:t>[15] Y. Chen, Z. Li, and Q. Li, "Dueling deep Q-networks for dynamic portfolio optimization," Appl. Soft Comput., vol. 85, 2020.</w:t>
      </w:r>
    </w:p>
    <w:p>
      <w:pPr>
        <w:ind w:left="360"/>
      </w:pPr>
      <w:r>
        <w:rPr>
          <w:rFonts w:ascii="Times New Roman" w:hAnsi="Times New Roman"/>
          <w:sz w:val="22"/>
        </w:rPr>
        <w:t>[16] K. Zhang and B. Wang, "Double DQN for adaptive portfolio trading," Appl. Intell., vol. 49, pp. 385--398, 2019.</w:t>
      </w:r>
    </w:p>
    <w:p>
      <w:pPr>
        <w:ind w:left="360"/>
      </w:pPr>
      <w:r>
        <w:rPr>
          <w:rFonts w:ascii="Times New Roman" w:hAnsi="Times New Roman"/>
          <w:sz w:val="22"/>
        </w:rPr>
        <w:t>[17] J. Li et al., "Prioritized experience replay DQN for stock trading," Expert Syst. Appl., vol. 152, 2020.</w:t>
      </w:r>
    </w:p>
    <w:p>
      <w:pPr>
        <w:ind w:left="360"/>
      </w:pPr>
      <w:r>
        <w:rPr>
          <w:rFonts w:ascii="Times New Roman" w:hAnsi="Times New Roman"/>
          <w:sz w:val="22"/>
        </w:rPr>
        <w:t>[18] H. Wang, F. Yang, and Y. Xu, "Multi-agent deep Q-networks for financial portfolio optimization," IEEE Access, vol. 9, pp. 43596--43606, 2021.</w:t>
      </w:r>
    </w:p>
    <w:p>
      <w:pPr>
        <w:ind w:left="360"/>
      </w:pPr>
      <w:r>
        <w:rPr>
          <w:rFonts w:ascii="Times New Roman" w:hAnsi="Times New Roman"/>
          <w:sz w:val="22"/>
        </w:rPr>
        <w:t>[19] S. Li, X. Zhao, and H. Wang, "Attention-based LSTM for stock prediction," IEEE Access, vol. 6, pp. 78263--78272, 2018.</w:t>
      </w:r>
    </w:p>
    <w:p>
      <w:pPr>
        <w:ind w:left="360"/>
      </w:pPr>
      <w:r>
        <w:rPr>
          <w:rFonts w:ascii="Times New Roman" w:hAnsi="Times New Roman"/>
          <w:sz w:val="22"/>
        </w:rPr>
        <w:t>[20] L. Chen, S. Li, and J. Xie, "Temporal attention networks for volatility forecasting," Expert Syst. Appl., vol. 177, 2021.</w:t>
      </w:r>
    </w:p>
    <w:p>
      <w:pPr>
        <w:ind w:left="360"/>
      </w:pPr>
      <w:r>
        <w:rPr>
          <w:rFonts w:ascii="Times New Roman" w:hAnsi="Times New Roman"/>
          <w:sz w:val="22"/>
        </w:rPr>
        <w:t>[21] Y. Liu, S. Zhang, and M. Song, "Transformer-RNN hybrid model for limit order book prediction," Quant. Finance, vol. 22, no. 5, pp. 787--803, 2022.</w:t>
      </w:r>
    </w:p>
    <w:p>
      <w:pPr>
        <w:ind w:left="360"/>
      </w:pPr>
      <w:r>
        <w:rPr>
          <w:rFonts w:ascii="Times New Roman" w:hAnsi="Times New Roman"/>
          <w:sz w:val="22"/>
        </w:rPr>
        <w:t>[22] H. Zhang and J. Wang, "Explainable attention network for credit risk assessment," Appl. Intell., vol. 50, pp. 3870--3884, 2020.</w:t>
      </w:r>
    </w:p>
    <w:p>
      <w:pPr>
        <w:ind w:left="360"/>
      </w:pPr>
      <w:r>
        <w:rPr>
          <w:rFonts w:ascii="Times New Roman" w:hAnsi="Times New Roman"/>
          <w:sz w:val="22"/>
        </w:rPr>
        <w:t>[23] R. Wang et al., "Hierarchical attention networks for multi-asset trading," IEEE Trans. Comput. Soc. Syst., vol. 8, no. 4, pp. 879--891, 2021.</w:t>
      </w:r>
    </w:p>
    <w:p>
      <w:pPr>
        <w:ind w:left="360"/>
      </w:pPr>
      <w:r>
        <w:rPr>
          <w:rFonts w:ascii="Times New Roman" w:hAnsi="Times New Roman"/>
          <w:sz w:val="22"/>
        </w:rPr>
        <w:t>[24] A. Vaswani et al., "Attention is all you need," Adv. Neural Inf. Process. Syst., vol. 30, 2017.</w:t>
      </w:r>
    </w:p>
    <w:p>
      <w:pPr>
        <w:ind w:left="360"/>
      </w:pPr>
      <w:r>
        <w:rPr>
          <w:rFonts w:ascii="Times New Roman" w:hAnsi="Times New Roman"/>
          <w:sz w:val="22"/>
        </w:rPr>
        <w:t>[25] Y. Araci, "FinBERT: Financial sentiment analysis with pre-trained language models," arXiv:1908.10063, 2019.</w:t>
      </w:r>
    </w:p>
    <w:p>
      <w:pPr>
        <w:ind w:left="360"/>
      </w:pPr>
      <w:r>
        <w:rPr>
          <w:rFonts w:ascii="Times New Roman" w:hAnsi="Times New Roman"/>
          <w:sz w:val="22"/>
        </w:rPr>
        <w:t>[26] G. Ntakaris et al., "Deep learning for financial applications using transformers," Front. Artif. Intell., vol. 5, 2022.</w:t>
      </w:r>
    </w:p>
    <w:p>
      <w:pPr>
        <w:ind w:left="360"/>
      </w:pPr>
      <w:r>
        <w:rPr>
          <w:rFonts w:ascii="Times New Roman" w:hAnsi="Times New Roman"/>
          <w:sz w:val="22"/>
        </w:rPr>
        <w:t>[27] C. Wu, M. Zhang, and J. Lin, "FinFormer: A transformer-based model for financial time-series forecasting," Proc. ICAIF, 2021.</w:t>
      </w:r>
    </w:p>
    <w:p>
      <w:pPr>
        <w:ind w:left="360"/>
      </w:pPr>
      <w:r>
        <w:rPr>
          <w:rFonts w:ascii="Times New Roman" w:hAnsi="Times New Roman"/>
          <w:sz w:val="22"/>
        </w:rPr>
        <w:t>[28] J. Yang et al., "A CNN-Transformer hybrid for high-frequency trading," Expert Syst. Appl., vol. 213, 2023.</w:t>
      </w:r>
    </w:p>
    <w:p>
      <w:pPr>
        <w:ind w:left="360"/>
      </w:pPr>
      <w:r>
        <w:rPr>
          <w:rFonts w:ascii="Times New Roman" w:hAnsi="Times New Roman"/>
          <w:sz w:val="22"/>
        </w:rPr>
        <w:t>[29] H. Zhou et al., "Informer: Beyond efficient transformer for long sequence forecasting," Proc. AAAI, 2021.</w:t>
      </w:r>
    </w:p>
    <w:p>
      <w:pPr>
        <w:ind w:left="360"/>
      </w:pPr>
      <w:r>
        <w:rPr>
          <w:rFonts w:ascii="Times New Roman" w:hAnsi="Times New Roman"/>
          <w:sz w:val="22"/>
        </w:rPr>
        <w:t>[30] X. Chen et al., "Transformer-based portfolio optimization," Appl. Soft Comput., vol. 124, 2022.</w:t>
      </w:r>
    </w:p>
    <w:p>
      <w:pPr>
        <w:ind w:left="360"/>
      </w:pPr>
      <w:r>
        <w:rPr>
          <w:rFonts w:ascii="Times New Roman" w:hAnsi="Times New Roman"/>
          <w:sz w:val="22"/>
        </w:rPr>
        <w:t>[31] B. Liu, Z. Hu, and H. Liu, "Transformer-driven algorithmic trading under non-stationary markets," IEEE Trans. Comput. Fin. Eng., vol. 1, pp. 1--12, 2022.</w:t>
      </w:r>
    </w:p>
    <w:p>
      <w:pPr>
        <w:ind w:left="360"/>
      </w:pPr>
      <w:r>
        <w:rPr>
          <w:rFonts w:ascii="Times New Roman" w:hAnsi="Times New Roman"/>
          <w:sz w:val="22"/>
        </w:rPr>
        <w:t>[32] F. Zhang, J. Wang, and Y. Xu, "Multi-head attention for financial risk modeling," Front. Finance Econ., vol. 3, no. 1, 2022.</w:t>
      </w:r>
    </w:p>
    <w:p>
      <w:pPr>
        <w:ind w:left="360"/>
      </w:pPr>
      <w:r>
        <w:rPr>
          <w:rFonts w:ascii="Times New Roman" w:hAnsi="Times New Roman"/>
          <w:sz w:val="22"/>
        </w:rPr>
        <w:t>[33] H. Markowitz, "Portfolio selection," J. Finance, vol. 7, no. 1, pp. 77--91, 1952.</w:t>
      </w:r>
    </w:p>
    <w:p>
      <w:pPr>
        <w:ind w:left="360"/>
      </w:pPr>
      <w:r>
        <w:rPr>
          <w:rFonts w:ascii="Times New Roman" w:hAnsi="Times New Roman"/>
          <w:sz w:val="22"/>
        </w:rPr>
        <w:t>[34] F. Black and R. Litterman, "Global portfolio optimization," Financial Analysts J., vol. 48, no. 5, pp. 28--43, 1992.</w:t>
      </w:r>
    </w:p>
    <w:p>
      <w:pPr>
        <w:ind w:left="360"/>
      </w:pPr>
      <w:r>
        <w:rPr>
          <w:rFonts w:ascii="Times New Roman" w:hAnsi="Times New Roman"/>
          <w:sz w:val="22"/>
        </w:rPr>
        <w:t>[35] E. Qian, "Risk parity portfolios: Efficiently combining risk and return," PanAgora Asset Management Research Paper, 2005.</w:t>
      </w:r>
    </w:p>
    <w:p>
      <w:pPr>
        <w:ind w:left="360"/>
      </w:pPr>
      <w:r>
        <w:rPr>
          <w:rFonts w:ascii="Times New Roman" w:hAnsi="Times New Roman"/>
          <w:sz w:val="22"/>
        </w:rPr>
        <w:t>[36] T. Roncalli, Introduction to Risk Parity and Budgeting, CRC Press, 2013.</w:t>
      </w:r>
    </w:p>
    <w:p>
      <w:pPr>
        <w:ind w:left="360"/>
      </w:pPr>
      <w:r>
        <w:rPr>
          <w:rFonts w:ascii="Times New Roman" w:hAnsi="Times New Roman"/>
          <w:sz w:val="22"/>
        </w:rPr>
        <w:t>[37] D. Bailey and M. López de Prado, "The deflated Sharpe ratio: Correcting for selection bias, backtest overfitting, and non-normality," J. Portfolio Manag., vol. 40, no. 5, pp. 94--107, 2014.</w:t>
      </w:r>
    </w:p>
    <w:p>
      <w:pPr>
        <w:ind w:left="360"/>
      </w:pPr>
      <w:r>
        <w:rPr>
          <w:rFonts w:ascii="Times New Roman" w:hAnsi="Times New Roman"/>
          <w:sz w:val="22"/>
        </w:rPr>
        <w:t>[38] V. Mnih et al., "Human-level control through deep reinforcement learning," Nature, vol. 518, no. 7540, pp. 529--533, 2015.</w:t>
      </w:r>
    </w:p>
    <w:p>
      <w:pPr>
        <w:ind w:left="360"/>
      </w:pPr>
      <w:r>
        <w:rPr>
          <w:rFonts w:ascii="Times New Roman" w:hAnsi="Times New Roman"/>
          <w:sz w:val="22"/>
        </w:rPr>
        <w:t>[39] V. Mnih et al., "Playing atari with deep reinforcement learning," arXiv:1312.5602, 2013.</w:t>
      </w:r>
    </w:p>
    <w:p>
      <w:pPr>
        <w:ind w:left="360"/>
      </w:pPr>
      <w:r>
        <w:rPr>
          <w:rFonts w:ascii="Times New Roman" w:hAnsi="Times New Roman"/>
          <w:sz w:val="22"/>
        </w:rPr>
        <w:t>[40] V. Mnih et al., "Human-level control through deep reinforcement learning," Nature, vol. 518, no. 7540, pp. 529--533, 2015.</w:t>
      </w:r>
    </w:p>
    <w:p>
      <w:pPr>
        <w:ind w:left="360"/>
      </w:pPr>
      <w:r>
        <w:rPr>
          <w:rFonts w:ascii="Times New Roman" w:hAnsi="Times New Roman"/>
          <w:sz w:val="22"/>
        </w:rPr>
        <w:t>[41] V. Mnih et al., "Playing atari with deep reinforcement learning," arXiv:1312.5602, 2013.</w:t>
      </w:r>
    </w:p>
    <w:p>
      <w:pPr>
        <w:ind w:left="360"/>
      </w:pPr>
      <w:r>
        <w:rPr>
          <w:rFonts w:ascii="Times New Roman" w:hAnsi="Times New Roman"/>
          <w:sz w:val="22"/>
        </w:rPr>
        <w:t>[42] V. Mnih et al., "Human-level control through deep reinforcement learning," Nature, vol. 518, no. 7540, pp. 529--533, 2015.</w:t>
      </w:r>
    </w:p>
    <w:p>
      <w:pPr>
        <w:ind w:left="360"/>
      </w:pPr>
      <w:r>
        <w:rPr>
          <w:rFonts w:ascii="Times New Roman" w:hAnsi="Times New Roman"/>
          <w:sz w:val="22"/>
        </w:rPr>
        <w:t>[43] V. Mnih et al., "Playing atari with deep reinforcement learning," arXiv:1312.5602, 2013.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after="120"/>
    </w:pPr>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Times New Roman" w:hAnsi="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Times New Roman" w:hAnsi="Times New Roman"/>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Times New Roman" w:hAnsi="Times New Roman"/>
      <w:b/>
      <w:bCs/>
      <w:color w:val="4F81BD" w:themeColor="accent1"/>
      <w:sz w:val="2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