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Lives in urban/suburban ZIP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 (%)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4,736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15,264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20,000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23.7%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76.3%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Number of specialty mental health visits,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2.8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Received specialty mental health care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17.4%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11.7%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82.6%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Age in years,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(6.7)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Household income in $1,000s,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135.9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(35.8)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(271.5)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(242.4)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Personal vehicle in household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7.2%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7.6%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92.8%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92.4%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