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8C37" w14:textId="77777777" w:rsidR="00BB37F3" w:rsidRDefault="00BB37F3" w:rsidP="00FD640E">
      <w:pPr>
        <w:ind w:left="0" w:firstLine="0"/>
        <w:rPr>
          <w:rStyle w:val="Strong"/>
          <w:rFonts w:ascii="Times New Roman" w:hAnsi="Times New Roman"/>
          <w:sz w:val="24"/>
          <w:szCs w:val="24"/>
        </w:rPr>
      </w:pPr>
    </w:p>
    <w:p w14:paraId="0ADC5429" w14:textId="1F2A6A5F" w:rsidR="0042630B" w:rsidRPr="009D68C6" w:rsidRDefault="005E70F3" w:rsidP="00FD640E">
      <w:pPr>
        <w:ind w:left="0" w:firstLine="0"/>
        <w:jc w:val="center"/>
        <w:rPr>
          <w:rStyle w:val="Strong"/>
          <w:rFonts w:ascii="Times New Roman" w:hAnsi="Times New Roman"/>
          <w:sz w:val="24"/>
          <w:szCs w:val="24"/>
        </w:rPr>
      </w:pPr>
      <w:r w:rsidRPr="009D68C6">
        <w:rPr>
          <w:rStyle w:val="Strong"/>
          <w:rFonts w:ascii="Times New Roman" w:hAnsi="Times New Roman"/>
          <w:sz w:val="24"/>
          <w:szCs w:val="24"/>
        </w:rPr>
        <w:t>Universidad Antonio Rui</w:t>
      </w:r>
      <w:r w:rsidR="004C47E3" w:rsidRPr="009D68C6">
        <w:rPr>
          <w:rStyle w:val="Strong"/>
          <w:rFonts w:ascii="Times New Roman" w:hAnsi="Times New Roman"/>
          <w:sz w:val="24"/>
          <w:szCs w:val="24"/>
        </w:rPr>
        <w:t>z de Montoya</w:t>
      </w:r>
    </w:p>
    <w:p w14:paraId="11802EC0" w14:textId="77777777" w:rsidR="00F95A84" w:rsidRPr="009D68C6" w:rsidRDefault="00F95A84" w:rsidP="00FD640E">
      <w:pPr>
        <w:ind w:left="0" w:firstLine="0"/>
        <w:jc w:val="center"/>
        <w:rPr>
          <w:rStyle w:val="Strong"/>
          <w:rFonts w:ascii="Times New Roman" w:hAnsi="Times New Roman"/>
          <w:sz w:val="24"/>
          <w:szCs w:val="24"/>
        </w:rPr>
      </w:pPr>
      <w:r w:rsidRPr="009D68C6">
        <w:rPr>
          <w:rStyle w:val="Strong"/>
          <w:rFonts w:ascii="Times New Roman" w:hAnsi="Times New Roman"/>
          <w:sz w:val="24"/>
          <w:szCs w:val="24"/>
        </w:rPr>
        <w:t>Escuela de Posgrado</w:t>
      </w:r>
    </w:p>
    <w:p w14:paraId="725ED14D" w14:textId="77777777" w:rsidR="00C71A59" w:rsidRPr="009D68C6" w:rsidRDefault="00362F97" w:rsidP="00FD640E">
      <w:pPr>
        <w:rPr>
          <w:rFonts w:ascii="Times New Roman" w:hAnsi="Times New Roman"/>
          <w:sz w:val="24"/>
          <w:szCs w:val="24"/>
        </w:rPr>
      </w:pPr>
      <w:r w:rsidRPr="37384B14">
        <w:rPr>
          <w:rStyle w:val="Strong"/>
          <w:rFonts w:ascii="Times New Roman" w:hAnsi="Times New Roman"/>
          <w:b w:val="0"/>
          <w:bCs w:val="0"/>
          <w:sz w:val="24"/>
          <w:szCs w:val="24"/>
        </w:rPr>
        <w:t xml:space="preserve">         </w:t>
      </w:r>
    </w:p>
    <w:p w14:paraId="3886DAA8" w14:textId="246CF2AB" w:rsidR="00C71A59" w:rsidRPr="009D68C6" w:rsidRDefault="60761C6C" w:rsidP="00FD640E">
      <w:pPr>
        <w:ind w:left="0" w:firstLine="0"/>
        <w:jc w:val="center"/>
      </w:pPr>
      <w:r>
        <w:rPr>
          <w:noProof/>
          <w:lang w:val="es-PE" w:eastAsia="es-PE"/>
        </w:rPr>
        <w:drawing>
          <wp:inline distT="0" distB="0" distL="0" distR="0" wp14:anchorId="73EF7CB8" wp14:editId="094AF85C">
            <wp:extent cx="4572000" cy="1981230"/>
            <wp:effectExtent l="0" t="0" r="0" b="0"/>
            <wp:docPr id="406197780" name="Imagen 40619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t="26458" b="30208"/>
                    <a:stretch>
                      <a:fillRect/>
                    </a:stretch>
                  </pic:blipFill>
                  <pic:spPr>
                    <a:xfrm>
                      <a:off x="0" y="0"/>
                      <a:ext cx="4572000" cy="1981230"/>
                    </a:xfrm>
                    <a:prstGeom prst="rect">
                      <a:avLst/>
                    </a:prstGeom>
                  </pic:spPr>
                </pic:pic>
              </a:graphicData>
            </a:graphic>
          </wp:inline>
        </w:drawing>
      </w:r>
    </w:p>
    <w:p w14:paraId="0A37501D" w14:textId="77777777" w:rsidR="003A3FCE" w:rsidRPr="009D68C6" w:rsidRDefault="003A3FCE" w:rsidP="00FD640E">
      <w:pPr>
        <w:spacing w:after="0"/>
        <w:ind w:left="0" w:firstLine="0"/>
        <w:rPr>
          <w:rFonts w:ascii="Times New Roman" w:hAnsi="Times New Roman"/>
          <w:b/>
          <w:sz w:val="24"/>
          <w:szCs w:val="24"/>
        </w:rPr>
      </w:pPr>
    </w:p>
    <w:p w14:paraId="5DAB6C7B" w14:textId="77777777" w:rsidR="00C71A59" w:rsidRPr="009D68C6" w:rsidRDefault="00C71A59" w:rsidP="00FD640E">
      <w:pPr>
        <w:ind w:left="0" w:firstLine="0"/>
        <w:rPr>
          <w:rFonts w:ascii="Times New Roman" w:hAnsi="Times New Roman"/>
          <w:sz w:val="24"/>
          <w:szCs w:val="24"/>
        </w:rPr>
      </w:pPr>
    </w:p>
    <w:p w14:paraId="02EB378F" w14:textId="77777777" w:rsidR="00F95A84" w:rsidRPr="009D68C6" w:rsidRDefault="00F95A84" w:rsidP="00FD640E">
      <w:pPr>
        <w:ind w:left="0" w:firstLine="0"/>
        <w:rPr>
          <w:rFonts w:ascii="Times New Roman" w:hAnsi="Times New Roman"/>
          <w:sz w:val="24"/>
          <w:szCs w:val="24"/>
        </w:rPr>
      </w:pPr>
    </w:p>
    <w:p w14:paraId="6A05A809" w14:textId="77777777" w:rsidR="00F95A84" w:rsidRPr="009D68C6" w:rsidRDefault="00F95A84" w:rsidP="00FD640E">
      <w:pPr>
        <w:ind w:left="0" w:firstLine="0"/>
        <w:rPr>
          <w:rFonts w:ascii="Times New Roman" w:hAnsi="Times New Roman"/>
          <w:sz w:val="24"/>
          <w:szCs w:val="24"/>
        </w:rPr>
      </w:pPr>
    </w:p>
    <w:p w14:paraId="5A39BBE3" w14:textId="77777777" w:rsidR="00F95A84" w:rsidRPr="009D68C6" w:rsidRDefault="00F95A84" w:rsidP="00FD640E">
      <w:pPr>
        <w:ind w:left="0" w:firstLine="0"/>
        <w:rPr>
          <w:rFonts w:ascii="Times New Roman" w:hAnsi="Times New Roman"/>
          <w:sz w:val="24"/>
          <w:szCs w:val="24"/>
        </w:rPr>
      </w:pPr>
    </w:p>
    <w:p w14:paraId="41C8F396" w14:textId="77777777" w:rsidR="00F866BC" w:rsidRPr="009D68C6" w:rsidRDefault="00F866BC" w:rsidP="00FD640E">
      <w:pPr>
        <w:ind w:left="0" w:firstLine="0"/>
        <w:rPr>
          <w:rFonts w:ascii="Times New Roman" w:hAnsi="Times New Roman"/>
          <w:b/>
          <w:sz w:val="24"/>
          <w:szCs w:val="24"/>
          <w:lang w:val="es-PE"/>
        </w:rPr>
      </w:pPr>
    </w:p>
    <w:p w14:paraId="7E32E33E" w14:textId="53BAD9E6" w:rsidR="0053194A" w:rsidRPr="0053194A" w:rsidRDefault="000579A5" w:rsidP="00FD640E">
      <w:pPr>
        <w:ind w:left="0" w:firstLine="0"/>
        <w:jc w:val="center"/>
        <w:rPr>
          <w:rFonts w:ascii="Times New Roman" w:hAnsi="Times New Roman"/>
          <w:b/>
          <w:sz w:val="24"/>
          <w:szCs w:val="24"/>
          <w:lang w:val="es-PE"/>
        </w:rPr>
      </w:pPr>
      <w:bookmarkStart w:id="0" w:name="_Hlk211408195"/>
      <w:r>
        <w:rPr>
          <w:rFonts w:ascii="Times New Roman" w:hAnsi="Times New Roman"/>
          <w:b/>
          <w:bCs/>
          <w:sz w:val="24"/>
          <w:szCs w:val="24"/>
          <w:lang w:val="es-PE"/>
        </w:rPr>
        <w:t xml:space="preserve">Delimitación del concepto de “Libertad Externa” </w:t>
      </w:r>
      <w:r w:rsidR="00012D31">
        <w:rPr>
          <w:rFonts w:ascii="Times New Roman" w:hAnsi="Times New Roman"/>
          <w:b/>
          <w:bCs/>
          <w:sz w:val="24"/>
          <w:szCs w:val="24"/>
          <w:lang w:val="es-PE"/>
        </w:rPr>
        <w:t xml:space="preserve">en el pensamiento político </w:t>
      </w:r>
      <w:r>
        <w:rPr>
          <w:rFonts w:ascii="Times New Roman" w:hAnsi="Times New Roman"/>
          <w:b/>
          <w:bCs/>
          <w:sz w:val="24"/>
          <w:szCs w:val="24"/>
          <w:lang w:val="es-PE"/>
        </w:rPr>
        <w:t xml:space="preserve">y jurídico </w:t>
      </w:r>
      <w:r w:rsidR="0053194A" w:rsidRPr="0053194A">
        <w:rPr>
          <w:rFonts w:ascii="Times New Roman" w:hAnsi="Times New Roman"/>
          <w:b/>
          <w:bCs/>
          <w:sz w:val="24"/>
          <w:szCs w:val="24"/>
          <w:lang w:val="es-PE"/>
        </w:rPr>
        <w:t>de Kant</w:t>
      </w:r>
    </w:p>
    <w:bookmarkEnd w:id="0"/>
    <w:p w14:paraId="7780ADD6" w14:textId="25FC2AE1" w:rsidR="00667ACD" w:rsidRPr="0053194A" w:rsidRDefault="00667ACD" w:rsidP="00FD640E">
      <w:pPr>
        <w:ind w:left="0" w:firstLine="0"/>
        <w:rPr>
          <w:rFonts w:ascii="Times New Roman" w:hAnsi="Times New Roman"/>
          <w:color w:val="1F4E79"/>
          <w:sz w:val="24"/>
          <w:szCs w:val="24"/>
          <w:lang w:val="es-PE"/>
        </w:rPr>
      </w:pPr>
    </w:p>
    <w:p w14:paraId="72A3D3EC" w14:textId="77777777" w:rsidR="00F95A84" w:rsidRPr="009D68C6" w:rsidRDefault="00F95A84" w:rsidP="00FD640E">
      <w:pPr>
        <w:ind w:left="0" w:firstLine="0"/>
        <w:rPr>
          <w:rFonts w:ascii="Times New Roman" w:hAnsi="Times New Roman"/>
          <w:sz w:val="24"/>
          <w:szCs w:val="24"/>
        </w:rPr>
      </w:pPr>
    </w:p>
    <w:p w14:paraId="14C36B88" w14:textId="028A1C1D" w:rsidR="00B35EBF" w:rsidRPr="009D68C6" w:rsidRDefault="00F866BC" w:rsidP="00FD640E">
      <w:pPr>
        <w:ind w:left="0" w:firstLine="0"/>
        <w:jc w:val="center"/>
        <w:rPr>
          <w:rFonts w:ascii="Times New Roman" w:hAnsi="Times New Roman"/>
          <w:b/>
          <w:color w:val="1F4E79"/>
          <w:sz w:val="24"/>
          <w:szCs w:val="24"/>
        </w:rPr>
      </w:pPr>
      <w:r w:rsidRPr="009D68C6">
        <w:rPr>
          <w:rFonts w:ascii="Times New Roman" w:hAnsi="Times New Roman"/>
          <w:b/>
          <w:sz w:val="24"/>
          <w:szCs w:val="24"/>
        </w:rPr>
        <w:t>Plan de Tesis</w:t>
      </w:r>
    </w:p>
    <w:p w14:paraId="0D0B940D" w14:textId="77777777" w:rsidR="00F866BC" w:rsidRPr="009D68C6" w:rsidRDefault="00F866BC" w:rsidP="00FD640E">
      <w:pPr>
        <w:ind w:left="0" w:firstLine="0"/>
        <w:rPr>
          <w:rFonts w:ascii="Times New Roman" w:hAnsi="Times New Roman"/>
          <w:b/>
          <w:sz w:val="24"/>
          <w:szCs w:val="24"/>
        </w:rPr>
      </w:pPr>
    </w:p>
    <w:p w14:paraId="4008CC81" w14:textId="791747A8" w:rsidR="00F866BC" w:rsidRPr="009D68C6" w:rsidRDefault="00F866BC" w:rsidP="00FD640E">
      <w:pPr>
        <w:ind w:left="0" w:firstLine="0"/>
        <w:jc w:val="center"/>
        <w:rPr>
          <w:rFonts w:ascii="Times New Roman" w:hAnsi="Times New Roman"/>
          <w:color w:val="1F4E79"/>
          <w:sz w:val="24"/>
          <w:szCs w:val="24"/>
        </w:rPr>
      </w:pPr>
      <w:r w:rsidRPr="009D68C6">
        <w:rPr>
          <w:rFonts w:ascii="Times New Roman" w:hAnsi="Times New Roman"/>
          <w:b/>
          <w:sz w:val="24"/>
          <w:szCs w:val="24"/>
        </w:rPr>
        <w:t xml:space="preserve">Maestría en </w:t>
      </w:r>
      <w:r w:rsidR="00947EC7">
        <w:rPr>
          <w:rFonts w:ascii="Times New Roman" w:hAnsi="Times New Roman"/>
          <w:b/>
          <w:sz w:val="24"/>
          <w:szCs w:val="24"/>
        </w:rPr>
        <w:t>Filosofía</w:t>
      </w:r>
      <w:r w:rsidR="009171AC">
        <w:rPr>
          <w:rFonts w:ascii="Times New Roman" w:hAnsi="Times New Roman"/>
          <w:b/>
          <w:sz w:val="24"/>
          <w:szCs w:val="24"/>
        </w:rPr>
        <w:t xml:space="preserve"> </w:t>
      </w:r>
      <w:r w:rsidR="00CF5D3B">
        <w:rPr>
          <w:rFonts w:ascii="Times New Roman" w:hAnsi="Times New Roman"/>
          <w:b/>
          <w:sz w:val="24"/>
          <w:szCs w:val="24"/>
        </w:rPr>
        <w:t>c</w:t>
      </w:r>
      <w:r w:rsidRPr="009D68C6">
        <w:rPr>
          <w:rFonts w:ascii="Times New Roman" w:hAnsi="Times New Roman"/>
          <w:b/>
          <w:sz w:val="24"/>
          <w:szCs w:val="24"/>
        </w:rPr>
        <w:t>on mención en</w:t>
      </w:r>
      <w:r w:rsidR="00947EC7">
        <w:rPr>
          <w:rFonts w:ascii="Times New Roman" w:hAnsi="Times New Roman"/>
          <w:b/>
          <w:sz w:val="24"/>
          <w:szCs w:val="24"/>
        </w:rPr>
        <w:t xml:space="preserve"> Ética y Política</w:t>
      </w:r>
    </w:p>
    <w:p w14:paraId="0E27B00A" w14:textId="77777777" w:rsidR="00F95A84" w:rsidRPr="009D68C6" w:rsidRDefault="00F95A84" w:rsidP="00FD640E">
      <w:pPr>
        <w:ind w:left="0" w:firstLine="0"/>
        <w:rPr>
          <w:rFonts w:ascii="Times New Roman" w:hAnsi="Times New Roman"/>
          <w:b/>
          <w:sz w:val="24"/>
          <w:szCs w:val="24"/>
        </w:rPr>
      </w:pPr>
    </w:p>
    <w:p w14:paraId="02497DA7" w14:textId="0C63D016" w:rsidR="00A50FD4" w:rsidRPr="009D68C6" w:rsidRDefault="009171AC" w:rsidP="00FD640E">
      <w:pPr>
        <w:tabs>
          <w:tab w:val="center" w:pos="5214"/>
          <w:tab w:val="left" w:pos="7110"/>
        </w:tabs>
        <w:ind w:left="0" w:firstLine="708"/>
        <w:rPr>
          <w:rFonts w:ascii="Times New Roman" w:hAnsi="Times New Roman"/>
          <w:b/>
          <w:sz w:val="24"/>
          <w:szCs w:val="24"/>
          <w:lang w:val="es-PE"/>
        </w:rPr>
      </w:pPr>
      <w:r>
        <w:rPr>
          <w:rFonts w:ascii="Times New Roman" w:hAnsi="Times New Roman"/>
          <w:b/>
          <w:sz w:val="24"/>
          <w:szCs w:val="24"/>
        </w:rPr>
        <w:tab/>
      </w:r>
      <w:r w:rsidR="00A50FD4" w:rsidRPr="009D68C6">
        <w:rPr>
          <w:rFonts w:ascii="Times New Roman" w:hAnsi="Times New Roman"/>
          <w:b/>
          <w:sz w:val="24"/>
          <w:szCs w:val="24"/>
        </w:rPr>
        <w:t>P</w:t>
      </w:r>
      <w:r w:rsidR="00C71A59" w:rsidRPr="009D68C6">
        <w:rPr>
          <w:rFonts w:ascii="Times New Roman" w:hAnsi="Times New Roman"/>
          <w:b/>
          <w:sz w:val="24"/>
          <w:szCs w:val="24"/>
        </w:rPr>
        <w:t xml:space="preserve">resenta el </w:t>
      </w:r>
      <w:r w:rsidR="00413498" w:rsidRPr="009D68C6">
        <w:rPr>
          <w:rFonts w:ascii="Times New Roman" w:hAnsi="Times New Roman"/>
          <w:b/>
          <w:sz w:val="24"/>
          <w:szCs w:val="24"/>
        </w:rPr>
        <w:t>B</w:t>
      </w:r>
      <w:r w:rsidR="00A50FD4" w:rsidRPr="009D68C6">
        <w:rPr>
          <w:rFonts w:ascii="Times New Roman" w:hAnsi="Times New Roman"/>
          <w:b/>
          <w:sz w:val="24"/>
          <w:szCs w:val="24"/>
        </w:rPr>
        <w:t>achiller:</w:t>
      </w:r>
      <w:r>
        <w:rPr>
          <w:rFonts w:ascii="Times New Roman" w:hAnsi="Times New Roman"/>
          <w:b/>
          <w:sz w:val="24"/>
          <w:szCs w:val="24"/>
        </w:rPr>
        <w:t xml:space="preserve"> </w:t>
      </w:r>
      <w:r w:rsidR="00947EC7">
        <w:rPr>
          <w:rFonts w:ascii="Times New Roman" w:hAnsi="Times New Roman"/>
          <w:b/>
          <w:sz w:val="24"/>
          <w:szCs w:val="24"/>
          <w:lang w:val="es-PE"/>
        </w:rPr>
        <w:t>Fernando García Alcalá</w:t>
      </w:r>
    </w:p>
    <w:p w14:paraId="60061E4C" w14:textId="77777777" w:rsidR="00F95A84" w:rsidRPr="009D68C6" w:rsidRDefault="00F95A84" w:rsidP="00FD640E">
      <w:pPr>
        <w:ind w:left="0" w:firstLine="0"/>
        <w:jc w:val="center"/>
        <w:rPr>
          <w:rFonts w:ascii="Times New Roman" w:hAnsi="Times New Roman"/>
          <w:b/>
          <w:sz w:val="24"/>
          <w:szCs w:val="24"/>
          <w:lang w:val="es-PE"/>
        </w:rPr>
      </w:pPr>
    </w:p>
    <w:p w14:paraId="4FA65DB7" w14:textId="18A8FD74" w:rsidR="00C71A59" w:rsidRPr="009D68C6" w:rsidRDefault="00362F97" w:rsidP="00FD640E">
      <w:pPr>
        <w:ind w:left="0" w:firstLine="0"/>
        <w:jc w:val="center"/>
        <w:rPr>
          <w:rFonts w:ascii="Times New Roman" w:hAnsi="Times New Roman"/>
          <w:b/>
          <w:sz w:val="24"/>
          <w:szCs w:val="24"/>
        </w:rPr>
      </w:pPr>
      <w:r w:rsidRPr="009D68C6">
        <w:rPr>
          <w:rFonts w:ascii="Times New Roman" w:hAnsi="Times New Roman"/>
          <w:b/>
          <w:sz w:val="24"/>
          <w:szCs w:val="24"/>
        </w:rPr>
        <w:t xml:space="preserve">AÑO </w:t>
      </w:r>
      <w:r w:rsidR="00947EC7" w:rsidRPr="009670F6">
        <w:rPr>
          <w:rFonts w:ascii="Times New Roman" w:hAnsi="Times New Roman"/>
          <w:b/>
          <w:sz w:val="24"/>
          <w:szCs w:val="24"/>
        </w:rPr>
        <w:t>202</w:t>
      </w:r>
      <w:r w:rsidR="000579A5">
        <w:rPr>
          <w:rFonts w:ascii="Times New Roman" w:hAnsi="Times New Roman"/>
          <w:b/>
          <w:sz w:val="24"/>
          <w:szCs w:val="24"/>
        </w:rPr>
        <w:t>6</w:t>
      </w:r>
    </w:p>
    <w:p w14:paraId="44EAFD9C" w14:textId="77777777" w:rsidR="00480E46" w:rsidRPr="009D68C6" w:rsidRDefault="00480E46" w:rsidP="00FD640E">
      <w:pPr>
        <w:ind w:left="0" w:firstLine="0"/>
        <w:jc w:val="center"/>
        <w:rPr>
          <w:rFonts w:ascii="Times New Roman" w:hAnsi="Times New Roman"/>
          <w:b/>
          <w:color w:val="1F4E79"/>
          <w:sz w:val="24"/>
          <w:szCs w:val="24"/>
        </w:rPr>
      </w:pPr>
    </w:p>
    <w:p w14:paraId="35E44A10" w14:textId="77777777" w:rsidR="004D6F59" w:rsidRPr="009D68C6" w:rsidRDefault="00AE213D" w:rsidP="00FD640E">
      <w:pPr>
        <w:ind w:left="0" w:firstLine="0"/>
        <w:jc w:val="center"/>
        <w:rPr>
          <w:rFonts w:ascii="Times New Roman" w:hAnsi="Times New Roman"/>
          <w:color w:val="0000FF"/>
          <w:sz w:val="24"/>
          <w:szCs w:val="24"/>
        </w:rPr>
      </w:pPr>
      <w:r w:rsidRPr="009D68C6">
        <w:rPr>
          <w:rFonts w:ascii="Times New Roman" w:hAnsi="Times New Roman"/>
          <w:b/>
          <w:sz w:val="24"/>
          <w:szCs w:val="24"/>
        </w:rPr>
        <w:t>LIMA,</w:t>
      </w:r>
      <w:r w:rsidR="00C71A59" w:rsidRPr="009D68C6">
        <w:rPr>
          <w:rFonts w:ascii="Times New Roman" w:hAnsi="Times New Roman"/>
          <w:b/>
          <w:sz w:val="24"/>
          <w:szCs w:val="24"/>
        </w:rPr>
        <w:t xml:space="preserve"> </w:t>
      </w:r>
      <w:r w:rsidR="00A50FD4" w:rsidRPr="009D68C6">
        <w:rPr>
          <w:rFonts w:ascii="Times New Roman" w:hAnsi="Times New Roman"/>
          <w:b/>
          <w:sz w:val="24"/>
          <w:szCs w:val="24"/>
        </w:rPr>
        <w:t>PERÚ</w:t>
      </w:r>
    </w:p>
    <w:p w14:paraId="041CBE9D" w14:textId="77777777" w:rsidR="00142CCE" w:rsidRDefault="00142CCE" w:rsidP="00FD640E">
      <w:pPr>
        <w:ind w:left="0" w:firstLine="0"/>
        <w:rPr>
          <w:rFonts w:ascii="Times New Roman" w:hAnsi="Times New Roman"/>
          <w:b/>
          <w:color w:val="1F4E79"/>
          <w:sz w:val="24"/>
          <w:szCs w:val="24"/>
        </w:rPr>
      </w:pPr>
    </w:p>
    <w:p w14:paraId="25738D63" w14:textId="77777777" w:rsidR="0063446B" w:rsidRDefault="0063446B" w:rsidP="00FD640E">
      <w:pPr>
        <w:spacing w:line="360" w:lineRule="auto"/>
        <w:ind w:left="0" w:firstLine="0"/>
        <w:rPr>
          <w:rFonts w:ascii="Times New Roman" w:hAnsi="Times New Roman"/>
          <w:b/>
          <w:sz w:val="24"/>
          <w:szCs w:val="24"/>
          <w:u w:val="single"/>
        </w:rPr>
      </w:pPr>
    </w:p>
    <w:p w14:paraId="549694F5" w14:textId="4612AC5B" w:rsidR="0053194A" w:rsidRDefault="0053194A" w:rsidP="000579A5">
      <w:pPr>
        <w:spacing w:line="360" w:lineRule="auto"/>
        <w:ind w:left="0" w:firstLine="0"/>
        <w:jc w:val="center"/>
        <w:rPr>
          <w:rFonts w:ascii="Times New Roman" w:hAnsi="Times New Roman"/>
          <w:b/>
          <w:sz w:val="24"/>
          <w:szCs w:val="24"/>
          <w:u w:val="single"/>
        </w:rPr>
      </w:pPr>
      <w:r>
        <w:rPr>
          <w:rFonts w:ascii="Times New Roman" w:hAnsi="Times New Roman"/>
          <w:b/>
          <w:sz w:val="24"/>
          <w:szCs w:val="24"/>
          <w:u w:val="single"/>
        </w:rPr>
        <w:lastRenderedPageBreak/>
        <w:t>Índice</w:t>
      </w:r>
    </w:p>
    <w:p w14:paraId="556B07BC" w14:textId="061487A0" w:rsidR="0053194A" w:rsidRDefault="0053194A" w:rsidP="00FD640E">
      <w:pPr>
        <w:spacing w:line="360" w:lineRule="auto"/>
        <w:ind w:left="0" w:firstLine="0"/>
        <w:rPr>
          <w:rFonts w:ascii="Times New Roman" w:hAnsi="Times New Roman"/>
          <w:b/>
          <w:sz w:val="24"/>
          <w:szCs w:val="24"/>
          <w:u w:val="single"/>
        </w:rPr>
      </w:pPr>
    </w:p>
    <w:p w14:paraId="5A5E8E66" w14:textId="5E218EC5" w:rsidR="0053194A" w:rsidRDefault="0053194A" w:rsidP="00FD640E">
      <w:pPr>
        <w:spacing w:line="360" w:lineRule="auto"/>
        <w:ind w:left="0" w:firstLine="0"/>
        <w:rPr>
          <w:rFonts w:ascii="Times New Roman" w:hAnsi="Times New Roman"/>
          <w:sz w:val="24"/>
          <w:szCs w:val="24"/>
        </w:rPr>
      </w:pPr>
      <w:r>
        <w:rPr>
          <w:rFonts w:ascii="Times New Roman" w:hAnsi="Times New Roman"/>
          <w:sz w:val="24"/>
          <w:szCs w:val="24"/>
        </w:rPr>
        <w:t>- Introducción</w:t>
      </w:r>
      <w:r w:rsidR="00006502">
        <w:rPr>
          <w:rFonts w:ascii="Times New Roman" w:hAnsi="Times New Roman"/>
          <w:sz w:val="24"/>
          <w:szCs w:val="24"/>
        </w:rPr>
        <w:t xml:space="preserve"> </w:t>
      </w:r>
      <w:r w:rsidR="00006502">
        <w:rPr>
          <w:rFonts w:ascii="Times New Roman" w:hAnsi="Times New Roman"/>
          <w:sz w:val="24"/>
          <w:szCs w:val="24"/>
        </w:rPr>
        <w:tab/>
      </w:r>
      <w:r w:rsidR="000579A5">
        <w:rPr>
          <w:rFonts w:ascii="Times New Roman" w:hAnsi="Times New Roman"/>
          <w:sz w:val="24"/>
          <w:szCs w:val="24"/>
        </w:rPr>
        <w:tab/>
      </w:r>
      <w:r w:rsidR="000579A5">
        <w:rPr>
          <w:rFonts w:ascii="Times New Roman" w:hAnsi="Times New Roman"/>
          <w:sz w:val="24"/>
          <w:szCs w:val="24"/>
        </w:rPr>
        <w:tab/>
      </w:r>
      <w:r w:rsidR="00006502">
        <w:rPr>
          <w:rFonts w:ascii="Times New Roman" w:hAnsi="Times New Roman"/>
          <w:sz w:val="24"/>
          <w:szCs w:val="24"/>
        </w:rPr>
        <w:t>……………………………………………………. P.</w:t>
      </w:r>
      <w:r w:rsidR="00FB6BD7">
        <w:rPr>
          <w:rFonts w:ascii="Times New Roman" w:hAnsi="Times New Roman"/>
          <w:sz w:val="24"/>
          <w:szCs w:val="24"/>
        </w:rPr>
        <w:t>3</w:t>
      </w:r>
    </w:p>
    <w:p w14:paraId="3B884639" w14:textId="4F5931B5" w:rsidR="0053194A" w:rsidRDefault="0053194A" w:rsidP="00FD640E">
      <w:pPr>
        <w:spacing w:line="360" w:lineRule="auto"/>
        <w:ind w:left="0" w:firstLine="0"/>
        <w:rPr>
          <w:rFonts w:ascii="Times New Roman" w:hAnsi="Times New Roman"/>
          <w:sz w:val="24"/>
          <w:szCs w:val="24"/>
        </w:rPr>
      </w:pPr>
      <w:r>
        <w:rPr>
          <w:rFonts w:ascii="Times New Roman" w:hAnsi="Times New Roman"/>
          <w:sz w:val="24"/>
          <w:szCs w:val="24"/>
        </w:rPr>
        <w:t xml:space="preserve">- </w:t>
      </w:r>
      <w:r w:rsidR="000579A5">
        <w:rPr>
          <w:rFonts w:ascii="Times New Roman" w:hAnsi="Times New Roman"/>
          <w:sz w:val="24"/>
          <w:szCs w:val="24"/>
        </w:rPr>
        <w:t>Capítulo 1</w:t>
      </w:r>
      <w:r w:rsidR="000579A5">
        <w:rPr>
          <w:rFonts w:ascii="Times New Roman" w:hAnsi="Times New Roman"/>
          <w:sz w:val="24"/>
          <w:szCs w:val="24"/>
        </w:rPr>
        <w:tab/>
      </w:r>
      <w:r w:rsidR="000579A5">
        <w:rPr>
          <w:rFonts w:ascii="Times New Roman" w:hAnsi="Times New Roman"/>
          <w:sz w:val="24"/>
          <w:szCs w:val="24"/>
        </w:rPr>
        <w:tab/>
      </w:r>
      <w:r w:rsidR="000579A5">
        <w:rPr>
          <w:rFonts w:ascii="Times New Roman" w:hAnsi="Times New Roman"/>
          <w:sz w:val="24"/>
          <w:szCs w:val="24"/>
        </w:rPr>
        <w:tab/>
      </w:r>
      <w:r w:rsidR="002E7504">
        <w:rPr>
          <w:rFonts w:ascii="Times New Roman" w:hAnsi="Times New Roman"/>
          <w:sz w:val="24"/>
          <w:szCs w:val="24"/>
        </w:rPr>
        <w:tab/>
      </w:r>
      <w:r w:rsidR="002E7504">
        <w:rPr>
          <w:rFonts w:ascii="Times New Roman" w:hAnsi="Times New Roman"/>
          <w:sz w:val="24"/>
          <w:szCs w:val="24"/>
        </w:rPr>
        <w:tab/>
        <w:t>……………………………………………. P.</w:t>
      </w:r>
      <w:r w:rsidR="00FB6BD7">
        <w:rPr>
          <w:rFonts w:ascii="Times New Roman" w:hAnsi="Times New Roman"/>
          <w:sz w:val="24"/>
          <w:szCs w:val="24"/>
        </w:rPr>
        <w:t>4</w:t>
      </w:r>
    </w:p>
    <w:p w14:paraId="5C93C5EF" w14:textId="36770C99" w:rsidR="000579A5" w:rsidRDefault="000579A5" w:rsidP="000579A5">
      <w:pPr>
        <w:spacing w:line="360" w:lineRule="auto"/>
        <w:ind w:left="0" w:firstLine="0"/>
        <w:rPr>
          <w:rFonts w:ascii="Times New Roman" w:hAnsi="Times New Roman"/>
          <w:sz w:val="24"/>
          <w:szCs w:val="24"/>
        </w:rPr>
      </w:pPr>
      <w:r>
        <w:rPr>
          <w:rFonts w:ascii="Times New Roman" w:hAnsi="Times New Roman"/>
          <w:sz w:val="24"/>
          <w:szCs w:val="24"/>
        </w:rPr>
        <w:t xml:space="preserve">- Capítulo </w:t>
      </w:r>
      <w:r>
        <w:rPr>
          <w:rFonts w:ascii="Times New Roman" w:hAnsi="Times New Roman"/>
          <w:sz w:val="24"/>
          <w:szCs w:val="24"/>
        </w:rPr>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P.4</w:t>
      </w:r>
    </w:p>
    <w:p w14:paraId="2C1D3811" w14:textId="634DE8A5" w:rsidR="000579A5" w:rsidRDefault="000579A5" w:rsidP="000579A5">
      <w:pPr>
        <w:spacing w:line="360" w:lineRule="auto"/>
        <w:ind w:left="0" w:firstLine="0"/>
        <w:rPr>
          <w:rFonts w:ascii="Times New Roman" w:hAnsi="Times New Roman"/>
          <w:sz w:val="24"/>
          <w:szCs w:val="24"/>
        </w:rPr>
      </w:pPr>
      <w:r>
        <w:rPr>
          <w:rFonts w:ascii="Times New Roman" w:hAnsi="Times New Roman"/>
          <w:sz w:val="24"/>
          <w:szCs w:val="24"/>
        </w:rPr>
        <w:t xml:space="preserve">- Capítulo </w:t>
      </w:r>
      <w:r>
        <w:rPr>
          <w:rFonts w:ascii="Times New Roman" w:hAnsi="Times New Roman"/>
          <w:sz w:val="24"/>
          <w:szCs w:val="24"/>
        </w:rPr>
        <w:t>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P.4</w:t>
      </w:r>
    </w:p>
    <w:p w14:paraId="5CA3ADCF" w14:textId="72A4B152" w:rsidR="0053194A" w:rsidRDefault="0053194A" w:rsidP="00FD640E">
      <w:pPr>
        <w:spacing w:line="360" w:lineRule="auto"/>
        <w:ind w:left="0" w:firstLine="0"/>
        <w:rPr>
          <w:rFonts w:ascii="Times New Roman" w:hAnsi="Times New Roman"/>
          <w:sz w:val="24"/>
          <w:szCs w:val="24"/>
        </w:rPr>
      </w:pPr>
      <w:r>
        <w:rPr>
          <w:rFonts w:ascii="Times New Roman" w:hAnsi="Times New Roman"/>
          <w:sz w:val="24"/>
          <w:szCs w:val="24"/>
        </w:rPr>
        <w:t>- Referencias bibliográficas</w:t>
      </w:r>
      <w:r w:rsidR="002E7504">
        <w:rPr>
          <w:rFonts w:ascii="Times New Roman" w:hAnsi="Times New Roman"/>
          <w:sz w:val="24"/>
          <w:szCs w:val="24"/>
        </w:rPr>
        <w:tab/>
      </w:r>
      <w:r w:rsidR="002E7504">
        <w:rPr>
          <w:rFonts w:ascii="Times New Roman" w:hAnsi="Times New Roman"/>
          <w:sz w:val="24"/>
          <w:szCs w:val="24"/>
        </w:rPr>
        <w:tab/>
        <w:t>……………………………………………………. P.</w:t>
      </w:r>
      <w:r w:rsidR="00FB6BD7">
        <w:rPr>
          <w:rFonts w:ascii="Times New Roman" w:hAnsi="Times New Roman"/>
          <w:sz w:val="24"/>
          <w:szCs w:val="24"/>
        </w:rPr>
        <w:t>6</w:t>
      </w:r>
    </w:p>
    <w:p w14:paraId="16321E78" w14:textId="10712EE1" w:rsidR="00C4780B" w:rsidRPr="0053194A" w:rsidRDefault="00C4780B" w:rsidP="00546B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720"/>
        </w:tabs>
        <w:spacing w:line="360" w:lineRule="auto"/>
        <w:ind w:left="0" w:firstLine="0"/>
        <w:rPr>
          <w:rFonts w:ascii="Times New Roman" w:hAnsi="Times New Roman"/>
          <w:color w:val="000000" w:themeColor="text1"/>
          <w:sz w:val="24"/>
          <w:szCs w:val="24"/>
          <w:lang w:val="es-PE"/>
        </w:rPr>
      </w:pPr>
    </w:p>
    <w:p w14:paraId="230DE4C0" w14:textId="77777777" w:rsidR="00C4780B" w:rsidRPr="00C4780B" w:rsidRDefault="00C4780B" w:rsidP="00C478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720"/>
        </w:tabs>
        <w:spacing w:line="360" w:lineRule="auto"/>
        <w:ind w:left="0" w:firstLine="0"/>
        <w:rPr>
          <w:rFonts w:ascii="Times New Roman" w:hAnsi="Times New Roman"/>
          <w:sz w:val="24"/>
          <w:szCs w:val="24"/>
          <w:lang w:val="es-PE"/>
        </w:rPr>
      </w:pPr>
    </w:p>
    <w:p w14:paraId="1AAE1727" w14:textId="77777777" w:rsidR="0053194A" w:rsidRDefault="0053194A" w:rsidP="00FD640E">
      <w:pPr>
        <w:spacing w:after="0"/>
        <w:ind w:left="0" w:firstLine="0"/>
        <w:rPr>
          <w:rFonts w:ascii="Times New Roman" w:hAnsi="Times New Roman"/>
          <w:b/>
          <w:sz w:val="24"/>
          <w:szCs w:val="24"/>
          <w:u w:val="single"/>
        </w:rPr>
      </w:pPr>
      <w:r>
        <w:rPr>
          <w:rFonts w:ascii="Times New Roman" w:hAnsi="Times New Roman"/>
          <w:b/>
          <w:sz w:val="24"/>
          <w:szCs w:val="24"/>
          <w:u w:val="single"/>
        </w:rPr>
        <w:br w:type="page"/>
      </w:r>
    </w:p>
    <w:p w14:paraId="659F16FA" w14:textId="7F62BC80" w:rsidR="00670045" w:rsidRPr="00670045" w:rsidRDefault="00670045" w:rsidP="00670045">
      <w:pPr>
        <w:spacing w:line="360" w:lineRule="auto"/>
        <w:jc w:val="center"/>
        <w:rPr>
          <w:rFonts w:ascii="Times New Roman" w:hAnsi="Times New Roman"/>
          <w:b/>
          <w:bCs/>
          <w:sz w:val="24"/>
          <w:szCs w:val="24"/>
          <w:u w:val="single"/>
        </w:rPr>
      </w:pPr>
      <w:r w:rsidRPr="00670045">
        <w:rPr>
          <w:rFonts w:ascii="Times New Roman" w:hAnsi="Times New Roman"/>
          <w:b/>
          <w:bCs/>
          <w:sz w:val="24"/>
          <w:szCs w:val="24"/>
          <w:u w:val="single"/>
        </w:rPr>
        <w:lastRenderedPageBreak/>
        <w:t>Introducción</w:t>
      </w:r>
    </w:p>
    <w:p w14:paraId="23416584" w14:textId="77777777" w:rsidR="00670045" w:rsidRPr="009666E0" w:rsidRDefault="00670045" w:rsidP="00670045">
      <w:pPr>
        <w:spacing w:line="360" w:lineRule="auto"/>
        <w:rPr>
          <w:rFonts w:ascii="Times New Roman" w:hAnsi="Times New Roman"/>
          <w:sz w:val="24"/>
          <w:szCs w:val="24"/>
          <w:u w:val="single"/>
        </w:rPr>
      </w:pPr>
    </w:p>
    <w:p w14:paraId="1EE033A0" w14:textId="77777777" w:rsidR="00670045" w:rsidRPr="009666E0" w:rsidRDefault="00670045" w:rsidP="00670045">
      <w:pPr>
        <w:spacing w:line="360" w:lineRule="auto"/>
        <w:ind w:firstLine="708"/>
        <w:rPr>
          <w:rFonts w:ascii="Times New Roman" w:hAnsi="Times New Roman"/>
          <w:sz w:val="24"/>
          <w:szCs w:val="24"/>
        </w:rPr>
      </w:pPr>
      <w:r w:rsidRPr="009666E0">
        <w:rPr>
          <w:rFonts w:ascii="Times New Roman" w:hAnsi="Times New Roman"/>
          <w:sz w:val="24"/>
          <w:szCs w:val="24"/>
        </w:rPr>
        <w:t xml:space="preserve">Este trabajo busca delimitar el concepto de libertad externa en la filosofía política y del derecho de Kant. Para ello, se busca examinar los textos en donde Kant establece este concepto y complementar la interpretación con los libros de K. Flikschuh (2000) y A. Ripstein (2009) en donde desarrollan la doctrina del derecho de Kant. </w:t>
      </w:r>
    </w:p>
    <w:p w14:paraId="1A293D38" w14:textId="77777777" w:rsidR="00670045" w:rsidRPr="009666E0" w:rsidRDefault="00670045" w:rsidP="00670045">
      <w:pPr>
        <w:spacing w:line="360" w:lineRule="auto"/>
        <w:ind w:firstLine="708"/>
        <w:rPr>
          <w:rFonts w:ascii="Times New Roman" w:hAnsi="Times New Roman"/>
          <w:sz w:val="24"/>
          <w:szCs w:val="24"/>
        </w:rPr>
      </w:pPr>
      <w:r w:rsidRPr="009666E0">
        <w:rPr>
          <w:rFonts w:ascii="Times New Roman" w:hAnsi="Times New Roman"/>
          <w:sz w:val="24"/>
          <w:szCs w:val="24"/>
        </w:rPr>
        <w:t xml:space="preserve">Es importante considerar que la filosofía crítica de Kant representa un sistema articulado que redefine el sentido dogmático de la metafísica. Para Kant, las ideas de libertad y libertad externa se pueden entender como unas nociones que son regulativa para los actos, dejando una normativa que emana de su propia racionalidad. En este sentido, la filosofía del derecho y política de Kant, corresponden a un esfuerzo de sistematizar principios normativos metafísicos mediante el uso práctico de la razón. </w:t>
      </w:r>
    </w:p>
    <w:p w14:paraId="3B1E5ABF" w14:textId="77777777" w:rsidR="00670045" w:rsidRPr="009666E0" w:rsidRDefault="00670045" w:rsidP="00670045">
      <w:pPr>
        <w:spacing w:line="360" w:lineRule="auto"/>
        <w:ind w:firstLine="708"/>
        <w:rPr>
          <w:rFonts w:ascii="Times New Roman" w:hAnsi="Times New Roman"/>
          <w:sz w:val="24"/>
          <w:szCs w:val="24"/>
        </w:rPr>
      </w:pPr>
      <w:r w:rsidRPr="009666E0">
        <w:rPr>
          <w:rFonts w:ascii="Times New Roman" w:hAnsi="Times New Roman"/>
          <w:sz w:val="24"/>
          <w:szCs w:val="24"/>
        </w:rPr>
        <w:t>Esto equivale a decir que no es una descripción de la realidad, ni que se pueden encontrar tales principios normativos en la experiencia. La fuerza normativa de las ideas tiene un carácter distinto que la observación empírica, porque se funda en conceptos a priori que la razón formula en un esfuerzo, primero para cohesionar el sentido de la experiencia, y luego, orientada hacia la consecución práctica de los objetivos humanos.</w:t>
      </w:r>
    </w:p>
    <w:p w14:paraId="168C1D38" w14:textId="77777777" w:rsidR="00670045" w:rsidRPr="009666E0" w:rsidRDefault="00670045" w:rsidP="00670045">
      <w:pPr>
        <w:spacing w:line="360" w:lineRule="auto"/>
        <w:ind w:firstLine="708"/>
        <w:rPr>
          <w:rFonts w:ascii="Times New Roman" w:hAnsi="Times New Roman"/>
          <w:sz w:val="24"/>
          <w:szCs w:val="24"/>
        </w:rPr>
      </w:pPr>
      <w:r w:rsidRPr="009666E0">
        <w:rPr>
          <w:rFonts w:ascii="Times New Roman" w:hAnsi="Times New Roman"/>
          <w:sz w:val="24"/>
          <w:szCs w:val="24"/>
        </w:rPr>
        <w:t xml:space="preserve">La libertad, como idea regulativa de la razón, tiene un importante espacio en el apartado moral de Kant. Esta libertad es autonomía y representa la agencia humana cuando se guía por máximas que la razón produce. Podemos decir que, para Kant, el ser humano tiene dos dimensiones complementarias y coexistentes. Por un lado, su cuerpo físico está restringido por las leyes naturales, y, por lo tanto, tiene un grado de determinación. Por otro lado, el uso de su razón le hace pertenecer a un ámbito en que tiene una libertad que trasciende lo físico, en la medida en que existe autodeterminación para actuar. Kant pone el énfasis en la dirección del arbitrio mediante las máximas de la razón, y solo en este sentido moral, se entiende como libre. </w:t>
      </w:r>
    </w:p>
    <w:p w14:paraId="184999EE" w14:textId="77777777" w:rsidR="00670045" w:rsidRPr="009666E0" w:rsidRDefault="00670045" w:rsidP="00670045">
      <w:pPr>
        <w:spacing w:line="360" w:lineRule="auto"/>
        <w:ind w:firstLine="708"/>
        <w:rPr>
          <w:rFonts w:ascii="Times New Roman" w:hAnsi="Times New Roman"/>
          <w:sz w:val="24"/>
          <w:szCs w:val="24"/>
        </w:rPr>
      </w:pPr>
      <w:r w:rsidRPr="009666E0">
        <w:rPr>
          <w:rFonts w:ascii="Times New Roman" w:hAnsi="Times New Roman"/>
          <w:sz w:val="24"/>
          <w:szCs w:val="24"/>
        </w:rPr>
        <w:t>Esta libertad es interior, pero para entender el complejo fenómeno social en donde diversos individuos se encuentran y se influyen recíprocamente, y al considerar la necesidad de entrar en relaciones civiles, es que hace falta extender la idea de libertad interior o moral, hacia un concepto de libertad de los actos exteriores.</w:t>
      </w:r>
    </w:p>
    <w:p w14:paraId="5AA2F5DC" w14:textId="77777777" w:rsidR="00670045" w:rsidRPr="009666E0" w:rsidRDefault="00670045" w:rsidP="00670045">
      <w:pPr>
        <w:spacing w:line="360" w:lineRule="auto"/>
        <w:ind w:firstLine="708"/>
        <w:rPr>
          <w:rFonts w:ascii="Times New Roman" w:hAnsi="Times New Roman"/>
          <w:sz w:val="24"/>
          <w:szCs w:val="24"/>
        </w:rPr>
      </w:pPr>
      <w:r w:rsidRPr="009666E0">
        <w:rPr>
          <w:rFonts w:ascii="Times New Roman" w:hAnsi="Times New Roman"/>
          <w:sz w:val="24"/>
          <w:szCs w:val="24"/>
        </w:rPr>
        <w:lastRenderedPageBreak/>
        <w:t xml:space="preserve">La necesidad de extender las leyes interiores hacia una racionalidad de las leyes exteriores, suponen un fundamento jurídico que establece la condición civil como tal y permite que se despliegue un orden público. Para esta extensión, es fundamental el concepto de libertad externa.  </w:t>
      </w:r>
    </w:p>
    <w:p w14:paraId="38BECDD1" w14:textId="77777777" w:rsidR="00670045" w:rsidRDefault="00670045" w:rsidP="00670045">
      <w:pPr>
        <w:spacing w:line="360" w:lineRule="auto"/>
        <w:ind w:firstLine="708"/>
        <w:rPr>
          <w:rFonts w:ascii="Times New Roman" w:hAnsi="Times New Roman"/>
          <w:sz w:val="24"/>
          <w:szCs w:val="24"/>
        </w:rPr>
      </w:pPr>
      <w:r w:rsidRPr="009666E0">
        <w:rPr>
          <w:rFonts w:ascii="Times New Roman" w:hAnsi="Times New Roman"/>
          <w:sz w:val="24"/>
          <w:szCs w:val="24"/>
        </w:rPr>
        <w:t xml:space="preserve">Kant tiene diversas dimensiones que habremos de revisar sobre el concepto de libertad externa y atenderemos a tres puntuales escritos en el primer capítulo. En el segundo, se buscará rescatar el concepto de Flikschuh sobre la libertad externa en cuanto una obligación política mutua. En el tercer capítulo se busca identificar la interpretación de Ripstein sobre la libertad externa en cuanto libertad equitativa, y cómo se asocia a la soberanía, el consentimiento y el uso legítimo de la fuerza pública. </w:t>
      </w:r>
    </w:p>
    <w:p w14:paraId="589B6AE5" w14:textId="128B26F8" w:rsidR="00670045" w:rsidRPr="009666E0" w:rsidRDefault="00670045" w:rsidP="00670045">
      <w:pPr>
        <w:spacing w:line="360" w:lineRule="auto"/>
        <w:ind w:firstLine="708"/>
        <w:rPr>
          <w:rFonts w:ascii="Times New Roman" w:hAnsi="Times New Roman"/>
          <w:sz w:val="24"/>
          <w:szCs w:val="24"/>
        </w:rPr>
      </w:pPr>
      <w:r>
        <w:rPr>
          <w:rFonts w:ascii="Times New Roman" w:hAnsi="Times New Roman"/>
          <w:sz w:val="24"/>
          <w:szCs w:val="24"/>
        </w:rPr>
        <w:t xml:space="preserve">Se propone el siguiente esquema de desarrollo. </w:t>
      </w:r>
    </w:p>
    <w:p w14:paraId="1693E9D5" w14:textId="77777777" w:rsidR="00670045" w:rsidRPr="00670045" w:rsidRDefault="00670045" w:rsidP="00670045">
      <w:pPr>
        <w:ind w:firstLine="708"/>
        <w:rPr>
          <w:rFonts w:ascii="Times New Roman" w:hAnsi="Times New Roman"/>
        </w:rPr>
      </w:pPr>
      <w:r w:rsidRPr="00670045">
        <w:rPr>
          <w:rFonts w:ascii="Times New Roman" w:hAnsi="Times New Roman"/>
        </w:rPr>
        <w:t>1.</w:t>
      </w:r>
      <w:r w:rsidRPr="00670045">
        <w:rPr>
          <w:rFonts w:ascii="Times New Roman" w:hAnsi="Times New Roman"/>
        </w:rPr>
        <w:tab/>
        <w:t>La libertad exterior en Kant</w:t>
      </w:r>
    </w:p>
    <w:p w14:paraId="437E3E16" w14:textId="0A6A713D" w:rsidR="00670045" w:rsidRPr="00670045" w:rsidRDefault="00670045" w:rsidP="00030023">
      <w:pPr>
        <w:ind w:left="1416" w:firstLine="708"/>
        <w:rPr>
          <w:rFonts w:ascii="Times New Roman" w:hAnsi="Times New Roman"/>
        </w:rPr>
      </w:pPr>
      <w:r w:rsidRPr="00670045">
        <w:rPr>
          <w:rFonts w:ascii="Times New Roman" w:hAnsi="Times New Roman"/>
        </w:rPr>
        <w:t>1.1.</w:t>
      </w:r>
      <w:r w:rsidRPr="00670045">
        <w:rPr>
          <w:rFonts w:ascii="Times New Roman" w:hAnsi="Times New Roman"/>
        </w:rPr>
        <w:tab/>
        <w:t>Distinción entre libertad interior y exterior</w:t>
      </w:r>
    </w:p>
    <w:p w14:paraId="5D20A430" w14:textId="77777777" w:rsidR="00670045" w:rsidRPr="00670045" w:rsidRDefault="00670045" w:rsidP="00030023">
      <w:pPr>
        <w:ind w:left="2124" w:firstLine="708"/>
        <w:rPr>
          <w:rFonts w:ascii="Times New Roman" w:hAnsi="Times New Roman"/>
        </w:rPr>
      </w:pPr>
      <w:r w:rsidRPr="00670045">
        <w:rPr>
          <w:rFonts w:ascii="Times New Roman" w:hAnsi="Times New Roman"/>
        </w:rPr>
        <w:t>1.1.1</w:t>
      </w:r>
      <w:r w:rsidRPr="00670045">
        <w:rPr>
          <w:rFonts w:ascii="Times New Roman" w:hAnsi="Times New Roman"/>
        </w:rPr>
        <w:tab/>
        <w:t>Relación entre las facultades del alma y las leyes morales</w:t>
      </w:r>
    </w:p>
    <w:p w14:paraId="00348745" w14:textId="77777777" w:rsidR="00670045" w:rsidRPr="00670045" w:rsidRDefault="00670045" w:rsidP="00030023">
      <w:pPr>
        <w:ind w:left="2124" w:firstLine="708"/>
        <w:rPr>
          <w:rFonts w:ascii="Times New Roman" w:hAnsi="Times New Roman"/>
        </w:rPr>
      </w:pPr>
      <w:r w:rsidRPr="00670045">
        <w:rPr>
          <w:rFonts w:ascii="Times New Roman" w:hAnsi="Times New Roman"/>
        </w:rPr>
        <w:t>1.1.2</w:t>
      </w:r>
      <w:r w:rsidRPr="00670045">
        <w:rPr>
          <w:rFonts w:ascii="Times New Roman" w:hAnsi="Times New Roman"/>
        </w:rPr>
        <w:tab/>
        <w:t>Sobre la necesidad de una metafísica de las costumbres</w:t>
      </w:r>
    </w:p>
    <w:p w14:paraId="062D7AF6" w14:textId="77777777" w:rsidR="00670045" w:rsidRPr="00670045" w:rsidRDefault="00670045" w:rsidP="00030023">
      <w:pPr>
        <w:ind w:left="2124" w:firstLine="708"/>
        <w:rPr>
          <w:rFonts w:ascii="Times New Roman" w:hAnsi="Times New Roman"/>
        </w:rPr>
      </w:pPr>
      <w:r w:rsidRPr="00670045">
        <w:rPr>
          <w:rFonts w:ascii="Times New Roman" w:hAnsi="Times New Roman"/>
        </w:rPr>
        <w:t>1.1.3</w:t>
      </w:r>
      <w:r w:rsidRPr="00670045">
        <w:rPr>
          <w:rFonts w:ascii="Times New Roman" w:hAnsi="Times New Roman"/>
        </w:rPr>
        <w:tab/>
        <w:t>División de la metafísica de las costumbres</w:t>
      </w:r>
    </w:p>
    <w:p w14:paraId="49301755" w14:textId="77777777" w:rsidR="00670045" w:rsidRPr="00670045" w:rsidRDefault="00670045" w:rsidP="00030023">
      <w:pPr>
        <w:ind w:left="2124" w:firstLine="708"/>
        <w:rPr>
          <w:rFonts w:ascii="Times New Roman" w:hAnsi="Times New Roman"/>
        </w:rPr>
      </w:pPr>
      <w:r w:rsidRPr="00670045">
        <w:rPr>
          <w:rFonts w:ascii="Times New Roman" w:hAnsi="Times New Roman"/>
        </w:rPr>
        <w:t>1.1.4</w:t>
      </w:r>
      <w:r w:rsidRPr="00670045">
        <w:rPr>
          <w:rFonts w:ascii="Times New Roman" w:hAnsi="Times New Roman"/>
        </w:rPr>
        <w:tab/>
        <w:t>Libertad interior y otras nociones previas a la teoría del derecho</w:t>
      </w:r>
    </w:p>
    <w:p w14:paraId="60247523" w14:textId="77777777" w:rsidR="00670045" w:rsidRPr="00670045" w:rsidRDefault="00670045" w:rsidP="00030023">
      <w:pPr>
        <w:ind w:left="2124" w:firstLine="708"/>
        <w:rPr>
          <w:rFonts w:ascii="Times New Roman" w:hAnsi="Times New Roman"/>
        </w:rPr>
      </w:pPr>
      <w:r w:rsidRPr="00670045">
        <w:rPr>
          <w:rFonts w:ascii="Times New Roman" w:hAnsi="Times New Roman"/>
        </w:rPr>
        <w:t>1.1.5</w:t>
      </w:r>
      <w:r w:rsidRPr="00670045">
        <w:rPr>
          <w:rFonts w:ascii="Times New Roman" w:hAnsi="Times New Roman"/>
        </w:rPr>
        <w:tab/>
        <w:t>El derecho como ciencia: La libertad exterior como libertad jurídica</w:t>
      </w:r>
    </w:p>
    <w:p w14:paraId="79AE1F95" w14:textId="77777777" w:rsidR="00670045" w:rsidRPr="00670045" w:rsidRDefault="00670045" w:rsidP="00030023">
      <w:pPr>
        <w:ind w:left="1416" w:firstLine="708"/>
        <w:rPr>
          <w:rFonts w:ascii="Times New Roman" w:hAnsi="Times New Roman"/>
        </w:rPr>
      </w:pPr>
      <w:r w:rsidRPr="00670045">
        <w:rPr>
          <w:rFonts w:ascii="Times New Roman" w:hAnsi="Times New Roman"/>
        </w:rPr>
        <w:t>1.2.</w:t>
      </w:r>
      <w:r w:rsidRPr="00670045">
        <w:rPr>
          <w:rFonts w:ascii="Times New Roman" w:hAnsi="Times New Roman"/>
        </w:rPr>
        <w:tab/>
        <w:t>Tres sentidos de libertad exterior</w:t>
      </w:r>
    </w:p>
    <w:p w14:paraId="6B261F09" w14:textId="77777777" w:rsidR="00670045" w:rsidRPr="00670045" w:rsidRDefault="00670045" w:rsidP="00030023">
      <w:pPr>
        <w:ind w:left="2124" w:firstLine="708"/>
        <w:rPr>
          <w:rFonts w:ascii="Times New Roman" w:hAnsi="Times New Roman"/>
        </w:rPr>
      </w:pPr>
      <w:r w:rsidRPr="00670045">
        <w:rPr>
          <w:rFonts w:ascii="Times New Roman" w:hAnsi="Times New Roman"/>
        </w:rPr>
        <w:t>1.2.1.</w:t>
      </w:r>
      <w:r w:rsidRPr="00670045">
        <w:rPr>
          <w:rFonts w:ascii="Times New Roman" w:hAnsi="Times New Roman"/>
        </w:rPr>
        <w:tab/>
        <w:t>Desde la Doctrina del derecho</w:t>
      </w:r>
    </w:p>
    <w:p w14:paraId="77CCBABB" w14:textId="77777777" w:rsidR="00670045" w:rsidRPr="00670045" w:rsidRDefault="00670045" w:rsidP="00030023">
      <w:pPr>
        <w:ind w:left="2124" w:firstLine="708"/>
        <w:rPr>
          <w:rFonts w:ascii="Times New Roman" w:hAnsi="Times New Roman"/>
        </w:rPr>
      </w:pPr>
      <w:r w:rsidRPr="00670045">
        <w:rPr>
          <w:rFonts w:ascii="Times New Roman" w:hAnsi="Times New Roman"/>
        </w:rPr>
        <w:t>1.2.2.</w:t>
      </w:r>
      <w:r w:rsidRPr="00670045">
        <w:rPr>
          <w:rFonts w:ascii="Times New Roman" w:hAnsi="Times New Roman"/>
        </w:rPr>
        <w:tab/>
        <w:t>Desde el ensayo sobre Teoría y Práctica</w:t>
      </w:r>
    </w:p>
    <w:p w14:paraId="0BDBDDCE" w14:textId="77777777" w:rsidR="00670045" w:rsidRPr="00670045" w:rsidRDefault="00670045" w:rsidP="00030023">
      <w:pPr>
        <w:ind w:left="2124" w:firstLine="708"/>
        <w:rPr>
          <w:rFonts w:ascii="Times New Roman" w:hAnsi="Times New Roman"/>
        </w:rPr>
      </w:pPr>
      <w:r w:rsidRPr="00670045">
        <w:rPr>
          <w:rFonts w:ascii="Times New Roman" w:hAnsi="Times New Roman"/>
        </w:rPr>
        <w:t>1.2.3.</w:t>
      </w:r>
      <w:r w:rsidRPr="00670045">
        <w:rPr>
          <w:rFonts w:ascii="Times New Roman" w:hAnsi="Times New Roman"/>
        </w:rPr>
        <w:tab/>
        <w:t>Desde la Paz perpetua</w:t>
      </w:r>
    </w:p>
    <w:p w14:paraId="78E360E4" w14:textId="77777777" w:rsidR="00670045" w:rsidRPr="00670045" w:rsidRDefault="00670045" w:rsidP="00670045">
      <w:pPr>
        <w:ind w:firstLine="708"/>
        <w:rPr>
          <w:rFonts w:ascii="Times New Roman" w:hAnsi="Times New Roman"/>
        </w:rPr>
      </w:pPr>
      <w:r w:rsidRPr="00670045">
        <w:rPr>
          <w:rFonts w:ascii="Times New Roman" w:hAnsi="Times New Roman"/>
        </w:rPr>
        <w:t>2: La Libertad externa y la doctrina del derecho desde K. Flikschuh</w:t>
      </w:r>
    </w:p>
    <w:p w14:paraId="35B8264C" w14:textId="77777777" w:rsidR="00670045" w:rsidRPr="00670045" w:rsidRDefault="00670045" w:rsidP="00670045">
      <w:pPr>
        <w:ind w:firstLine="708"/>
        <w:rPr>
          <w:rFonts w:ascii="Times New Roman" w:hAnsi="Times New Roman"/>
        </w:rPr>
      </w:pPr>
      <w:r w:rsidRPr="00670045">
        <w:rPr>
          <w:rFonts w:ascii="Times New Roman" w:hAnsi="Times New Roman"/>
        </w:rPr>
        <w:t>3: La doctrina del derecho y la libertad externa desde A. Ripstein</w:t>
      </w:r>
    </w:p>
    <w:p w14:paraId="06D4D581" w14:textId="77777777" w:rsidR="00670045" w:rsidRPr="00670045" w:rsidRDefault="00670045" w:rsidP="00030023">
      <w:pPr>
        <w:ind w:left="1416" w:firstLine="708"/>
        <w:rPr>
          <w:rFonts w:ascii="Times New Roman" w:hAnsi="Times New Roman"/>
        </w:rPr>
      </w:pPr>
      <w:r w:rsidRPr="00670045">
        <w:rPr>
          <w:rFonts w:ascii="Times New Roman" w:hAnsi="Times New Roman"/>
        </w:rPr>
        <w:t>3.1 El sentido normativo de la libertad externa</w:t>
      </w:r>
    </w:p>
    <w:p w14:paraId="23345EA8" w14:textId="77777777" w:rsidR="00670045" w:rsidRPr="00670045" w:rsidRDefault="00670045" w:rsidP="00030023">
      <w:pPr>
        <w:ind w:left="1416" w:firstLine="708"/>
        <w:rPr>
          <w:rFonts w:ascii="Times New Roman" w:hAnsi="Times New Roman"/>
        </w:rPr>
      </w:pPr>
      <w:r w:rsidRPr="00670045">
        <w:rPr>
          <w:rFonts w:ascii="Times New Roman" w:hAnsi="Times New Roman"/>
        </w:rPr>
        <w:t>3.2 Libertad externa como soberanía y consentimiento</w:t>
      </w:r>
    </w:p>
    <w:p w14:paraId="06FCB706" w14:textId="77777777" w:rsidR="00670045" w:rsidRPr="00670045" w:rsidRDefault="00670045" w:rsidP="00030023">
      <w:pPr>
        <w:ind w:left="1416" w:firstLine="708"/>
        <w:rPr>
          <w:rFonts w:ascii="Times New Roman" w:hAnsi="Times New Roman"/>
        </w:rPr>
      </w:pPr>
      <w:r w:rsidRPr="00670045">
        <w:rPr>
          <w:rFonts w:ascii="Times New Roman" w:hAnsi="Times New Roman"/>
        </w:rPr>
        <w:t>3.3 Libertad externa como extensión del derecho innato de la humanidad</w:t>
      </w:r>
    </w:p>
    <w:p w14:paraId="0AFA523A" w14:textId="77777777" w:rsidR="00670045" w:rsidRPr="00670045" w:rsidRDefault="00670045" w:rsidP="00030023">
      <w:pPr>
        <w:ind w:left="1416" w:firstLine="708"/>
        <w:rPr>
          <w:rFonts w:ascii="Times New Roman" w:hAnsi="Times New Roman"/>
        </w:rPr>
      </w:pPr>
      <w:r w:rsidRPr="00670045">
        <w:rPr>
          <w:rFonts w:ascii="Times New Roman" w:hAnsi="Times New Roman"/>
        </w:rPr>
        <w:t>3.4 Libertad externa como equidad</w:t>
      </w:r>
    </w:p>
    <w:p w14:paraId="39214A8D" w14:textId="77777777" w:rsidR="00670045" w:rsidRPr="00670045" w:rsidRDefault="00670045" w:rsidP="00030023">
      <w:pPr>
        <w:ind w:left="1416" w:firstLine="708"/>
        <w:rPr>
          <w:rFonts w:ascii="Times New Roman" w:hAnsi="Times New Roman"/>
        </w:rPr>
      </w:pPr>
      <w:r w:rsidRPr="00670045">
        <w:rPr>
          <w:rFonts w:ascii="Times New Roman" w:hAnsi="Times New Roman"/>
        </w:rPr>
        <w:t>3.5 Libertad externa como el uso legítimo de la fuerza</w:t>
      </w:r>
    </w:p>
    <w:p w14:paraId="6597B232" w14:textId="02AA3EB6" w:rsidR="00670045" w:rsidRPr="009666E0" w:rsidRDefault="00670045" w:rsidP="00670045">
      <w:pPr>
        <w:ind w:firstLine="708"/>
        <w:rPr>
          <w:rFonts w:ascii="Times New Roman" w:hAnsi="Times New Roman"/>
          <w:sz w:val="24"/>
          <w:szCs w:val="24"/>
        </w:rPr>
      </w:pPr>
      <w:r w:rsidRPr="00670045">
        <w:rPr>
          <w:rFonts w:ascii="Times New Roman" w:hAnsi="Times New Roman"/>
        </w:rPr>
        <w:t>4: Conclusiones tentativas</w:t>
      </w:r>
      <w:r w:rsidRPr="009666E0">
        <w:rPr>
          <w:rFonts w:ascii="Times New Roman" w:hAnsi="Times New Roman"/>
          <w:sz w:val="24"/>
          <w:szCs w:val="24"/>
        </w:rPr>
        <w:br w:type="page"/>
      </w:r>
    </w:p>
    <w:p w14:paraId="079C0408" w14:textId="77777777" w:rsidR="00670045" w:rsidRPr="00670045" w:rsidRDefault="00670045" w:rsidP="00670045">
      <w:pPr>
        <w:spacing w:line="360" w:lineRule="auto"/>
        <w:jc w:val="center"/>
        <w:rPr>
          <w:rFonts w:ascii="Times New Roman" w:hAnsi="Times New Roman"/>
          <w:b/>
          <w:bCs/>
          <w:sz w:val="24"/>
          <w:szCs w:val="24"/>
          <w:u w:val="single"/>
        </w:rPr>
      </w:pPr>
      <w:r w:rsidRPr="00670045">
        <w:rPr>
          <w:rFonts w:ascii="Times New Roman" w:hAnsi="Times New Roman"/>
          <w:b/>
          <w:bCs/>
          <w:sz w:val="24"/>
          <w:szCs w:val="24"/>
          <w:u w:val="single"/>
        </w:rPr>
        <w:lastRenderedPageBreak/>
        <w:t xml:space="preserve">Capítulo 1: La libertad exterior en Kant </w:t>
      </w:r>
    </w:p>
    <w:p w14:paraId="07534E8C" w14:textId="77777777" w:rsidR="00670045" w:rsidRPr="009666E0" w:rsidRDefault="00670045" w:rsidP="00670045">
      <w:pPr>
        <w:spacing w:line="360" w:lineRule="auto"/>
        <w:rPr>
          <w:rFonts w:ascii="Times New Roman" w:hAnsi="Times New Roman"/>
          <w:sz w:val="24"/>
          <w:szCs w:val="24"/>
          <w:lang w:val="es-PE"/>
        </w:rPr>
      </w:pPr>
    </w:p>
    <w:p w14:paraId="21F907B6" w14:textId="77777777" w:rsidR="00670045" w:rsidRPr="009666E0" w:rsidRDefault="00670045" w:rsidP="00670045">
      <w:pPr>
        <w:pStyle w:val="ListParagraph"/>
        <w:numPr>
          <w:ilvl w:val="0"/>
          <w:numId w:val="13"/>
        </w:numPr>
        <w:spacing w:after="160" w:line="360" w:lineRule="auto"/>
        <w:rPr>
          <w:rFonts w:ascii="Times New Roman" w:hAnsi="Times New Roman"/>
          <w:sz w:val="24"/>
          <w:szCs w:val="24"/>
          <w:lang w:val="es-MX"/>
        </w:rPr>
      </w:pPr>
      <w:bookmarkStart w:id="1" w:name="_Hlk220430276"/>
      <w:r w:rsidRPr="009666E0">
        <w:rPr>
          <w:rFonts w:ascii="Times New Roman" w:hAnsi="Times New Roman"/>
          <w:sz w:val="24"/>
          <w:szCs w:val="24"/>
        </w:rPr>
        <w:t>La libertad exterior en Kant</w:t>
      </w:r>
    </w:p>
    <w:p w14:paraId="69A98318" w14:textId="517D7073"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Este capítulo está orientado a revisar el concepto que Kant ofrece sobre la libertad </w:t>
      </w:r>
      <w:r w:rsidR="00C15DD7">
        <w:rPr>
          <w:rFonts w:ascii="Times New Roman" w:hAnsi="Times New Roman"/>
          <w:sz w:val="24"/>
          <w:szCs w:val="24"/>
          <w:lang w:val="es-MX"/>
        </w:rPr>
        <w:t>externa</w:t>
      </w:r>
      <w:r w:rsidRPr="009666E0">
        <w:rPr>
          <w:rFonts w:ascii="Times New Roman" w:hAnsi="Times New Roman"/>
          <w:sz w:val="24"/>
          <w:szCs w:val="24"/>
          <w:lang w:val="es-MX"/>
        </w:rPr>
        <w:t xml:space="preserve"> a partir de distintas obras suyas. El concepto de libertad jurídica es fundamental para entender la ciudadanía en el horizonte de las ideas de Kant sobre la forma de gobierno republicana. </w:t>
      </w:r>
    </w:p>
    <w:p w14:paraId="27170F7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Para esclarecer esta noción de libertad jurídica, hace falta en primer lugar, atender a la distinción que Kant realiza entre libertad interior y libertad exterior, específicamente en la introducción de su doctrina del derecho. (Tema desarrollado en el punto 1.1) En segundo lugar, podemos atender a tres obras distintas de los escritos políticos de Kant, para extraer tres sentidos complementarios sobre la libertad jurídica. (Revisado en el punto 1.2)</w:t>
      </w:r>
    </w:p>
    <w:p w14:paraId="3AB99A68" w14:textId="77777777" w:rsidR="00670045" w:rsidRPr="009666E0" w:rsidRDefault="00670045" w:rsidP="00670045">
      <w:pPr>
        <w:spacing w:line="360" w:lineRule="auto"/>
        <w:rPr>
          <w:rFonts w:ascii="Times New Roman" w:hAnsi="Times New Roman"/>
          <w:sz w:val="24"/>
          <w:szCs w:val="24"/>
          <w:lang w:val="es-MX"/>
        </w:rPr>
      </w:pPr>
    </w:p>
    <w:p w14:paraId="7D654E83" w14:textId="77777777" w:rsidR="00670045" w:rsidRPr="009666E0" w:rsidRDefault="00670045" w:rsidP="00670045">
      <w:pPr>
        <w:pStyle w:val="ListParagraph"/>
        <w:numPr>
          <w:ilvl w:val="1"/>
          <w:numId w:val="9"/>
        </w:numPr>
        <w:spacing w:after="160" w:line="360" w:lineRule="auto"/>
        <w:rPr>
          <w:rFonts w:ascii="Times New Roman" w:hAnsi="Times New Roman"/>
          <w:sz w:val="24"/>
          <w:szCs w:val="24"/>
          <w:lang w:val="es-MX"/>
        </w:rPr>
      </w:pPr>
      <w:r w:rsidRPr="009666E0">
        <w:rPr>
          <w:rFonts w:ascii="Times New Roman" w:hAnsi="Times New Roman"/>
          <w:sz w:val="24"/>
          <w:szCs w:val="24"/>
          <w:lang w:val="es-MX"/>
        </w:rPr>
        <w:t>Distinción entre libertad interior y exterior</w:t>
      </w:r>
    </w:p>
    <w:p w14:paraId="3281E36A" w14:textId="77777777" w:rsidR="00670045" w:rsidRPr="009666E0" w:rsidRDefault="00670045" w:rsidP="00670045">
      <w:pPr>
        <w:pStyle w:val="ListParagraph"/>
        <w:spacing w:line="360" w:lineRule="auto"/>
        <w:ind w:left="792"/>
        <w:rPr>
          <w:rFonts w:ascii="Times New Roman" w:hAnsi="Times New Roman"/>
          <w:sz w:val="24"/>
          <w:szCs w:val="24"/>
          <w:lang w:val="es-MX"/>
        </w:rPr>
      </w:pPr>
    </w:p>
    <w:p w14:paraId="3BFE1BA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distingue entre la libertad interior y la libertad exterior. La libertad interior es la que se refiere a la consciencia moral, que se relaciona a las facultades del alma y se concreta en la autonomía personal, en relación al propio desenvolvimiento en virtud de los actos libres y de acuerdo a principios racionales del arbitrio. En el caso de la libertad interior, el criterio que demarca la forma de las leyes morales se establece con el imperativo categórico en consonancia con una racionalidad del deber.   </w:t>
      </w:r>
    </w:p>
    <w:p w14:paraId="1E7857E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La libertad exterior, por otro lado, es la jurídica y alude al contacto con otros en que se ve articulada nuestra individualidad, y refiere una dimensión de la libertad que se da en sociedad, especialmente en una civil. Para el pensamiento político de Kant, es fundamental esta última dimensión de la libertad en cuanto externa. El criterio que marca la lógica de las leyes exteriores se remite al principio metafísico del derecho. Esta idea de una libertad compartida y de influencia recíproca es la idea central de una libertad exterior en cuanto es jurídica.</w:t>
      </w:r>
    </w:p>
    <w:p w14:paraId="09CFDD4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Podemos atender a la </w:t>
      </w:r>
      <w:r w:rsidRPr="009666E0">
        <w:rPr>
          <w:rFonts w:ascii="Times New Roman" w:hAnsi="Times New Roman"/>
          <w:i/>
          <w:iCs/>
          <w:sz w:val="24"/>
          <w:szCs w:val="24"/>
          <w:lang w:val="es-MX"/>
        </w:rPr>
        <w:t>Metafísica de las Costumbres</w:t>
      </w:r>
      <w:r w:rsidRPr="009666E0">
        <w:rPr>
          <w:rFonts w:ascii="Times New Roman" w:hAnsi="Times New Roman"/>
          <w:sz w:val="24"/>
          <w:szCs w:val="24"/>
          <w:lang w:val="es-MX"/>
        </w:rPr>
        <w:t>, en especial a la introducción de la primera de sus dos grandes partes, en donde se expone la doctrina del derecho de Kant, para poder elaborar la distinción entre los sentidos de libertad, en cuanto interior y exterior.</w:t>
      </w:r>
    </w:p>
    <w:p w14:paraId="0669C44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Para exponer esta distinción, en este apartado, seguiremos la argumentación de Kant en los siguientes subtemas. En principio, (1.1.1) Kant analiza la relación de las facultades del alma humana en virtud de las leyes morales. Luego, podemos considerar la segunda parte que nos habla de (1.1.2) la necesidad de una metafísica de las costumbres y así, considerar la tercera parte de la introducción que se dedica a (1.1.3) la división de la misma. Esto conduce a una cuarta parte en donde se ofrecen (1.1.4) nociones preliminares para establecer los fundamentos para la teoría del derecho. Desde esta obra, los </w:t>
      </w:r>
      <w:r w:rsidRPr="009666E0">
        <w:rPr>
          <w:rFonts w:ascii="Times New Roman" w:hAnsi="Times New Roman"/>
          <w:i/>
          <w:iCs/>
          <w:sz w:val="24"/>
          <w:szCs w:val="24"/>
          <w:lang w:val="es-MX"/>
        </w:rPr>
        <w:t>Principios metafísicos del derecho</w:t>
      </w:r>
      <w:r w:rsidRPr="009666E0">
        <w:rPr>
          <w:rFonts w:ascii="Times New Roman" w:hAnsi="Times New Roman"/>
          <w:sz w:val="24"/>
          <w:szCs w:val="24"/>
          <w:lang w:val="es-MX"/>
        </w:rPr>
        <w:t xml:space="preserve"> (RL AA 06; 2008), sobre la base de su introducción, podremos de esta manera exponer (1.1.5) la idea del derecho como ciencia y la distinción entre la libertad interior y la libertad exterior. </w:t>
      </w:r>
    </w:p>
    <w:p w14:paraId="229B30C2" w14:textId="77777777" w:rsidR="00670045" w:rsidRPr="009666E0" w:rsidRDefault="00670045" w:rsidP="00670045">
      <w:pPr>
        <w:spacing w:line="360" w:lineRule="auto"/>
        <w:rPr>
          <w:rFonts w:ascii="Times New Roman" w:hAnsi="Times New Roman"/>
          <w:sz w:val="24"/>
          <w:szCs w:val="24"/>
          <w:lang w:val="es-MX"/>
        </w:rPr>
      </w:pPr>
    </w:p>
    <w:p w14:paraId="36AA43F7" w14:textId="77777777" w:rsidR="00670045" w:rsidRPr="009666E0" w:rsidRDefault="00670045" w:rsidP="00670045">
      <w:pPr>
        <w:pStyle w:val="ListParagraph"/>
        <w:numPr>
          <w:ilvl w:val="2"/>
          <w:numId w:val="10"/>
        </w:numPr>
        <w:spacing w:after="160" w:line="360" w:lineRule="auto"/>
        <w:rPr>
          <w:rFonts w:ascii="Times New Roman" w:hAnsi="Times New Roman"/>
          <w:sz w:val="24"/>
          <w:szCs w:val="24"/>
          <w:lang w:val="es-MX"/>
        </w:rPr>
      </w:pPr>
      <w:r w:rsidRPr="009666E0">
        <w:rPr>
          <w:rFonts w:ascii="Times New Roman" w:hAnsi="Times New Roman"/>
          <w:sz w:val="24"/>
          <w:szCs w:val="24"/>
          <w:lang w:val="es-MX"/>
        </w:rPr>
        <w:t>Relación entre las facultades del alma y las leyes morales</w:t>
      </w:r>
    </w:p>
    <w:p w14:paraId="3CFE2B21" w14:textId="77777777" w:rsidR="00670045" w:rsidRPr="009666E0" w:rsidRDefault="00670045" w:rsidP="00670045">
      <w:pPr>
        <w:pStyle w:val="ListParagraph"/>
        <w:spacing w:line="360" w:lineRule="auto"/>
        <w:ind w:left="1424"/>
        <w:rPr>
          <w:rFonts w:ascii="Times New Roman" w:hAnsi="Times New Roman"/>
          <w:sz w:val="24"/>
          <w:szCs w:val="24"/>
          <w:lang w:val="es-MX"/>
        </w:rPr>
      </w:pPr>
    </w:p>
    <w:p w14:paraId="7DC9670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Existen distintos tipos de leyes. En el ser humano, cuya mente y alma tienen diversas facultades, se reconocen cuando menos dos tipos de leyes de la libertad. Una alude a las leyes de la propia consciencia interna y otro sentido complementario se encuentra en las leyes de una sociedad civil. El ser humano comparte al mismo tiempo estos dos lados de su libertad. Lo primero es el ámbito de la moral, mientras que lo segundo se circunscribe en el ámbito civil, jurídico o político. </w:t>
      </w:r>
    </w:p>
    <w:p w14:paraId="32817F4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La relación entre las leyes morales que se formula el arbitrio, de un lado, con las facultades del alma, de otro, se da específicamente el ámbito interior. Kant parte desde el impulso más básico y vital de nuestra apetencia o volición; señala que: “El </w:t>
      </w:r>
      <w:r w:rsidRPr="009666E0">
        <w:rPr>
          <w:rFonts w:ascii="Times New Roman" w:hAnsi="Times New Roman"/>
          <w:i/>
          <w:iCs/>
          <w:sz w:val="24"/>
          <w:szCs w:val="24"/>
          <w:lang w:val="es-MX"/>
        </w:rPr>
        <w:t>deseo</w:t>
      </w:r>
      <w:r w:rsidRPr="009666E0">
        <w:rPr>
          <w:rFonts w:ascii="Times New Roman" w:hAnsi="Times New Roman"/>
          <w:sz w:val="24"/>
          <w:szCs w:val="24"/>
          <w:lang w:val="es-MX"/>
        </w:rPr>
        <w:t xml:space="preserve"> es la facultad de ser causa de los objetos de nuestras representaciones por medio de estas representaciones mismas.” (RL AA 06; 2008, p. 12) Esto equivale a pensar que nuestras representaciones llegan a formarse por el deseo y apuntan a un objeto conformado mediante esa misma representación, que atrae o repele. Según Kant, cuando consideramos un ser que tiene la facultad de obrar de acuerdo a las representaciones de sus deseos, podemos referir que posee la facultad de la </w:t>
      </w:r>
      <w:r w:rsidRPr="009666E0">
        <w:rPr>
          <w:rFonts w:ascii="Times New Roman" w:hAnsi="Times New Roman"/>
          <w:i/>
          <w:iCs/>
          <w:sz w:val="24"/>
          <w:szCs w:val="24"/>
          <w:lang w:val="es-MX"/>
        </w:rPr>
        <w:t>vida</w:t>
      </w:r>
      <w:r w:rsidRPr="009666E0">
        <w:rPr>
          <w:rFonts w:ascii="Times New Roman" w:hAnsi="Times New Roman"/>
          <w:sz w:val="24"/>
          <w:szCs w:val="24"/>
          <w:lang w:val="es-MX"/>
        </w:rPr>
        <w:t xml:space="preserve">. </w:t>
      </w:r>
    </w:p>
    <w:p w14:paraId="2CFCD8F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El deseo o la aversión van vinculados a la percepción de placer o disgusto. A esta capacidad, Kant le llama </w:t>
      </w:r>
      <w:r w:rsidRPr="009666E0">
        <w:rPr>
          <w:rFonts w:ascii="Times New Roman" w:hAnsi="Times New Roman"/>
          <w:i/>
          <w:iCs/>
          <w:sz w:val="24"/>
          <w:szCs w:val="24"/>
          <w:lang w:val="es-MX"/>
        </w:rPr>
        <w:t>sentimiento</w:t>
      </w:r>
      <w:r w:rsidRPr="009666E0">
        <w:rPr>
          <w:rFonts w:ascii="Times New Roman" w:hAnsi="Times New Roman"/>
          <w:sz w:val="24"/>
          <w:szCs w:val="24"/>
          <w:lang w:val="es-MX"/>
        </w:rPr>
        <w:t xml:space="preserve">. De esta manera, señala que: “Se llama sentimiento la capacidad de experimentar placer o disgusto con la idea de una cosa, en razón a que estos dos estados no contienen más que lo subjetivo puro en su relación con nuestra representación, y </w:t>
      </w:r>
      <w:r w:rsidRPr="009666E0">
        <w:rPr>
          <w:rFonts w:ascii="Times New Roman" w:hAnsi="Times New Roman"/>
          <w:sz w:val="24"/>
          <w:szCs w:val="24"/>
          <w:lang w:val="es-MX"/>
        </w:rPr>
        <w:lastRenderedPageBreak/>
        <w:t xml:space="preserve">de ningún modo una relación a un objeto que se trate de conocer, ni aún una relación al conocimiento de nuestro estado.” (RL AA 06; 2008, p. 13) Por ello, el sentimiento se remite a lo subjetivo, pero no a lo objetivo. </w:t>
      </w:r>
    </w:p>
    <w:p w14:paraId="7B1CD744"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De esta consideración, Kant distingue entre placer práctico y placer contemplativo. El placer práctico se encuentra unido de modo inseparable al deseo del objeto y su representación afecta al sentimiento como causa o efecto. Por otro lado, el placer contemplativo o inactivo no va necesariamente unido al deseo del objeto, por lo que se refiere a una representación simple del objeto. A este sentimiento último, Kant le llama </w:t>
      </w:r>
      <w:r w:rsidRPr="009666E0">
        <w:rPr>
          <w:rFonts w:ascii="Times New Roman" w:hAnsi="Times New Roman"/>
          <w:i/>
          <w:iCs/>
          <w:sz w:val="24"/>
          <w:szCs w:val="24"/>
          <w:lang w:val="es-MX"/>
        </w:rPr>
        <w:t>gusto</w:t>
      </w:r>
      <w:r w:rsidRPr="009666E0">
        <w:rPr>
          <w:rFonts w:ascii="Times New Roman" w:hAnsi="Times New Roman"/>
          <w:sz w:val="24"/>
          <w:szCs w:val="24"/>
          <w:lang w:val="es-MX"/>
        </w:rPr>
        <w:t xml:space="preserve">. </w:t>
      </w:r>
    </w:p>
    <w:p w14:paraId="1C7B53D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Respecto del primero de los tipos de placer, agrega Kant que: “En cuanto al placer práctico, la determinación de la facultad apetitiva, que necesariamente debe ir precedida por este placer como causa, se llamará </w:t>
      </w:r>
      <w:r w:rsidRPr="009666E0">
        <w:rPr>
          <w:rFonts w:ascii="Times New Roman" w:hAnsi="Times New Roman"/>
          <w:i/>
          <w:iCs/>
          <w:sz w:val="24"/>
          <w:szCs w:val="24"/>
          <w:lang w:val="es-MX"/>
        </w:rPr>
        <w:t>apetito</w:t>
      </w:r>
      <w:r w:rsidRPr="009666E0">
        <w:rPr>
          <w:rFonts w:ascii="Times New Roman" w:hAnsi="Times New Roman"/>
          <w:sz w:val="24"/>
          <w:szCs w:val="24"/>
          <w:lang w:val="es-MX"/>
        </w:rPr>
        <w:t xml:space="preserve">; Y el apetito habitual, </w:t>
      </w:r>
      <w:r w:rsidRPr="009666E0">
        <w:rPr>
          <w:rFonts w:ascii="Times New Roman" w:hAnsi="Times New Roman"/>
          <w:i/>
          <w:iCs/>
          <w:sz w:val="24"/>
          <w:szCs w:val="24"/>
          <w:lang w:val="es-MX"/>
        </w:rPr>
        <w:t>inclinación</w:t>
      </w:r>
      <w:r w:rsidRPr="009666E0">
        <w:rPr>
          <w:rFonts w:ascii="Times New Roman" w:hAnsi="Times New Roman"/>
          <w:sz w:val="24"/>
          <w:szCs w:val="24"/>
          <w:lang w:val="es-MX"/>
        </w:rPr>
        <w:t xml:space="preserve">.” </w:t>
      </w:r>
      <w:bookmarkStart w:id="2" w:name="_Hlk213161740"/>
      <w:r w:rsidRPr="009666E0">
        <w:rPr>
          <w:rFonts w:ascii="Times New Roman" w:hAnsi="Times New Roman"/>
          <w:sz w:val="24"/>
          <w:szCs w:val="24"/>
          <w:lang w:val="es-MX"/>
        </w:rPr>
        <w:t xml:space="preserve">(RL AA 06; 2008, p. 14) </w:t>
      </w:r>
      <w:bookmarkEnd w:id="2"/>
      <w:r w:rsidRPr="009666E0">
        <w:rPr>
          <w:rFonts w:ascii="Times New Roman" w:hAnsi="Times New Roman"/>
          <w:sz w:val="24"/>
          <w:szCs w:val="24"/>
          <w:lang w:val="es-MX"/>
        </w:rPr>
        <w:t xml:space="preserve">Esto supone que el placer práctico está determinado causalmente por el apetito y su hábito conduce a la inclinación de la voluntad. De esta suerte, el placer y su unión con la facultad apetitiva, cuando el entendimiento valida esta conjunción, de acuerdo a una regla general, entonces hablamos de la facultad del </w:t>
      </w:r>
      <w:r w:rsidRPr="009666E0">
        <w:rPr>
          <w:rFonts w:ascii="Times New Roman" w:hAnsi="Times New Roman"/>
          <w:i/>
          <w:iCs/>
          <w:sz w:val="24"/>
          <w:szCs w:val="24"/>
          <w:lang w:val="es-MX"/>
        </w:rPr>
        <w:t>interés</w:t>
      </w:r>
      <w:r w:rsidRPr="009666E0">
        <w:rPr>
          <w:rFonts w:ascii="Times New Roman" w:hAnsi="Times New Roman"/>
          <w:sz w:val="24"/>
          <w:szCs w:val="24"/>
          <w:lang w:val="es-MX"/>
        </w:rPr>
        <w:t>. Esta distinción supone que se representa de un lado, a la voluntad movida por una inclinación, cuando no hay un razonamiento de por medio (en donde no es libre), y, por otro lado, al arbitrio guiado por un interés que tiene de por medio una máxima de la razón. En este último caso se entiende a la voluntad como libre.</w:t>
      </w:r>
    </w:p>
    <w:p w14:paraId="424C8752"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este horizonte, dice Kant: “El placer práctico es en este caso un interés de la inclinación. Por el contrario, cuando el placer no puede venir más que después de una determinación anterior de la facultad apetitiva, es un placer intelectual, y el interés que se manifiesta hacia el objeto, debe llamarse un interés de razón; porque, si el interés fuera sensual, en lugar de fundarse en principios racionales puros, la sensación debería poder unirse al placer y determinar la facultad apetitiva.” (RL AA 06; 2008, pp. 14-15) Esta distinción discierne entre lo que mueve a la voluntad desde el ámbito sensible, en el caso del interés práctico, y la que lo hace desde el ámbito intelectual, en el caso del interés de razón. </w:t>
      </w:r>
    </w:p>
    <w:p w14:paraId="0CF0265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La facultad del apetito puede instanciar dos tipos de objetos; los que son sensibles y los que son ideales. En ambos casos, el principio del apetito radica en la persona que posee la facultad, en lugar de estar instaurado en el objeto mismo. Kant señala lo siguiente: “La facultad apetitiva, según nociones, en cuanto su principio de determinación se encuentra en sí misma y no en el objeto, se llama la facultad de hacer o de no hacer a discreción; En cuanto va unidad a la consciencia de la facultad de obrar para producir el objeto, se llama </w:t>
      </w:r>
      <w:r w:rsidRPr="009666E0">
        <w:rPr>
          <w:rFonts w:ascii="Times New Roman" w:hAnsi="Times New Roman"/>
          <w:i/>
          <w:iCs/>
          <w:sz w:val="24"/>
          <w:szCs w:val="24"/>
          <w:lang w:val="es-MX"/>
        </w:rPr>
        <w:t>arbitrio</w:t>
      </w:r>
      <w:r w:rsidRPr="009666E0">
        <w:rPr>
          <w:rFonts w:ascii="Times New Roman" w:hAnsi="Times New Roman"/>
          <w:sz w:val="24"/>
          <w:szCs w:val="24"/>
          <w:lang w:val="es-MX"/>
        </w:rPr>
        <w:t xml:space="preserve">.” (RL AA 06; 2008, p. 15) Esta consideración parece contemplar una diferencia entre el apetito </w:t>
      </w:r>
      <w:r w:rsidRPr="009666E0">
        <w:rPr>
          <w:rFonts w:ascii="Times New Roman" w:hAnsi="Times New Roman"/>
          <w:sz w:val="24"/>
          <w:szCs w:val="24"/>
          <w:lang w:val="es-MX"/>
        </w:rPr>
        <w:lastRenderedPageBreak/>
        <w:t xml:space="preserve">animal y el arbitrio humano, que incluye un factor de racionalidad y consciencia. Kant adjudica, de esta forma, el arbitrio a la facultad de una consciencia del obrar para producir algo. </w:t>
      </w:r>
    </w:p>
    <w:p w14:paraId="73FA968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El arbitrio, por lo tanto, representa un ejercicio de la voluntad cuando conscientemente se decide para algo práctico. Agrega Kant: “La facultad apetitiva, cuyo principio de determinación interna, y por consiguiente hasta el consentimiento, se encuentra en la razón del sujeto, se llama la </w:t>
      </w:r>
      <w:r w:rsidRPr="009666E0">
        <w:rPr>
          <w:rFonts w:ascii="Times New Roman" w:hAnsi="Times New Roman"/>
          <w:i/>
          <w:iCs/>
          <w:sz w:val="24"/>
          <w:szCs w:val="24"/>
          <w:lang w:val="es-MX"/>
        </w:rPr>
        <w:t>voluntad</w:t>
      </w:r>
      <w:r w:rsidRPr="009666E0">
        <w:rPr>
          <w:rFonts w:ascii="Times New Roman" w:hAnsi="Times New Roman"/>
          <w:sz w:val="24"/>
          <w:szCs w:val="24"/>
          <w:lang w:val="es-MX"/>
        </w:rPr>
        <w:t>.” (</w:t>
      </w:r>
      <w:r w:rsidRPr="009666E0">
        <w:rPr>
          <w:rFonts w:ascii="Times New Roman" w:hAnsi="Times New Roman"/>
          <w:i/>
          <w:iCs/>
          <w:sz w:val="24"/>
          <w:szCs w:val="24"/>
          <w:lang w:val="es-MX"/>
        </w:rPr>
        <w:t>Ib.</w:t>
      </w:r>
      <w:r w:rsidRPr="009666E0">
        <w:rPr>
          <w:rFonts w:ascii="Times New Roman" w:hAnsi="Times New Roman"/>
          <w:sz w:val="24"/>
          <w:szCs w:val="24"/>
          <w:lang w:val="es-MX"/>
        </w:rPr>
        <w:t xml:space="preserve">) Esto supone que, para Kant, la voluntad es la facultad del apetito que encuentra sus determinaciones en la razón de la persona. </w:t>
      </w:r>
    </w:p>
    <w:p w14:paraId="6F6D1C6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Por lo señalado, se asocia el arbitrio a la práctica y la voluntad a la razón. El consentimiento, de esta forma, pertenece al ámbito de la racionalidad libre. No puede existir otro consentimiento que el voluntario, es decir, el que se funda en la libre voluntad ya que, de otro modo, hablamos de coerción. El consentimiento, como efecto práctico de la libertad, es fundamental para el ámbito exterior, jurídico o civil.</w:t>
      </w:r>
    </w:p>
    <w:p w14:paraId="47E8266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La voluntad puede manifestarse de modo más o menos elaborado, ya que puede admitir el simple deseo (animalmente) o la articulación del arbitrio (racionalmente). La razón pura puede determinar la facultad del apetito, y así, refiere Kant que: “El arbitrio que puede ser determinado por razón pura se llama libre arbitrio.” (RL AA 06; 2008, p. 16) Desde Kant, podemos decir que la capacidad de hacer o no hacer, de acuerdo a principios de la razón, se dice libre, por cuanto la libertad se entiende como la facultad de la autonomía de la razón para brindar sus propias disposiciones. Por el contrario: “El arbitrio que no es determinable más que por inclinación es un arbitrio animal.” (</w:t>
      </w:r>
      <w:r w:rsidRPr="009666E0">
        <w:rPr>
          <w:rFonts w:ascii="Times New Roman" w:hAnsi="Times New Roman"/>
          <w:i/>
          <w:iCs/>
          <w:sz w:val="24"/>
          <w:szCs w:val="24"/>
          <w:lang w:val="es-MX"/>
        </w:rPr>
        <w:t>Ib.</w:t>
      </w:r>
      <w:r w:rsidRPr="009666E0">
        <w:rPr>
          <w:rFonts w:ascii="Times New Roman" w:hAnsi="Times New Roman"/>
          <w:sz w:val="24"/>
          <w:szCs w:val="24"/>
          <w:lang w:val="es-MX"/>
        </w:rPr>
        <w:t>)</w:t>
      </w:r>
    </w:p>
    <w:p w14:paraId="3015850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Kant, de esta manera, propone una primera perspectiva para pensar la idea de libertad, de acuerdo a lo establecido. Nos ofrece una idea de registro negativo, y otro positivo. Kant señala, en sentido negativo que: “La libertad del arbitrio es esta independencia de todo impulso sensible en cuanto a su determinación.” (</w:t>
      </w:r>
      <w:r w:rsidRPr="009666E0">
        <w:rPr>
          <w:rFonts w:ascii="Times New Roman" w:hAnsi="Times New Roman"/>
          <w:i/>
          <w:iCs/>
          <w:sz w:val="24"/>
          <w:szCs w:val="24"/>
          <w:lang w:val="es-MX"/>
        </w:rPr>
        <w:t>Ib.</w:t>
      </w:r>
      <w:r w:rsidRPr="009666E0">
        <w:rPr>
          <w:rFonts w:ascii="Times New Roman" w:hAnsi="Times New Roman"/>
          <w:sz w:val="24"/>
          <w:szCs w:val="24"/>
          <w:lang w:val="es-MX"/>
        </w:rPr>
        <w:t>) Esta consideración negativa se complementa con la perspectiva positiva que se manifiesta del siguiente modo: “La facultad de la razón pura de ser práctica por sí misma; lo cual no es posible más que por la sumisión de las máximas de toda acción a la condición de poder servir de ley general.” (</w:t>
      </w:r>
      <w:r w:rsidRPr="009666E0">
        <w:rPr>
          <w:rFonts w:ascii="Times New Roman" w:hAnsi="Times New Roman"/>
          <w:i/>
          <w:iCs/>
          <w:sz w:val="24"/>
          <w:szCs w:val="24"/>
          <w:lang w:val="es-MX"/>
        </w:rPr>
        <w:t>Ib.</w:t>
      </w:r>
      <w:r w:rsidRPr="009666E0">
        <w:rPr>
          <w:rFonts w:ascii="Times New Roman" w:hAnsi="Times New Roman"/>
          <w:sz w:val="24"/>
          <w:szCs w:val="24"/>
          <w:lang w:val="es-MX"/>
        </w:rPr>
        <w:t xml:space="preserve">) Esto representa una dimensión legislativa de la razón, por cuanto puede erigir su decreto en una ley válida para todo quien use la razón. Estas leyes producidas por la razón son las leyes morales, de forma que se distingan de las leyes naturales o físicas. La libertad moral, en este sentido, se entiende como interna en cuanto racional y práctica. </w:t>
      </w:r>
    </w:p>
    <w:p w14:paraId="449C0D18"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Esta consideración supone otra perspectiva distinta para pensar en la libertad, de acuerdo al despliegue de su objeto. De acuerdo a este modo complementario, se puede distinguir el uso moral de la libertad del uso jurídico. Kant señala que: “Cuando no se refieren más que a acciones externas y a su legitimidad, se las llama jurídicas. Pero, si además exigen que las leyes mismas sean los principios determinantes de la acción, entonces se llaman morales.” (RL AA 06; 2008, p. 17) Esta diferencia expone una evaluación posible de los actos externos, ya que, al contrastarlos con el orden jurídico, uno puede considerar su legalidad, mientras que, al sopesarlos bajo el orden ético, uno estima su moralidad. </w:t>
      </w:r>
    </w:p>
    <w:p w14:paraId="31AF1F1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Estos ámbitos, el jurídico y el moral, son los que se entienden respectivamente como marcos de las leyes externas, para el caso de lo jurídico y de leyes internas para el ámbito moral. Cabe señalar que esta distinción no es rígida, ya que se establece que una implica a la otra, como esferas que se superponen, de manera que lo jurídico no excluye a lo moral, ni lo moral se desentiende de la legalidad. Esta consideración la resalta K. Flikschuh.</w:t>
      </w:r>
    </w:p>
    <w:p w14:paraId="2649B417"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De esta distinción de los dos ámbitos que explicita Kant: “La libertad, a que se refieren las leyes jurídicas, no puede ser más que la libertad en la práctica externa, pero aquella a que se refieren las segundas, debe ser la libertad en el ejercicio exterior e interior del arbitrio, cuando está determinado por las leyes racionales.” (</w:t>
      </w:r>
      <w:r w:rsidRPr="009666E0">
        <w:rPr>
          <w:rFonts w:ascii="Times New Roman" w:hAnsi="Times New Roman"/>
          <w:i/>
          <w:iCs/>
          <w:sz w:val="24"/>
          <w:szCs w:val="24"/>
          <w:lang w:val="es-MX"/>
        </w:rPr>
        <w:t>Ib.</w:t>
      </w:r>
      <w:r w:rsidRPr="009666E0">
        <w:rPr>
          <w:rFonts w:ascii="Times New Roman" w:hAnsi="Times New Roman"/>
          <w:sz w:val="24"/>
          <w:szCs w:val="24"/>
          <w:lang w:val="es-MX"/>
        </w:rPr>
        <w:t>) Esta distinción se plantea en la medida en que se apunta a enfocar la idea de libertad en virtud de, o bien, al principio de la acción moral, (libertad interna) o bien, a su práctica concreta entre varios agentes morales (libertad externa). En el caso de las leyes morales, se relaciona a la voluntad y al arbitrio en virtud de las facultades del alma. Esta relación es interior y se distingue de lo exterior, cuando lo que se relaciona son dos voluntades distintas.</w:t>
      </w:r>
    </w:p>
    <w:p w14:paraId="748EA94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Este apartado ha buscado establecer la relación entre las facultades del alma humana y las leyes morales. La voluntad puede ser o bien sensible (o animal), o bien, puede ser racional. Cuando es una voluntad racional orientada a la práctica, se puede entender como un arbitrio libre. Este tipo de libertad es interna o moral. Por contraste, se ha referido en este apartado que cuando no se trata de una persona en el ámbito “aislado” de su consciencia personal, hablamos de otro tipo de libertad cuando comparte un contexto con otras voluntades racionales. Esta segunda libertad es la exterior. Antes de ahondar en ella, podemos considerar la necesidad de un sistema de principios metafísicos para el ámbito moral y para el ámbito jurídico, es decir, podemos sopesar la necesidad de una metafísica de la virtud y del derecho. </w:t>
      </w:r>
    </w:p>
    <w:p w14:paraId="2001CBBC" w14:textId="77777777" w:rsidR="00670045" w:rsidRPr="009666E0" w:rsidRDefault="00670045" w:rsidP="00670045">
      <w:pPr>
        <w:spacing w:line="360" w:lineRule="auto"/>
        <w:rPr>
          <w:rFonts w:ascii="Times New Roman" w:hAnsi="Times New Roman"/>
          <w:sz w:val="24"/>
          <w:szCs w:val="24"/>
          <w:lang w:val="es-MX"/>
        </w:rPr>
      </w:pPr>
    </w:p>
    <w:p w14:paraId="7FF1C056" w14:textId="77777777" w:rsidR="00670045" w:rsidRPr="009666E0" w:rsidRDefault="00670045" w:rsidP="00670045">
      <w:pPr>
        <w:pStyle w:val="ListParagraph"/>
        <w:numPr>
          <w:ilvl w:val="2"/>
          <w:numId w:val="10"/>
        </w:numPr>
        <w:spacing w:after="160" w:line="360" w:lineRule="auto"/>
        <w:rPr>
          <w:rFonts w:ascii="Times New Roman" w:hAnsi="Times New Roman"/>
          <w:sz w:val="24"/>
          <w:szCs w:val="24"/>
          <w:lang w:val="es-MX"/>
        </w:rPr>
      </w:pPr>
      <w:r w:rsidRPr="009666E0">
        <w:rPr>
          <w:rFonts w:ascii="Times New Roman" w:hAnsi="Times New Roman"/>
          <w:sz w:val="24"/>
          <w:szCs w:val="24"/>
          <w:lang w:val="es-MX"/>
        </w:rPr>
        <w:lastRenderedPageBreak/>
        <w:t>Sobre la necesidad de una metafísica de las costumbres</w:t>
      </w:r>
    </w:p>
    <w:p w14:paraId="786CA9A9" w14:textId="77777777" w:rsidR="00670045" w:rsidRPr="009666E0" w:rsidRDefault="00670045" w:rsidP="00670045">
      <w:pPr>
        <w:pStyle w:val="ListParagraph"/>
        <w:spacing w:line="360" w:lineRule="auto"/>
        <w:ind w:left="1424"/>
        <w:rPr>
          <w:rFonts w:ascii="Times New Roman" w:hAnsi="Times New Roman"/>
          <w:sz w:val="24"/>
          <w:szCs w:val="24"/>
          <w:lang w:val="es-MX"/>
        </w:rPr>
      </w:pPr>
    </w:p>
    <w:p w14:paraId="7BB5B38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Kant distingue entre las leyes naturales y las leyes morales. Mientras de las primeras podemos generalizar principios mediante la inducción empírica, las segundas se fundan en principios que la razón postula aun cuando no exista un correlato en la realidad. En el ámbito de los preceptos de la moral, refiere Kant que: “Estos obligan a todos, sin tener en cuenta las inclinaciones, y simplemente por la razón de que todo hombre es libre y está dotado de una razón práctica. El conocimiento de las leyes morales no se ha obtenido por la observación de sí mismo o de la animalidad en nosotros; tampoco se ha tomado de la observación del mundo.” (RL AA 06; 2008, p. 20) A ello, agrega que: “La razón prescribe la manera cómo se debe obrar, aun cuando nadie hubiese obrado así. Tampoco se cuida de la utilidad.” (</w:t>
      </w:r>
      <w:r w:rsidRPr="009666E0">
        <w:rPr>
          <w:rFonts w:ascii="Times New Roman" w:hAnsi="Times New Roman"/>
          <w:i/>
          <w:iCs/>
          <w:sz w:val="24"/>
          <w:szCs w:val="24"/>
          <w:lang w:val="es-MX"/>
        </w:rPr>
        <w:t>Ib.</w:t>
      </w:r>
      <w:r w:rsidRPr="009666E0">
        <w:rPr>
          <w:rFonts w:ascii="Times New Roman" w:hAnsi="Times New Roman"/>
          <w:sz w:val="24"/>
          <w:szCs w:val="24"/>
          <w:lang w:val="es-MX"/>
        </w:rPr>
        <w:t>) En esta misma línea, se establece que, a diferencia del modelo eudaimonista de Aristóteles, la moral no se ocupa directamente de la felicidad, sino del sentido del deber, o de volvernos dignos de la felicidad. Todo esto equivale a pensar que todos los seres racionales, sin distinción alguna, poseemos un sentido intrínseco del deber, aunque no siempre seamos testigos de su materialización en la práctica o la historia.</w:t>
      </w:r>
    </w:p>
    <w:p w14:paraId="04B4202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la separación entre las leyes naturales y morales, señala Kant que: “Un sistema del conocimiento </w:t>
      </w:r>
      <w:r w:rsidRPr="009666E0">
        <w:rPr>
          <w:rFonts w:ascii="Times New Roman" w:hAnsi="Times New Roman"/>
          <w:i/>
          <w:iCs/>
          <w:sz w:val="24"/>
          <w:szCs w:val="24"/>
          <w:lang w:val="es-MX"/>
        </w:rPr>
        <w:t>a priori</w:t>
      </w:r>
      <w:r w:rsidRPr="009666E0">
        <w:rPr>
          <w:rFonts w:ascii="Times New Roman" w:hAnsi="Times New Roman"/>
          <w:sz w:val="24"/>
          <w:szCs w:val="24"/>
          <w:lang w:val="es-MX"/>
        </w:rPr>
        <w:t xml:space="preserve"> por simples nociones se llama metafísica, en este caso una filosofía práctica que tiene por objeto, no la naturaleza, sino la libertad del arbitrio, supondrá, y aun exigirá una metafísica de las costumbres. Es decir, que hasta es obligatorio tener esta metafísica, y que todo hombre la posee, aunque ordinariamente de una manera vaga, y por decirlo así, inconsciente.” (RL AA 06; 2008, p. 21) Las leyes morales representan un sistema de principios que se ocupan de regular y orientar la práctica, aunque la naturaleza de sus principios, siendo puramente racionales, no se encuentren manifestados todavía en la realidad. </w:t>
      </w:r>
    </w:p>
    <w:p w14:paraId="0D41316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Algo distinto ocurre con las leyes naturales, las cuales se conocen mediante la experiencia de los fenómenos naturales y la generalización de principios que articulen alguna rama de las ciencias. Por el contrario, el sistema de las leyes morales, es decir, una metafísica de la moral o de las costumbres, no puede fundarse en la experiencia, sino que su fundamento radica en la pura razón, y es en este sentido último que Kant agrega: “Una metafísica de las costumbres no puede fundarse en la antropología, pero puede aplicarse a la misma.” (RL AA 06; 2008, p. 22)</w:t>
      </w:r>
    </w:p>
    <w:p w14:paraId="19105A9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Establecida la necesidad de un sistema de principios racionales para los actos internos y externos de la libertad, podemos atribuir dos grandes ámbitos, que corresponden a las partes de la </w:t>
      </w:r>
      <w:r w:rsidRPr="009666E0">
        <w:rPr>
          <w:rFonts w:ascii="Times New Roman" w:hAnsi="Times New Roman"/>
          <w:i/>
          <w:iCs/>
          <w:sz w:val="24"/>
          <w:szCs w:val="24"/>
          <w:lang w:val="es-MX"/>
        </w:rPr>
        <w:t>Metafísica de las Costumbres</w:t>
      </w:r>
      <w:r w:rsidRPr="009666E0">
        <w:rPr>
          <w:rFonts w:ascii="Times New Roman" w:hAnsi="Times New Roman"/>
          <w:sz w:val="24"/>
          <w:szCs w:val="24"/>
          <w:lang w:val="es-MX"/>
        </w:rPr>
        <w:t xml:space="preserve">. Para los actos internos, es decir, morales, se atribuye el apartado de la virtud. Para los actos externos o jurídicos, se refiere el ámbito del derecho y la justicia. Nosotros nos habremos de centrar en lo último. </w:t>
      </w:r>
    </w:p>
    <w:p w14:paraId="236F179D" w14:textId="77777777" w:rsidR="00670045" w:rsidRPr="009666E0" w:rsidRDefault="00670045" w:rsidP="00670045">
      <w:pPr>
        <w:spacing w:line="360" w:lineRule="auto"/>
        <w:rPr>
          <w:rFonts w:ascii="Times New Roman" w:hAnsi="Times New Roman"/>
          <w:sz w:val="24"/>
          <w:szCs w:val="24"/>
          <w:lang w:val="es-MX"/>
        </w:rPr>
      </w:pPr>
    </w:p>
    <w:p w14:paraId="77E99894" w14:textId="77777777" w:rsidR="00670045" w:rsidRPr="009666E0" w:rsidRDefault="00670045" w:rsidP="00670045">
      <w:pPr>
        <w:pStyle w:val="ListParagraph"/>
        <w:numPr>
          <w:ilvl w:val="2"/>
          <w:numId w:val="10"/>
        </w:numPr>
        <w:spacing w:after="160" w:line="360" w:lineRule="auto"/>
        <w:rPr>
          <w:rFonts w:ascii="Times New Roman" w:hAnsi="Times New Roman"/>
          <w:sz w:val="24"/>
          <w:szCs w:val="24"/>
          <w:lang w:val="es-MX"/>
        </w:rPr>
      </w:pPr>
      <w:r w:rsidRPr="009666E0">
        <w:rPr>
          <w:rFonts w:ascii="Times New Roman" w:hAnsi="Times New Roman"/>
          <w:sz w:val="24"/>
          <w:szCs w:val="24"/>
          <w:lang w:val="es-MX"/>
        </w:rPr>
        <w:t>División de la metafísica de las costumbres</w:t>
      </w:r>
    </w:p>
    <w:p w14:paraId="578F6EF5" w14:textId="77777777" w:rsidR="00670045" w:rsidRPr="009666E0" w:rsidRDefault="00670045" w:rsidP="00670045">
      <w:pPr>
        <w:pStyle w:val="ListParagraph"/>
        <w:spacing w:line="360" w:lineRule="auto"/>
        <w:ind w:left="1424"/>
        <w:rPr>
          <w:rFonts w:ascii="Times New Roman" w:hAnsi="Times New Roman"/>
          <w:sz w:val="24"/>
          <w:szCs w:val="24"/>
          <w:lang w:val="es-MX"/>
        </w:rPr>
      </w:pPr>
    </w:p>
    <w:p w14:paraId="34A09D5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habrá de distinguir dos ámbitos de la legislación. Esta división conlleva a la separación general de la </w:t>
      </w:r>
      <w:r w:rsidRPr="009666E0">
        <w:rPr>
          <w:rFonts w:ascii="Times New Roman" w:hAnsi="Times New Roman"/>
          <w:i/>
          <w:iCs/>
          <w:sz w:val="24"/>
          <w:szCs w:val="24"/>
          <w:lang w:val="es-MX"/>
        </w:rPr>
        <w:t>Metafísica de las costumbres</w:t>
      </w:r>
      <w:r w:rsidRPr="009666E0">
        <w:rPr>
          <w:rFonts w:ascii="Times New Roman" w:hAnsi="Times New Roman"/>
          <w:sz w:val="24"/>
          <w:szCs w:val="24"/>
          <w:lang w:val="es-MX"/>
        </w:rPr>
        <w:t xml:space="preserve">, entre los deberes de derecho y los deberes de virtud. Los deberes de derecho son obligaciones que establece la ley y tienen consecuencias legales que supervisa el estado. Los deberes de virtud se remiten a responsabilidades morales que se enraízan en valores personales. Estos ámbitos corresponden, de esta forma, a una legislación externa para el derecho e interna para la virtud moral. Nosotros apuntamos a profundizar en el marco externo. </w:t>
      </w:r>
    </w:p>
    <w:p w14:paraId="10C0375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señala que: “Toda legislación se compone de dos partes (ya sea que prescriba actos internos o externos) (…) En primer lugar, de una </w:t>
      </w:r>
      <w:r w:rsidRPr="009666E0">
        <w:rPr>
          <w:rFonts w:ascii="Times New Roman" w:hAnsi="Times New Roman"/>
          <w:i/>
          <w:iCs/>
          <w:sz w:val="24"/>
          <w:szCs w:val="24"/>
          <w:lang w:val="es-MX"/>
        </w:rPr>
        <w:t>ley</w:t>
      </w:r>
      <w:r w:rsidRPr="009666E0">
        <w:rPr>
          <w:rFonts w:ascii="Times New Roman" w:hAnsi="Times New Roman"/>
          <w:sz w:val="24"/>
          <w:szCs w:val="24"/>
          <w:lang w:val="es-MX"/>
        </w:rPr>
        <w:t xml:space="preserve"> que presente como objetivamente necesaria la acción que debe ejecutarse, es decir, que hace de la acción un deber; En segundo lugar, de un </w:t>
      </w:r>
      <w:r w:rsidRPr="009666E0">
        <w:rPr>
          <w:rFonts w:ascii="Times New Roman" w:hAnsi="Times New Roman"/>
          <w:i/>
          <w:iCs/>
          <w:sz w:val="24"/>
          <w:szCs w:val="24"/>
          <w:lang w:val="es-MX"/>
        </w:rPr>
        <w:t>motivo</w:t>
      </w:r>
      <w:r w:rsidRPr="009666E0">
        <w:rPr>
          <w:rFonts w:ascii="Times New Roman" w:hAnsi="Times New Roman"/>
          <w:sz w:val="24"/>
          <w:szCs w:val="24"/>
          <w:lang w:val="es-MX"/>
        </w:rPr>
        <w:t xml:space="preserve"> que relacione con la representación de la ley el principio que determina subjetivamente el arbitrio a esta acción. Esta segunda parte equivale, pues, a que la ley haga del deber un motivo.” (RL AA 06; 2008, p. 24) De esta forma, ya sea una legislación interna o una externa, tenemos que en ambos casos se presentan los elementos de las leyes y los motivos de las leyes. </w:t>
      </w:r>
    </w:p>
    <w:p w14:paraId="3917FBA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Además de separar entre las leyes y sus motivos, se introduce la distinción entre interno y externo, por lo cual resultan leyes internas y externas, así como motivos internos y externos, de lo cual se deriva la idea de un deber interno, moral, y de un deber externo, jurídico. </w:t>
      </w:r>
    </w:p>
    <w:p w14:paraId="681E9AA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Hace falta tener en cuenta en qué radica el motivo de la ley, para que se convierta en deber. En el caso de las leyes morales hay una autoafirmación, ya que las leyes internas establecen mandatos que determinan el pleno sentido del deber. El motivo de la ley moral interna es el deber mismo. Sin embargo, por otro lado, en el ámbito de las leyes externas jurídicas es posible que haya otros motivos que sustenten la ley como tal, más allá del deber por sí mismo. Kant señala que: “La legislación que de una acción hace un deber, y que al </w:t>
      </w:r>
      <w:r w:rsidRPr="009666E0">
        <w:rPr>
          <w:rFonts w:ascii="Times New Roman" w:hAnsi="Times New Roman"/>
          <w:sz w:val="24"/>
          <w:szCs w:val="24"/>
          <w:lang w:val="es-MX"/>
        </w:rPr>
        <w:lastRenderedPageBreak/>
        <w:t>mismo tiempo da este deber por motivo, es la legislación moral. Pero la que no hace entrar el motivo en la ley, que por consiguiente permite otro motivo que la idea del deber mismo, es la legislación jurídica.”</w:t>
      </w:r>
      <w:r w:rsidRPr="009666E0">
        <w:rPr>
          <w:rFonts w:ascii="Times New Roman" w:hAnsi="Times New Roman"/>
          <w:sz w:val="24"/>
          <w:szCs w:val="24"/>
        </w:rPr>
        <w:t xml:space="preserve"> </w:t>
      </w:r>
      <w:r w:rsidRPr="009666E0">
        <w:rPr>
          <w:rFonts w:ascii="Times New Roman" w:hAnsi="Times New Roman"/>
          <w:sz w:val="24"/>
          <w:szCs w:val="24"/>
          <w:lang w:val="es-MX"/>
        </w:rPr>
        <w:t>(RL AA 06; 2008, p. 25)</w:t>
      </w:r>
    </w:p>
    <w:p w14:paraId="791FAFBD"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El motivo de las leyes externas radica en los intereses que el libre arbitrio se plantea. De esta forma Kant indica que: “Considerando esta última legislación (*la jurídica) se observa fácilmente que sus motivos, diferentes de la idea del deber, deben buscarse entre los motivos interesados del arbitrio, es decir, entre las inclinaciones y aversiones.” (</w:t>
      </w:r>
      <w:r w:rsidRPr="009666E0">
        <w:rPr>
          <w:rFonts w:ascii="Times New Roman" w:hAnsi="Times New Roman"/>
          <w:i/>
          <w:iCs/>
          <w:sz w:val="24"/>
          <w:szCs w:val="24"/>
          <w:lang w:val="es-MX"/>
        </w:rPr>
        <w:t>Ib.</w:t>
      </w:r>
      <w:r w:rsidRPr="009666E0">
        <w:rPr>
          <w:rFonts w:ascii="Times New Roman" w:hAnsi="Times New Roman"/>
          <w:sz w:val="24"/>
          <w:szCs w:val="24"/>
          <w:lang w:val="es-MX"/>
        </w:rPr>
        <w:t xml:space="preserve">) </w:t>
      </w:r>
    </w:p>
    <w:p w14:paraId="4FA5D2E8"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Una legislación jurídica, por lo tanto, es generalmente prohibitiva, lo que demarca un límite entre lo que está permitido y lo que es punible. Kant refiere que: “La conformidad o la no conformidad pura y simple de una acción con la ley, sin tener en cuenta sus motivos, se llama legalidad o ilegalidad.” (</w:t>
      </w:r>
      <w:r w:rsidRPr="009666E0">
        <w:rPr>
          <w:rFonts w:ascii="Times New Roman" w:hAnsi="Times New Roman"/>
          <w:i/>
          <w:iCs/>
          <w:sz w:val="24"/>
          <w:szCs w:val="24"/>
          <w:lang w:val="es-MX"/>
        </w:rPr>
        <w:t>Ib.</w:t>
      </w:r>
      <w:r w:rsidRPr="009666E0">
        <w:rPr>
          <w:rFonts w:ascii="Times New Roman" w:hAnsi="Times New Roman"/>
          <w:sz w:val="24"/>
          <w:szCs w:val="24"/>
          <w:lang w:val="es-MX"/>
        </w:rPr>
        <w:t>)</w:t>
      </w:r>
    </w:p>
    <w:p w14:paraId="2798E1D4"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La polaridad de lo legal e ilegal establece una orientación para el deber externo, sin embargo, no se desentiende del deber interno. Para Kant, las esferas de las leyes de la libertad que apuntan a lo moral y a lo jurídico se encuentran implicadas unas a otras. Kant indica que: “En la legislación jurídica los deberes no pueden ser más que externos, porque esta legislación no exige que la idea de estos deberes, que es interna, sea por sí misma el principio determinante del arbitrio del agente; y como sin embargo necesita motivos apropiados a una ley, tiene que buscar los externos. La legislación moral, por el contrario, erigiendo en deberes los actos internos, no excluye los externos; sino que al contrario revindica todo lo que es deber en general.” (</w:t>
      </w:r>
      <w:r w:rsidRPr="009666E0">
        <w:rPr>
          <w:rFonts w:ascii="Times New Roman" w:hAnsi="Times New Roman"/>
          <w:i/>
          <w:iCs/>
          <w:sz w:val="24"/>
          <w:szCs w:val="24"/>
          <w:lang w:val="es-MX"/>
        </w:rPr>
        <w:t>Ib.</w:t>
      </w:r>
      <w:r w:rsidRPr="009666E0">
        <w:rPr>
          <w:rFonts w:ascii="Times New Roman" w:hAnsi="Times New Roman"/>
          <w:sz w:val="24"/>
          <w:szCs w:val="24"/>
          <w:lang w:val="es-MX"/>
        </w:rPr>
        <w:t>) Por esta razón, se entiende que luego Kant afirme que: “todos los deberes, por el solo hecho de serlo, pertenecen a la moral. Pero su legislación no por esto está siempre comprendida en la moral.” (RL AA 06; 2008, p. 26) De esta forma, es posible distinguir entre los deberes internos y los deberes externos como instancias que no se excluyen ni oponen. En esta dimensión propuesta, los deberes jurídicos son siempre externos y los deberes internos pueden ser morales o jurídicos, es decir, internos o externos. Esta superposición de las esferas de las leyes de la libertad da cuenta de una implicancia bilateral entre moral y derecho.</w:t>
      </w:r>
    </w:p>
    <w:p w14:paraId="2F1C49C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sistema de la </w:t>
      </w:r>
      <w:r w:rsidRPr="009666E0">
        <w:rPr>
          <w:rFonts w:ascii="Times New Roman" w:hAnsi="Times New Roman"/>
          <w:i/>
          <w:iCs/>
          <w:sz w:val="24"/>
          <w:szCs w:val="24"/>
          <w:lang w:val="es-MX"/>
        </w:rPr>
        <w:t>Metafísica de las costumbres</w:t>
      </w:r>
      <w:r w:rsidRPr="009666E0">
        <w:rPr>
          <w:rFonts w:ascii="Times New Roman" w:hAnsi="Times New Roman"/>
          <w:sz w:val="24"/>
          <w:szCs w:val="24"/>
          <w:lang w:val="es-MX"/>
        </w:rPr>
        <w:t xml:space="preserve"> se distinguen la moral y el derecho de acuerdo a lo que tenga que ver con la virtud (internamente) y con la justicia y el derecho (externamente). Esta división nos deja el panorama de dos caminos para poner en perspectiva la idea de libertad. Para sopesar las ideas que componen el republicanismo de Kant, como manifestación de su pensamiento político, habremos de centrarnos en el ámbito externo del derecho.</w:t>
      </w:r>
    </w:p>
    <w:p w14:paraId="6B47F165" w14:textId="77777777" w:rsidR="00670045" w:rsidRPr="009666E0" w:rsidRDefault="00670045" w:rsidP="00670045">
      <w:pPr>
        <w:spacing w:line="360" w:lineRule="auto"/>
        <w:rPr>
          <w:rFonts w:ascii="Times New Roman" w:hAnsi="Times New Roman"/>
          <w:sz w:val="24"/>
          <w:szCs w:val="24"/>
          <w:lang w:val="es-MX"/>
        </w:rPr>
      </w:pPr>
    </w:p>
    <w:p w14:paraId="4204AB2C" w14:textId="77777777" w:rsidR="00670045" w:rsidRPr="009666E0" w:rsidRDefault="00670045" w:rsidP="00670045">
      <w:pPr>
        <w:pStyle w:val="ListParagraph"/>
        <w:numPr>
          <w:ilvl w:val="2"/>
          <w:numId w:val="10"/>
        </w:numPr>
        <w:spacing w:after="160" w:line="360" w:lineRule="auto"/>
        <w:rPr>
          <w:rFonts w:ascii="Times New Roman" w:hAnsi="Times New Roman"/>
          <w:sz w:val="24"/>
          <w:szCs w:val="24"/>
          <w:lang w:val="es-MX"/>
        </w:rPr>
      </w:pPr>
      <w:r w:rsidRPr="009666E0">
        <w:rPr>
          <w:rFonts w:ascii="Times New Roman" w:hAnsi="Times New Roman"/>
          <w:sz w:val="24"/>
          <w:szCs w:val="24"/>
          <w:lang w:val="es-MX"/>
        </w:rPr>
        <w:t>Libertad interior y otras nociones previas a la teoría del derecho</w:t>
      </w:r>
    </w:p>
    <w:p w14:paraId="48279E03" w14:textId="77777777" w:rsidR="00670045" w:rsidRPr="009666E0" w:rsidRDefault="00670045" w:rsidP="00670045">
      <w:pPr>
        <w:pStyle w:val="ListParagraph"/>
        <w:spacing w:line="360" w:lineRule="auto"/>
        <w:ind w:left="1424"/>
        <w:rPr>
          <w:rFonts w:ascii="Times New Roman" w:hAnsi="Times New Roman"/>
          <w:sz w:val="24"/>
          <w:szCs w:val="24"/>
          <w:lang w:val="es-MX"/>
        </w:rPr>
      </w:pPr>
    </w:p>
    <w:p w14:paraId="32E5A99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expondrá una serie de conceptos generales que serán fundamentales para la ciencia del derecho, de acuerdo a la división establecida. En primer lugar, se establece una idea complementaria sobre la libertad desde la teoría del conocimiento. Kant nos señala que: “La noción de la libertad es una noción de la razón pura que corresponde a la filosofía teórica trascendente. En otros términos, es una noción que no puede tener objeto alguno adecuado en una experiencia posible cualquiera que ella sea; una noción por consiguiente que no es el objeto de un conocimiento teórico posible para nosotros, y que por lo tanto no tiene valor como principio constitutivo, sino solamente como principio regulador.” (RL AA 06; 2008, p. 28) </w:t>
      </w:r>
    </w:p>
    <w:p w14:paraId="2FA6D64D"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Además, Kant agrega que: “La realidad de la libertad se halla establecida en el uso práctico de la razón por principios prácticos. Estos principios determinan, a título de leyes, una causalidad de la razón pura, el arbitrio, independiente de toda condición empírica (de toda condición sensible en general), y revelan en nosotros una voluntad pura, de la cual se originan las nociones y las leyes morales.” (</w:t>
      </w:r>
      <w:r w:rsidRPr="009666E0">
        <w:rPr>
          <w:rFonts w:ascii="Times New Roman" w:hAnsi="Times New Roman"/>
          <w:i/>
          <w:iCs/>
          <w:sz w:val="24"/>
          <w:szCs w:val="24"/>
          <w:lang w:val="es-MX"/>
        </w:rPr>
        <w:t>Ib.</w:t>
      </w:r>
      <w:r w:rsidRPr="009666E0">
        <w:rPr>
          <w:rFonts w:ascii="Times New Roman" w:hAnsi="Times New Roman"/>
          <w:sz w:val="24"/>
          <w:szCs w:val="24"/>
          <w:lang w:val="es-MX"/>
        </w:rPr>
        <w:t xml:space="preserve">) </w:t>
      </w:r>
    </w:p>
    <w:p w14:paraId="2E780B6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Cuando cualquier deber se hace exterior para que regule además de a uno mismo, también a otros, luego esa ley tiene la facultad de obligar. Cuando una ley, orientada desde los principios del derecho para la consecución y mantenimiento de la justicia obliga a una persona, no le resta libertad. Este límite de la libertad es necesario y no le quita algo fundamental, por el contrario, el recorte de la libertad por el derecho representa la distinción entre una libertad salvaje, sin restricciones, hacia una libertad civil, con el límite de la libertad de cada uno, en la libertad de cada uno de los otros. Por lo tanto, la facultad de obligar de la ley es necesaria para una libertad exterior. </w:t>
      </w:r>
    </w:p>
    <w:p w14:paraId="4E5A80E7"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De este panorama de la libertad, Kant extrae algunos conceptos que serán importantes para el derecho. El primero de ellos es la </w:t>
      </w:r>
      <w:r w:rsidRPr="009666E0">
        <w:rPr>
          <w:rFonts w:ascii="Times New Roman" w:hAnsi="Times New Roman"/>
          <w:i/>
          <w:iCs/>
          <w:sz w:val="24"/>
          <w:szCs w:val="24"/>
          <w:lang w:val="es-MX"/>
        </w:rPr>
        <w:t xml:space="preserve">obligación </w:t>
      </w:r>
      <w:r w:rsidRPr="009666E0">
        <w:rPr>
          <w:rFonts w:ascii="Times New Roman" w:hAnsi="Times New Roman"/>
          <w:sz w:val="24"/>
          <w:szCs w:val="24"/>
          <w:lang w:val="es-MX"/>
        </w:rPr>
        <w:t xml:space="preserve">que consiste en: “la necesidad de una acción libre bajo un imperativo categórico de la razón.” (RL AA 06; 2008, p. 30) En seguida se ofrece el concepto de </w:t>
      </w:r>
      <w:r w:rsidRPr="009666E0">
        <w:rPr>
          <w:rFonts w:ascii="Times New Roman" w:hAnsi="Times New Roman"/>
          <w:i/>
          <w:iCs/>
          <w:sz w:val="24"/>
          <w:szCs w:val="24"/>
          <w:lang w:val="es-MX"/>
        </w:rPr>
        <w:t xml:space="preserve">licitud </w:t>
      </w:r>
      <w:r w:rsidRPr="009666E0">
        <w:rPr>
          <w:rFonts w:ascii="Times New Roman" w:hAnsi="Times New Roman"/>
          <w:sz w:val="24"/>
          <w:szCs w:val="24"/>
          <w:lang w:val="es-MX"/>
        </w:rPr>
        <w:t xml:space="preserve">en virtud de que: “una acción es lícita cuando no es contraria a la obligación.” (RL AA 06; 2008, p. 31) De ello deriva un sentido del </w:t>
      </w:r>
      <w:r w:rsidRPr="009666E0">
        <w:rPr>
          <w:rFonts w:ascii="Times New Roman" w:hAnsi="Times New Roman"/>
          <w:i/>
          <w:iCs/>
          <w:sz w:val="24"/>
          <w:szCs w:val="24"/>
          <w:lang w:val="es-MX"/>
        </w:rPr>
        <w:t>deber</w:t>
      </w:r>
      <w:r w:rsidRPr="009666E0">
        <w:rPr>
          <w:rFonts w:ascii="Times New Roman" w:hAnsi="Times New Roman"/>
          <w:sz w:val="24"/>
          <w:szCs w:val="24"/>
          <w:lang w:val="es-MX"/>
        </w:rPr>
        <w:t>, en cuanto: “el deber es la acción a que una persona se encuentra obligada.” (</w:t>
      </w:r>
      <w:r w:rsidRPr="009666E0">
        <w:rPr>
          <w:rFonts w:ascii="Times New Roman" w:hAnsi="Times New Roman"/>
          <w:i/>
          <w:iCs/>
          <w:sz w:val="24"/>
          <w:szCs w:val="24"/>
          <w:lang w:val="es-MX"/>
        </w:rPr>
        <w:t>Ib.</w:t>
      </w:r>
      <w:r w:rsidRPr="009666E0">
        <w:rPr>
          <w:rFonts w:ascii="Times New Roman" w:hAnsi="Times New Roman"/>
          <w:sz w:val="24"/>
          <w:szCs w:val="24"/>
          <w:lang w:val="es-MX"/>
        </w:rPr>
        <w:t xml:space="preserve">) </w:t>
      </w:r>
    </w:p>
    <w:p w14:paraId="010FFBE2"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Consideradas la obligación, la licitud y el deber, se piensa luego en los conceptos de </w:t>
      </w:r>
      <w:r w:rsidRPr="009666E0">
        <w:rPr>
          <w:rFonts w:ascii="Times New Roman" w:hAnsi="Times New Roman"/>
          <w:i/>
          <w:iCs/>
          <w:sz w:val="24"/>
          <w:szCs w:val="24"/>
          <w:lang w:val="es-MX"/>
        </w:rPr>
        <w:t xml:space="preserve">hecho </w:t>
      </w:r>
      <w:r w:rsidRPr="009666E0">
        <w:rPr>
          <w:rFonts w:ascii="Times New Roman" w:hAnsi="Times New Roman"/>
          <w:sz w:val="24"/>
          <w:szCs w:val="24"/>
          <w:lang w:val="es-MX"/>
        </w:rPr>
        <w:t>y</w:t>
      </w:r>
      <w:r w:rsidRPr="009666E0">
        <w:rPr>
          <w:rFonts w:ascii="Times New Roman" w:hAnsi="Times New Roman"/>
          <w:i/>
          <w:iCs/>
          <w:sz w:val="24"/>
          <w:szCs w:val="24"/>
          <w:lang w:val="es-MX"/>
        </w:rPr>
        <w:t xml:space="preserve"> acto</w:t>
      </w:r>
      <w:r w:rsidRPr="009666E0">
        <w:rPr>
          <w:rFonts w:ascii="Times New Roman" w:hAnsi="Times New Roman"/>
          <w:sz w:val="24"/>
          <w:szCs w:val="24"/>
          <w:lang w:val="es-MX"/>
        </w:rPr>
        <w:t xml:space="preserve">, en virtud de que: “un hecho recibe el nombre de acción en cuanto está sometido a las leyes de la obligación, por consiguiente, en cuanto el sujeto en él es considerado según la libertad de su arbitrio. El agente es considerado respecto de este acto como </w:t>
      </w:r>
      <w:r w:rsidRPr="009666E0">
        <w:rPr>
          <w:rFonts w:ascii="Times New Roman" w:hAnsi="Times New Roman"/>
          <w:i/>
          <w:iCs/>
          <w:sz w:val="24"/>
          <w:szCs w:val="24"/>
          <w:lang w:val="es-MX"/>
        </w:rPr>
        <w:t>autor</w:t>
      </w:r>
      <w:r w:rsidRPr="009666E0">
        <w:rPr>
          <w:rFonts w:ascii="Times New Roman" w:hAnsi="Times New Roman"/>
          <w:sz w:val="24"/>
          <w:szCs w:val="24"/>
          <w:lang w:val="es-MX"/>
        </w:rPr>
        <w:t xml:space="preserve"> del hecho material; y este hecho, y la acción misma, pueden serle </w:t>
      </w:r>
      <w:r w:rsidRPr="009666E0">
        <w:rPr>
          <w:rFonts w:ascii="Times New Roman" w:hAnsi="Times New Roman"/>
          <w:i/>
          <w:iCs/>
          <w:sz w:val="24"/>
          <w:szCs w:val="24"/>
          <w:lang w:val="es-MX"/>
        </w:rPr>
        <w:t>imputados</w:t>
      </w:r>
      <w:r w:rsidRPr="009666E0">
        <w:rPr>
          <w:rFonts w:ascii="Times New Roman" w:hAnsi="Times New Roman"/>
          <w:sz w:val="24"/>
          <w:szCs w:val="24"/>
          <w:lang w:val="es-MX"/>
        </w:rPr>
        <w:t>.” (RL AA 06; 2008, p. 32)</w:t>
      </w:r>
    </w:p>
    <w:p w14:paraId="5D3EB80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Así, se puede pensar en la idea de </w:t>
      </w:r>
      <w:r w:rsidRPr="009666E0">
        <w:rPr>
          <w:rFonts w:ascii="Times New Roman" w:hAnsi="Times New Roman"/>
          <w:i/>
          <w:iCs/>
          <w:sz w:val="24"/>
          <w:szCs w:val="24"/>
          <w:lang w:val="es-MX"/>
        </w:rPr>
        <w:t>persona</w:t>
      </w:r>
      <w:r w:rsidRPr="009666E0">
        <w:rPr>
          <w:rFonts w:ascii="Times New Roman" w:hAnsi="Times New Roman"/>
          <w:sz w:val="24"/>
          <w:szCs w:val="24"/>
          <w:lang w:val="es-MX"/>
        </w:rPr>
        <w:t>, en cuanto agente, al que le es imputable cualquier. Kant refiere que: “Una persona es el sujeto cuyas acciones son susceptibles de imputación. La personalidad moral, pues, no es más que la libertad de un ser racional sometido a leyes morales. La personalidad psicológica no es más que la facultad del ser que tiene conciencia de sí mismo en los diferentes estados de la identidad de su existencia. De donde se sigue que una persona no puede ser sometida más que a las leyes que ella misma se da (ya a sí sola, ya a sí al mismo tiempo que a otros)” (RL AA 06; 2008, p. 32) Esta dimensión anticipa el concepto del consentimiento y presupone necesariamente un tipo de libertad para la persona.</w:t>
      </w:r>
    </w:p>
    <w:p w14:paraId="4A270E2E"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A diferencia de una persona libre, se entiende a una </w:t>
      </w:r>
      <w:r w:rsidRPr="009666E0">
        <w:rPr>
          <w:rFonts w:ascii="Times New Roman" w:hAnsi="Times New Roman"/>
          <w:i/>
          <w:iCs/>
          <w:sz w:val="24"/>
          <w:szCs w:val="24"/>
          <w:lang w:val="es-MX"/>
        </w:rPr>
        <w:t>cosa</w:t>
      </w:r>
      <w:r w:rsidRPr="009666E0">
        <w:rPr>
          <w:rFonts w:ascii="Times New Roman" w:hAnsi="Times New Roman"/>
          <w:sz w:val="24"/>
          <w:szCs w:val="24"/>
          <w:lang w:val="es-MX"/>
        </w:rPr>
        <w:t xml:space="preserve"> como: “lo que no es susceptible de ninguna imputación.” (RL AA 06; 2008, p. 32), es decir, un ser amoral. Así, para los seres morales, se puede establecer el horizonte de lo que se entiende por los actos justos, ya que: “Lo justo o injusto es en general un hecho conforme o no conforme con el deber.” (</w:t>
      </w:r>
      <w:r w:rsidRPr="009666E0">
        <w:rPr>
          <w:rFonts w:ascii="Times New Roman" w:hAnsi="Times New Roman"/>
          <w:i/>
          <w:iCs/>
          <w:sz w:val="24"/>
          <w:szCs w:val="24"/>
          <w:lang w:val="es-MX"/>
        </w:rPr>
        <w:t>Ib.</w:t>
      </w:r>
      <w:r w:rsidRPr="009666E0">
        <w:rPr>
          <w:rFonts w:ascii="Times New Roman" w:hAnsi="Times New Roman"/>
          <w:sz w:val="24"/>
          <w:szCs w:val="24"/>
          <w:lang w:val="es-MX"/>
        </w:rPr>
        <w:t xml:space="preserve">) En donde se entiende que la facultad de ser justo es solo aplicable a personas morales y no a cosas. </w:t>
      </w:r>
    </w:p>
    <w:p w14:paraId="5757E90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De esta manera, para las personas libres, en virtud de sus actos, Kant establece que: “Un hecho contrario al deber se llama </w:t>
      </w:r>
      <w:r w:rsidRPr="009666E0">
        <w:rPr>
          <w:rFonts w:ascii="Times New Roman" w:hAnsi="Times New Roman"/>
          <w:i/>
          <w:iCs/>
          <w:sz w:val="24"/>
          <w:szCs w:val="24"/>
          <w:lang w:val="es-MX"/>
        </w:rPr>
        <w:t>transgresión</w:t>
      </w:r>
      <w:r w:rsidRPr="009666E0">
        <w:rPr>
          <w:rFonts w:ascii="Times New Roman" w:hAnsi="Times New Roman"/>
          <w:sz w:val="24"/>
          <w:szCs w:val="24"/>
          <w:lang w:val="es-MX"/>
        </w:rPr>
        <w:t xml:space="preserve">. La transgresión no premeditada, pero sin embargo imputable, es una simple </w:t>
      </w:r>
      <w:r w:rsidRPr="009666E0">
        <w:rPr>
          <w:rFonts w:ascii="Times New Roman" w:hAnsi="Times New Roman"/>
          <w:i/>
          <w:iCs/>
          <w:sz w:val="24"/>
          <w:szCs w:val="24"/>
          <w:lang w:val="es-MX"/>
        </w:rPr>
        <w:t>falta</w:t>
      </w:r>
      <w:r w:rsidRPr="009666E0">
        <w:rPr>
          <w:rFonts w:ascii="Times New Roman" w:hAnsi="Times New Roman"/>
          <w:sz w:val="24"/>
          <w:szCs w:val="24"/>
          <w:lang w:val="es-MX"/>
        </w:rPr>
        <w:t xml:space="preserve">. La transgresión deliberada (es decir la que va acompañada de la consciencia de que hay transgresión) se llama </w:t>
      </w:r>
      <w:r w:rsidRPr="009666E0">
        <w:rPr>
          <w:rFonts w:ascii="Times New Roman" w:hAnsi="Times New Roman"/>
          <w:i/>
          <w:iCs/>
          <w:sz w:val="24"/>
          <w:szCs w:val="24"/>
          <w:lang w:val="es-MX"/>
        </w:rPr>
        <w:t>delito</w:t>
      </w:r>
      <w:r w:rsidRPr="009666E0">
        <w:rPr>
          <w:rFonts w:ascii="Times New Roman" w:hAnsi="Times New Roman"/>
          <w:sz w:val="24"/>
          <w:szCs w:val="24"/>
          <w:lang w:val="es-MX"/>
        </w:rPr>
        <w:t xml:space="preserve">. Lo que se conforma con las leyes externas se llama </w:t>
      </w:r>
      <w:r w:rsidRPr="009666E0">
        <w:rPr>
          <w:rFonts w:ascii="Times New Roman" w:hAnsi="Times New Roman"/>
          <w:i/>
          <w:iCs/>
          <w:sz w:val="24"/>
          <w:szCs w:val="24"/>
          <w:lang w:val="es-MX"/>
        </w:rPr>
        <w:t>justo</w:t>
      </w:r>
      <w:r w:rsidRPr="009666E0">
        <w:rPr>
          <w:rFonts w:ascii="Times New Roman" w:hAnsi="Times New Roman"/>
          <w:sz w:val="24"/>
          <w:szCs w:val="24"/>
          <w:lang w:val="es-MX"/>
        </w:rPr>
        <w:t xml:space="preserve">, lo contrario se llama </w:t>
      </w:r>
      <w:r w:rsidRPr="009666E0">
        <w:rPr>
          <w:rFonts w:ascii="Times New Roman" w:hAnsi="Times New Roman"/>
          <w:i/>
          <w:iCs/>
          <w:sz w:val="24"/>
          <w:szCs w:val="24"/>
          <w:lang w:val="es-MX"/>
        </w:rPr>
        <w:t>injusto</w:t>
      </w:r>
      <w:r w:rsidRPr="009666E0">
        <w:rPr>
          <w:rFonts w:ascii="Times New Roman" w:hAnsi="Times New Roman"/>
          <w:sz w:val="24"/>
          <w:szCs w:val="24"/>
          <w:lang w:val="es-MX"/>
        </w:rPr>
        <w:t xml:space="preserve">.” (RL AA 06; 2008, p. 33) </w:t>
      </w:r>
    </w:p>
    <w:p w14:paraId="6292B39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caso de la moral, la razón, cristalizada en la forma del imperativo categórico, parece ser la legítima autoridad de su legislación, por lo cual cada ley tiene por sí misma un motivo del deber. En el ámbito del derecho, debemos admitir otros motivos, y, por lo tanto, deberá buscarse otra autoridad legítima para legislar, que no excluya a la razón. </w:t>
      </w:r>
    </w:p>
    <w:p w14:paraId="310074B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marco de los intereses del arbitrio tenemos unos principios que norman el actuar y al que podemos entenderle como máximas. Kant indica que: “El principio, que de ciertas acciones hace un deber, es una ley práctica. Pero la regla que el agente se prescribe a sí mismo, </w:t>
      </w:r>
      <w:r w:rsidRPr="009666E0">
        <w:rPr>
          <w:rFonts w:ascii="Times New Roman" w:hAnsi="Times New Roman"/>
          <w:sz w:val="24"/>
          <w:szCs w:val="24"/>
          <w:lang w:val="es-MX"/>
        </w:rPr>
        <w:lastRenderedPageBreak/>
        <w:t xml:space="preserve">como principio por razones subjetivas, se llama su </w:t>
      </w:r>
      <w:r w:rsidRPr="009666E0">
        <w:rPr>
          <w:rFonts w:ascii="Times New Roman" w:hAnsi="Times New Roman"/>
          <w:i/>
          <w:iCs/>
          <w:sz w:val="24"/>
          <w:szCs w:val="24"/>
          <w:lang w:val="es-MX"/>
        </w:rPr>
        <w:t>máxima</w:t>
      </w:r>
      <w:r w:rsidRPr="009666E0">
        <w:rPr>
          <w:rFonts w:ascii="Times New Roman" w:hAnsi="Times New Roman"/>
          <w:sz w:val="24"/>
          <w:szCs w:val="24"/>
          <w:lang w:val="es-MX"/>
        </w:rPr>
        <w:t>. Por donde se ve que con leyes idénticas las máximas de los agentes pueden ser muy diferentes.” (</w:t>
      </w:r>
      <w:r w:rsidRPr="009666E0">
        <w:rPr>
          <w:rFonts w:ascii="Times New Roman" w:hAnsi="Times New Roman"/>
          <w:i/>
          <w:iCs/>
          <w:sz w:val="24"/>
          <w:szCs w:val="24"/>
          <w:lang w:val="es-MX"/>
        </w:rPr>
        <w:t>Ib.</w:t>
      </w:r>
      <w:r w:rsidRPr="009666E0">
        <w:rPr>
          <w:rFonts w:ascii="Times New Roman" w:hAnsi="Times New Roman"/>
          <w:sz w:val="24"/>
          <w:szCs w:val="24"/>
          <w:lang w:val="es-MX"/>
        </w:rPr>
        <w:t>)</w:t>
      </w:r>
    </w:p>
    <w:p w14:paraId="798B11B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habrá de agregar que: “Una </w:t>
      </w:r>
      <w:r w:rsidRPr="009666E0">
        <w:rPr>
          <w:rFonts w:ascii="Times New Roman" w:hAnsi="Times New Roman"/>
          <w:i/>
          <w:iCs/>
          <w:sz w:val="24"/>
          <w:szCs w:val="24"/>
          <w:lang w:val="es-MX"/>
        </w:rPr>
        <w:t>máxima</w:t>
      </w:r>
      <w:r w:rsidRPr="009666E0">
        <w:rPr>
          <w:rFonts w:ascii="Times New Roman" w:hAnsi="Times New Roman"/>
          <w:sz w:val="24"/>
          <w:szCs w:val="24"/>
          <w:lang w:val="es-MX"/>
        </w:rPr>
        <w:t xml:space="preserve"> es el principio subjetivo que el sujeto se impone como regla de acción.” (RL AA 06; 2008, p. 35) Si bien su espectro parte de lo subjetivo, su intención aspira a lo universal. Y así: “El imperativo categórico, que enuncia de una manera general lo que es obligatorio, puede formularse así: Obra según una máxima que pueda al mismo tiempo tener valor de una ley general. Puedes, pues, considerar tus acciones según su principio subjetivo; pero no puedes estar seguro de que un principio tiene valor objetivo, sino cuando sea adecuado a una legislación universal, es decir, cuando este principio pueda ser erigido por tu razón en legislación universal.” (</w:t>
      </w:r>
      <w:r w:rsidRPr="009666E0">
        <w:rPr>
          <w:rFonts w:ascii="Times New Roman" w:hAnsi="Times New Roman"/>
          <w:i/>
          <w:iCs/>
          <w:sz w:val="24"/>
          <w:szCs w:val="24"/>
          <w:lang w:val="es-MX"/>
        </w:rPr>
        <w:t>Ib.</w:t>
      </w:r>
      <w:r w:rsidRPr="009666E0">
        <w:rPr>
          <w:rFonts w:ascii="Times New Roman" w:hAnsi="Times New Roman"/>
          <w:sz w:val="24"/>
          <w:szCs w:val="24"/>
          <w:lang w:val="es-MX"/>
        </w:rPr>
        <w:t xml:space="preserve">) Este ámbito gobernado por la forma del imperativo categórico es el de la libertad moral o interna. </w:t>
      </w:r>
    </w:p>
    <w:p w14:paraId="67333C8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La libertad moral supone la autonomía interna y un elemento distintivo de lo humano encarnado en la razón, y de esta manera: “El principio supremo de la moral, es pues: Obra según una máxima que pueda tener valor como ley general. Toda máxima que no sea susceptible de esta extensión, es contraria a la moral.” (RL AA 06; 2008, p. 36) </w:t>
      </w:r>
    </w:p>
    <w:p w14:paraId="33A6A10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Sobre el autor de las leyes morales, señala Kant que: “Una ley (moralmente práctica) es una proposición que contiene un imperativo categórico, una orden. El que manda por medio de una ley, es el legislador. Es el autor de la obligación por la ley; pero no es siempre el autor de la ley.” (RL AA 06; 2008, p. 37) Y luego agrega Kant: “La ley, que nos obliga </w:t>
      </w:r>
      <w:r w:rsidRPr="009666E0">
        <w:rPr>
          <w:rFonts w:ascii="Times New Roman" w:hAnsi="Times New Roman"/>
          <w:i/>
          <w:iCs/>
          <w:sz w:val="24"/>
          <w:szCs w:val="24"/>
          <w:lang w:val="es-MX"/>
        </w:rPr>
        <w:t>a priori</w:t>
      </w:r>
      <w:r w:rsidRPr="009666E0">
        <w:rPr>
          <w:rFonts w:ascii="Times New Roman" w:hAnsi="Times New Roman"/>
          <w:sz w:val="24"/>
          <w:szCs w:val="24"/>
          <w:lang w:val="es-MX"/>
        </w:rPr>
        <w:t xml:space="preserve"> e incondicionalmente por nuestra propia razón, puede también considerarse como procedente de la voluntad de un legislador supremo.” (RL AA 06; 2008, p. 38) Esta legisladora suprema no es otra que la razón. La autoridad legislativa de lo interno o moral, es la razón, mediante la forma de un imperativo categórico.</w:t>
      </w:r>
    </w:p>
    <w:p w14:paraId="1A7B442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Por lo revisado, tenemos que, en el ámbito interno de la libertad moral, la forma que le gobierna es una que se materializa con el imperativo categórico. La autoridad legislativa del ámbito interior está fundada en la razón. Una forma análoga debe buscarse para la libertad externa. Este sería un principio universal y fundacional del derecho que se norme por máximas o fundamentos que apunten a lo objetivo en la medida de lo posible. Nos resta encontrar un principio con motivos diferentes para el ámbito exterior, es decir, para el jurídico, que no excluya a la razón ni a la libertad.</w:t>
      </w:r>
    </w:p>
    <w:p w14:paraId="05F387FC" w14:textId="77777777" w:rsidR="00670045" w:rsidRPr="009666E0" w:rsidRDefault="00670045" w:rsidP="00670045">
      <w:pPr>
        <w:spacing w:line="360" w:lineRule="auto"/>
        <w:rPr>
          <w:rFonts w:ascii="Times New Roman" w:hAnsi="Times New Roman"/>
          <w:sz w:val="24"/>
          <w:szCs w:val="24"/>
          <w:lang w:val="es-MX"/>
        </w:rPr>
      </w:pPr>
    </w:p>
    <w:p w14:paraId="6AB477E8" w14:textId="77777777" w:rsidR="00670045" w:rsidRPr="009666E0" w:rsidRDefault="00670045" w:rsidP="00670045">
      <w:pPr>
        <w:pStyle w:val="ListParagraph"/>
        <w:numPr>
          <w:ilvl w:val="2"/>
          <w:numId w:val="10"/>
        </w:numPr>
        <w:spacing w:after="160" w:line="360" w:lineRule="auto"/>
        <w:rPr>
          <w:rFonts w:ascii="Times New Roman" w:hAnsi="Times New Roman"/>
          <w:sz w:val="24"/>
          <w:szCs w:val="24"/>
          <w:lang w:val="es-MX"/>
        </w:rPr>
      </w:pPr>
      <w:r w:rsidRPr="009666E0">
        <w:rPr>
          <w:rFonts w:ascii="Times New Roman" w:hAnsi="Times New Roman"/>
          <w:sz w:val="24"/>
          <w:szCs w:val="24"/>
          <w:lang w:val="es-MX"/>
        </w:rPr>
        <w:t>El derecho como ciencia: La libertad exterior como libertad jurídica</w:t>
      </w:r>
    </w:p>
    <w:p w14:paraId="2868E350" w14:textId="77777777" w:rsidR="00670045" w:rsidRPr="009666E0" w:rsidRDefault="00670045" w:rsidP="00670045">
      <w:pPr>
        <w:pStyle w:val="ListParagraph"/>
        <w:spacing w:line="360" w:lineRule="auto"/>
        <w:ind w:left="1424"/>
        <w:rPr>
          <w:rFonts w:ascii="Times New Roman" w:hAnsi="Times New Roman"/>
          <w:sz w:val="24"/>
          <w:szCs w:val="24"/>
          <w:lang w:val="es-MX"/>
        </w:rPr>
      </w:pPr>
    </w:p>
    <w:p w14:paraId="5AE53A58"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Cuando Kant habla del derecho como ciencia refiere el carácter recto y de precisión matemática que posee, entendido como una disciplina que se fundamenta en principios metafísicos y aspira, ya que no siempre lo consigue, a la exactitud. Podemos revisar algunos elementos de la naturaleza del derecho, para poder atender a su principio universal, distinto al principio universal de la moral, y así, finalmente, considerar otros aspectos de la distinción entre libertad interior y exterior. </w:t>
      </w:r>
    </w:p>
    <w:p w14:paraId="26FC2A5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Mientras las leyes morales internas están determinadas por la legislación formal de un imperativo categórico, por otro lado, las leyes externas se encuentran establecidas en virtud del escenario de muchas moralidades entrecruzando sus intereses. En este panorama tenemos un espacio compartido y de relaciones de influencia mutua. Mientras el ámbito moral es el de las leyes internas, por otro lado, Kant señala que: “El conjunto de las leyes susceptibles de una legislación exterior, se llama teoría del derecho, o simplemente derecho.” (RL AA 06; 2008, p. 40) El derecho, por lo tanto, se entiende como una disciplina que aspira a la formalidad de una ciencia, en virtud de las leyes que regulan la libertad exterior, que, en este sentido, además de ser una libertad externa, podrá entenderse como una libertad jurídica</w:t>
      </w:r>
    </w:p>
    <w:p w14:paraId="32F14CC8"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Cuando Kant desarrolla qué es el derecho en sí, estima tres consideraciones. En principio, señalará el escenario en donde se establece esa regulación de las relaciones de personas libres. El ámbito exterior a lo moral en la persona, encuentra a otra persona con ese contraste entre su interioridad y la exterioridad compartida; de esto se entiende que se encuentren en una relación de influencia recíproca. </w:t>
      </w:r>
    </w:p>
    <w:p w14:paraId="6E1B743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De esta forma, Kant señala que: “La noción de derecho, respecto de una obligación correspondiente (es decir, la noción moral de esta obligación), en primer lugar, no concierne más que a la relación exterior y aun práctica de una persona con otra, en cuanto sus acciones como hechos pueden tener una influencia (mediata o inmediata) sobre otras acciones.” (RL AA 06; 2008, p. 41)</w:t>
      </w:r>
    </w:p>
    <w:p w14:paraId="2E4545F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seguida, al considerar el derecho, Kant establecerá un ámbito distinto a la relación interna de las leyes morales con las facultades del alma, precisamente por la naturaleza del encuentro de diversas interioridades, y de esta manera, refiere que: “En segundo lugar, esta noción (*la del derecho) no indica la relación del arbitrio con el deseo (por consiguiente, con la simple necesidad) de otro, como en los actos de beneficencia o de crueldad, sino simplemente la relación del arbitrio del agente con el arbitrio de otro.” (RL AA 06; 2008, p. </w:t>
      </w:r>
      <w:r w:rsidRPr="009666E0">
        <w:rPr>
          <w:rFonts w:ascii="Times New Roman" w:hAnsi="Times New Roman"/>
          <w:sz w:val="24"/>
          <w:szCs w:val="24"/>
          <w:lang w:val="es-MX"/>
        </w:rPr>
        <w:lastRenderedPageBreak/>
        <w:t xml:space="preserve">42) Al reconocer el contraste entre los arbitrios libres, se presupone una pluralidad en las relaciones marcadas por la insociable sociabilidad. Esto anticipa la necesidad categórica de entrar en relaciones civiles. </w:t>
      </w:r>
    </w:p>
    <w:p w14:paraId="329A816E"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Finalmente, esto nos conduce, desde la perspectiva de la necesidad de regular la libertad, para que no sea una salvaje, sino una civilizada, a establecer un límite que permita la libertad de todos, de forma recíproca y simultánea. Kant nos dice que: “En tercer lugar, en esta relación mutua del arbitrio, no se toma en consideración la materia del arbitrio, es decir, el fin que cada uno se propone. No se discute, por ejemplo, en el contrato que otro celebre conmigo para su propio comercio, si, mediante él, podrá obtener este o el otro beneficio; no se discute más que la forma en la relación del arbitrio respectivo de los contratantes, considerada bajo el punto de vista de la libertad; es decir, que solo hace falta saber si la acción de uno de ellos es o no un obstáculo a la libertad del otro según una ley general.” (RL AA 06; 2008, p. 42) Esto nos deja en las puertas del principio universal del derecho.</w:t>
      </w:r>
    </w:p>
    <w:p w14:paraId="6C642B3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Mientras la libertad interior estaba marcada por la legislación de un imperativo categórico, por otro lado, la libertad exterior se encuentra fundamentada en este principio universal del derecho o la justicia. Kant lo formula del siguiente modo: “Es justa toda acción que, por sí, o por su máxima, no es un obstáculo a la conformidad de la libertad del arbitrio de todos con la libertad de cada uno según leyes universales.” (RL AA 06; 2008, p. 42) </w:t>
      </w:r>
    </w:p>
    <w:p w14:paraId="59DB613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Kant, entretejiendo las dimensiones de la libertad interna y externa, reformula el principio de la siguiente manera: “La moral exige de mí que adopte por máxima el conformar mis acciones al derecho. Por consiguiente, la ley universal de derecho: Obra exteriormente de modo que el libre uso de tu arbitrio pueda conciliarse con la libertad de todos según una ley universal; es, en verdad, una ley que me impone una obligación.” (</w:t>
      </w:r>
      <w:r w:rsidRPr="009666E0">
        <w:rPr>
          <w:rFonts w:ascii="Times New Roman" w:hAnsi="Times New Roman"/>
          <w:i/>
          <w:iCs/>
          <w:sz w:val="24"/>
          <w:szCs w:val="24"/>
          <w:lang w:val="es-MX"/>
        </w:rPr>
        <w:t>Ib.</w:t>
      </w:r>
      <w:r w:rsidRPr="009666E0">
        <w:rPr>
          <w:rFonts w:ascii="Times New Roman" w:hAnsi="Times New Roman"/>
          <w:sz w:val="24"/>
          <w:szCs w:val="24"/>
          <w:lang w:val="es-MX"/>
        </w:rPr>
        <w:t>)</w:t>
      </w:r>
    </w:p>
    <w:p w14:paraId="502D01F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Estas dos formulaciones del principio general metafísico del derecho apuntan a la regulación de los actos libres externos, es decir, los que se manifiestan en las relaciones humanas, de persona a persona o de Estado a Estado. El ámbito externo, reconociendo la reciprocidad de influencia, pone como límite de la libertad propia, la libertad de otros. Esto se condice con la virtud moral interna, y por el peso del deber, nos demanda una obligación. Precisamente por ello Kant agrega que: “El derecho es inseparable de la facultad de obligar.” (RL AA 06; 2008, p. 44)</w:t>
      </w:r>
    </w:p>
    <w:p w14:paraId="69B09CFE"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Esto pone a la persona, (bajo un estado de derecho), en cualidad de igualdad ante la ley, por lo cual, señala Kant: “El derecho estricto puede también representarse como la posibilidad </w:t>
      </w:r>
      <w:r w:rsidRPr="009666E0">
        <w:rPr>
          <w:rFonts w:ascii="Times New Roman" w:hAnsi="Times New Roman"/>
          <w:sz w:val="24"/>
          <w:szCs w:val="24"/>
          <w:lang w:val="es-MX"/>
        </w:rPr>
        <w:lastRenderedPageBreak/>
        <w:t xml:space="preserve">de una obligación mutua, universal, conforme con la libertad de todos según leyes generales.” (RL AA 06; 2008, p. 44) Esta obligación mutua de obligarnos unos a otros a cumplir la ley es una de las dimensiones más resaltantes de la libertad jurídica, ya que acentúa no solo la igualdad ante la ley, sino el carácter recíproco de la libertad exterior. </w:t>
      </w:r>
    </w:p>
    <w:p w14:paraId="3783B4A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Habiendo considerado estas características del derecho, Kant sintetiza lo siguiente: “Se puede inmediatamente hacer consistir la noción del derecho en la posibilidad de conformar la obligación general recíproca con la libertad de todos.” (RL AA 06; 2008, p. 45) Este horizonte es precisamente el de la libertad externa. Por ello, Kant agrega que: “Como el derecho no tiene absolutamente por objeto más que lo que concierne a los actos exteriores, el derecho estricto, aquel en que no se mezcla nada propio de la moral, es el que no exige más que principios exteriores de determinación para el arbitrio; porque en este caso es puro y sin mezcla de precepto alguno moral. Solamente, pues, el derecho puramente exterior puede llamarse derecho estricto.” (</w:t>
      </w:r>
      <w:r w:rsidRPr="009666E0">
        <w:rPr>
          <w:rFonts w:ascii="Times New Roman" w:hAnsi="Times New Roman"/>
          <w:i/>
          <w:iCs/>
          <w:sz w:val="24"/>
          <w:szCs w:val="24"/>
          <w:lang w:val="es-MX"/>
        </w:rPr>
        <w:t>Ib.</w:t>
      </w:r>
      <w:r w:rsidRPr="009666E0">
        <w:rPr>
          <w:rFonts w:ascii="Times New Roman" w:hAnsi="Times New Roman"/>
          <w:sz w:val="24"/>
          <w:szCs w:val="24"/>
          <w:lang w:val="es-MX"/>
        </w:rPr>
        <w:t>)</w:t>
      </w:r>
    </w:p>
    <w:p w14:paraId="52B7737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distingue así entre los ámbitos interno y externo de la libertad. Esta división tiene la consideración de incluir algún sentido de la obligación. La obligación interna se fundamenta en el sentido del deber, mientras que la obligación externa parece erigirse en la necesidad de un horizonte civil, que es posibilitado con las leyes de acuerdo a un derecho como una ciencia de la justicia. Kant enfatiza la separación del siguiente modo: “Este derecho se funda, a la verdad, en la conciencia de la obligación de todos según la ley; pero, para determinar el arbitrio en consecuencia de esta obligación, el derecho estricto o puro no puede ni debe referirse a esta consciencia como móvil; por el contrario, debe apoyarse en el principio de la posibilidad de una fuerza exterior conciliable con la libertad de todos según leyes generales.” (RL AA 06; 2008, p. 45) </w:t>
      </w:r>
    </w:p>
    <w:p w14:paraId="62D49608"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Para Kant, el derecho será aquella ciencia de la justicia y las leyes que permita una libertad exterior de límites recíprocos. Agregará que: “La ley de una obligación mutua que se conforma necesariamente con la libertad de todos, bajo el principio de la libertad general, es en cierto modo, la construcción de esta noción del derecho.” (RL AA 06; 2008, p. 45) Esta obligación mutua es como una semilla del horizonte civil que se propone en el republicanismo de Kant. La libertad externa, por lo visto, habrá de observar ese horizonte de obligación mutua y de límites recíprocos de la libertad. Por esta razón, la libertad externa se entiende como jurídica. </w:t>
      </w:r>
    </w:p>
    <w:p w14:paraId="108CA4E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El derecho, como ciencia, apunta a la justicia. En la tradición que pasa por Platón, Aristóteles, Cicerón, Ulpiano y muchos otros, la idea de la justicia como distributiva, (es </w:t>
      </w:r>
      <w:r w:rsidRPr="009666E0">
        <w:rPr>
          <w:rFonts w:ascii="Times New Roman" w:hAnsi="Times New Roman"/>
          <w:sz w:val="24"/>
          <w:szCs w:val="24"/>
          <w:lang w:val="es-MX"/>
        </w:rPr>
        <w:lastRenderedPageBreak/>
        <w:t>decir, como la que busca darle a cada cual lo suyo), es un largo y extenso panorama. Para pensar en la libertad exterior, nos bastará señalar con Kant que: “El derecho (</w:t>
      </w:r>
      <w:r w:rsidRPr="009666E0">
        <w:rPr>
          <w:rFonts w:ascii="Times New Roman" w:hAnsi="Times New Roman"/>
          <w:i/>
          <w:iCs/>
          <w:sz w:val="24"/>
          <w:szCs w:val="24"/>
          <w:lang w:val="es-MX"/>
        </w:rPr>
        <w:t>rectum</w:t>
      </w:r>
      <w:r w:rsidRPr="009666E0">
        <w:rPr>
          <w:rFonts w:ascii="Times New Roman" w:hAnsi="Times New Roman"/>
          <w:sz w:val="24"/>
          <w:szCs w:val="24"/>
          <w:lang w:val="es-MX"/>
        </w:rPr>
        <w:t>), como lo directo, se opone, de un lado a lo curvo, de otro a lo oblicuo. (…) Según esta analogía, el derecho determina a cada uno lo suyo (con una precisión matemática); lo cual no puede esperarse de la moral.” (RL AA 06; 2008, p. 46)</w:t>
      </w:r>
    </w:p>
    <w:p w14:paraId="7E9EC5E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De estas nociones, se seguirá la división del derecho entre el natural y el civil, lo que nos conduce a otro tema distinto del apartado presente. En esta sección primera, se ha buscado distinguir entre lo interior y lo exterior de la libertad. Hemos podido atender al sentido moral y jurídico de la libertad que tiene un principio regulativo distinto, siendo para lo interno el imperativo categórico y para lo externo el principio universal del derecho, entendido como una libertad recíproca y de mutua obligación, como si se tratase de un contrato pactado que da origen al horizonte civil. Lo externo de la libertad se encuentra en el sentido del derecho, las leyes y la justicia. </w:t>
      </w:r>
    </w:p>
    <w:p w14:paraId="2C1BDBA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La libertad externa, por todo lo dicho, es una libertad jurídica. Se manifiesta como un fenómeno social compartido, de encuentro entre interioridades, en una relación de personas e interacciones que se afectan unas a otras mutuamente, en el laberinto de sus intereses entrecruzados. Este concepto de libertad jurídica nos permite, por lo tanto, establecer la necesidad de una regulación que permita la convivencia segura y una paz sostenida. Esto equivale a suponer que la idea de libertad exterior se asocia a la fundación de un orden civil que tiene como naturaleza un marco jurídico. </w:t>
      </w:r>
    </w:p>
    <w:p w14:paraId="43C7803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Sin embargo, Kant matiza otros alcances que puede adquirir el sentido de una libertad externa, cuando se le piensa en diversos ámbitos. Estos sentidos extienden la dimensión jurídica hacia una civil y política. En el siguiente apartado revisaremos tres instancias de estos alcances, aunque ya hemos revisado gran parte de uno de ellos, desde la doctrina del derecho de Kant, al atender a la distinción entre libertad interior y exterior. </w:t>
      </w:r>
    </w:p>
    <w:p w14:paraId="578FC927" w14:textId="77777777" w:rsidR="00670045" w:rsidRPr="009666E0" w:rsidRDefault="00670045" w:rsidP="00670045">
      <w:pPr>
        <w:spacing w:line="360" w:lineRule="auto"/>
        <w:rPr>
          <w:rFonts w:ascii="Times New Roman" w:hAnsi="Times New Roman"/>
          <w:sz w:val="24"/>
          <w:szCs w:val="24"/>
          <w:lang w:val="es-MX"/>
        </w:rPr>
      </w:pPr>
    </w:p>
    <w:p w14:paraId="4224B5F5" w14:textId="77777777" w:rsidR="00670045" w:rsidRPr="009666E0" w:rsidRDefault="00670045" w:rsidP="00670045">
      <w:pPr>
        <w:pStyle w:val="ListParagraph"/>
        <w:numPr>
          <w:ilvl w:val="1"/>
          <w:numId w:val="9"/>
        </w:numPr>
        <w:spacing w:after="160" w:line="360" w:lineRule="auto"/>
        <w:rPr>
          <w:rFonts w:ascii="Times New Roman" w:hAnsi="Times New Roman"/>
          <w:sz w:val="24"/>
          <w:szCs w:val="24"/>
          <w:lang w:val="es-MX"/>
        </w:rPr>
      </w:pPr>
      <w:r w:rsidRPr="009666E0">
        <w:rPr>
          <w:rFonts w:ascii="Times New Roman" w:hAnsi="Times New Roman"/>
          <w:sz w:val="24"/>
          <w:szCs w:val="24"/>
          <w:lang w:val="es-MX"/>
        </w:rPr>
        <w:t>Tres sentidos de libertad exterior</w:t>
      </w:r>
    </w:p>
    <w:p w14:paraId="15655B36" w14:textId="77777777" w:rsidR="00670045" w:rsidRPr="009666E0" w:rsidRDefault="00670045" w:rsidP="00670045">
      <w:pPr>
        <w:pStyle w:val="ListParagraph"/>
        <w:spacing w:line="360" w:lineRule="auto"/>
        <w:ind w:left="792"/>
        <w:rPr>
          <w:rFonts w:ascii="Times New Roman" w:hAnsi="Times New Roman"/>
          <w:sz w:val="24"/>
          <w:szCs w:val="24"/>
          <w:lang w:val="es-MX"/>
        </w:rPr>
      </w:pPr>
    </w:p>
    <w:p w14:paraId="6C68ECF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En tres textos distintos de Kant se ofrecen nociones complementarias de la libertad exterior. En este apartado se exploran en desorden cronológico algunos conceptos de Kant que son complementarios para establecer los alcances de estas dimensiones.</w:t>
      </w:r>
    </w:p>
    <w:p w14:paraId="1057FBCE"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En los </w:t>
      </w:r>
      <w:r w:rsidRPr="009666E0">
        <w:rPr>
          <w:rFonts w:ascii="Times New Roman" w:hAnsi="Times New Roman"/>
          <w:i/>
          <w:iCs/>
          <w:sz w:val="24"/>
          <w:szCs w:val="24"/>
          <w:lang w:val="es-MX"/>
        </w:rPr>
        <w:t>Principios metafísicos del derecho</w:t>
      </w:r>
      <w:r w:rsidRPr="009666E0">
        <w:rPr>
          <w:rFonts w:ascii="Times New Roman" w:hAnsi="Times New Roman"/>
          <w:sz w:val="24"/>
          <w:szCs w:val="24"/>
          <w:lang w:val="es-MX"/>
        </w:rPr>
        <w:t xml:space="preserve"> (RL AA 06; </w:t>
      </w:r>
      <w:r w:rsidRPr="009666E0">
        <w:rPr>
          <w:rFonts w:ascii="Times New Roman" w:hAnsi="Times New Roman"/>
          <w:sz w:val="24"/>
          <w:szCs w:val="24"/>
        </w:rPr>
        <w:t>Metaphysische Anfangsgründe der Rechtslehre</w:t>
      </w:r>
      <w:r w:rsidRPr="009666E0">
        <w:rPr>
          <w:rFonts w:ascii="Times New Roman" w:hAnsi="Times New Roman"/>
          <w:sz w:val="24"/>
          <w:szCs w:val="24"/>
          <w:lang w:val="es-MX"/>
        </w:rPr>
        <w:t xml:space="preserve">) Kant se refiere a la libertad exterior como una jurídica, en cuanto resalta la necesidad de un acuerdo civil de limitación recíproca de la libertad, para permitir la libertad de todos. Mientras la libertad interior se regula por el imperativo categórico, en la libertad exterior encontramos una normativa guiada por el principio universal del derecho. Así, la libertad exterior es jurídica, por cuanto instaura un orden civil del derecho de acuerdo al principio que buscar sostener una libertad de límites recíprocos. </w:t>
      </w:r>
    </w:p>
    <w:p w14:paraId="1A63BE5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w:t>
      </w:r>
      <w:r w:rsidRPr="009666E0">
        <w:rPr>
          <w:rFonts w:ascii="Times New Roman" w:hAnsi="Times New Roman"/>
          <w:i/>
          <w:iCs/>
          <w:sz w:val="24"/>
          <w:szCs w:val="24"/>
          <w:lang w:val="es-MX"/>
        </w:rPr>
        <w:t>Sobre el tópico: Esto puede ser correcto en teoría, pero no vale para la práctica</w:t>
      </w:r>
      <w:r w:rsidRPr="009666E0">
        <w:rPr>
          <w:rFonts w:ascii="Times New Roman" w:hAnsi="Times New Roman"/>
          <w:sz w:val="24"/>
          <w:szCs w:val="24"/>
          <w:lang w:val="es-MX"/>
        </w:rPr>
        <w:t xml:space="preserve"> (TP AA 02; </w:t>
      </w:r>
      <w:r w:rsidRPr="009666E0">
        <w:rPr>
          <w:rFonts w:ascii="Times New Roman" w:hAnsi="Times New Roman"/>
          <w:sz w:val="24"/>
          <w:szCs w:val="24"/>
        </w:rPr>
        <w:t>Untersuchung über die Deutlichkeit der Grundsätze der natürlichen Theologie und der Moral</w:t>
      </w:r>
      <w:r w:rsidRPr="009666E0">
        <w:rPr>
          <w:rFonts w:ascii="Times New Roman" w:hAnsi="Times New Roman"/>
          <w:sz w:val="24"/>
          <w:szCs w:val="24"/>
          <w:lang w:val="es-MX"/>
        </w:rPr>
        <w:t xml:space="preserve">) Kant define la pertenencia del estado civil en cuanto está constituida bajo las nociones de libertad, igualdad e independencia. En este sentido, se explica la libertad exterior como el ejercicio para co-legislar y exigir a los demás que, al igual que nosotros, cumplamos con la ley. En este sentido, la libertad exterior adquiere la dimensión de ser una libertad para la co-legislación y la mutua obligación ante la ley. Podríamos considerar que se trata de una libertad civil. </w:t>
      </w:r>
    </w:p>
    <w:p w14:paraId="7F88F0E7"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la </w:t>
      </w:r>
      <w:r w:rsidRPr="009666E0">
        <w:rPr>
          <w:rFonts w:ascii="Times New Roman" w:hAnsi="Times New Roman"/>
          <w:i/>
          <w:iCs/>
          <w:sz w:val="24"/>
          <w:szCs w:val="24"/>
          <w:lang w:val="es-MX"/>
        </w:rPr>
        <w:t>Paz Perpetua</w:t>
      </w:r>
      <w:r w:rsidRPr="009666E0">
        <w:rPr>
          <w:rFonts w:ascii="Times New Roman" w:hAnsi="Times New Roman"/>
          <w:sz w:val="24"/>
          <w:szCs w:val="24"/>
          <w:lang w:val="es-MX"/>
        </w:rPr>
        <w:t xml:space="preserve"> (ZeF AA 08; </w:t>
      </w:r>
      <w:r w:rsidRPr="009666E0">
        <w:rPr>
          <w:rFonts w:ascii="Times New Roman" w:hAnsi="Times New Roman"/>
          <w:sz w:val="24"/>
          <w:szCs w:val="24"/>
        </w:rPr>
        <w:t>Zum ewigen Frieden</w:t>
      </w:r>
      <w:r w:rsidRPr="009666E0">
        <w:rPr>
          <w:rFonts w:ascii="Times New Roman" w:hAnsi="Times New Roman"/>
          <w:sz w:val="24"/>
          <w:szCs w:val="24"/>
          <w:lang w:val="es-MX"/>
        </w:rPr>
        <w:t>) Se explica la libertad exterior como la capacidad de legitimar cualquier ley, de acuerdo a si le otorgamos o no nuestro consentimiento civil. De esta forma, la libertad exterior se entiende como una libertad política.</w:t>
      </w:r>
    </w:p>
    <w:p w14:paraId="438ED90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este apartado ahondaremos en estos sentidos que complementan el sentido jurídico de la libertad exterior. Esto puede perfilar algunas consideraciones sobre la idea de ciudadanía en el republicanismo de Kant. </w:t>
      </w:r>
    </w:p>
    <w:p w14:paraId="5A29FA2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El orden que adoptamos no es uno cronológico. Kant escribió primero</w:t>
      </w:r>
      <w:r w:rsidRPr="009666E0">
        <w:rPr>
          <w:rFonts w:ascii="Times New Roman" w:hAnsi="Times New Roman"/>
          <w:i/>
          <w:iCs/>
          <w:sz w:val="24"/>
          <w:szCs w:val="24"/>
          <w:lang w:val="es-MX"/>
        </w:rPr>
        <w:t xml:space="preserve"> Sobre el tópico: Esto puede ser correcto en teoría, pero no vale para la práctica</w:t>
      </w:r>
      <w:r w:rsidRPr="009666E0">
        <w:rPr>
          <w:rFonts w:ascii="Times New Roman" w:hAnsi="Times New Roman"/>
          <w:sz w:val="24"/>
          <w:szCs w:val="24"/>
          <w:lang w:val="es-MX"/>
        </w:rPr>
        <w:t xml:space="preserve"> en 1793. Luego, </w:t>
      </w:r>
      <w:r w:rsidRPr="009666E0">
        <w:rPr>
          <w:rFonts w:ascii="Times New Roman" w:hAnsi="Times New Roman"/>
          <w:i/>
          <w:iCs/>
          <w:sz w:val="24"/>
          <w:szCs w:val="24"/>
          <w:lang w:val="es-MX"/>
        </w:rPr>
        <w:t>La paz perpetua</w:t>
      </w:r>
      <w:r w:rsidRPr="009666E0">
        <w:rPr>
          <w:rFonts w:ascii="Times New Roman" w:hAnsi="Times New Roman"/>
          <w:sz w:val="24"/>
          <w:szCs w:val="24"/>
          <w:lang w:val="es-MX"/>
        </w:rPr>
        <w:t xml:space="preserve"> en 1795 y finalmente, </w:t>
      </w:r>
      <w:r w:rsidRPr="009666E0">
        <w:rPr>
          <w:rFonts w:ascii="Times New Roman" w:hAnsi="Times New Roman"/>
          <w:i/>
          <w:iCs/>
          <w:sz w:val="24"/>
          <w:szCs w:val="24"/>
          <w:lang w:val="es-MX"/>
        </w:rPr>
        <w:t>La metafísica de las costumbres</w:t>
      </w:r>
      <w:r w:rsidRPr="009666E0">
        <w:rPr>
          <w:rFonts w:ascii="Times New Roman" w:hAnsi="Times New Roman"/>
          <w:sz w:val="24"/>
          <w:szCs w:val="24"/>
          <w:lang w:val="es-MX"/>
        </w:rPr>
        <w:t xml:space="preserve"> en 1797. Hemos adoptado un orden de exposición distinto al cronológico, por tratarse de la última obra la que contiene más elaboradamente la distinción entre libertad interna y externa, lo que permite contextualizar el tema en el horizonte del pensamiento de Kant. </w:t>
      </w:r>
    </w:p>
    <w:p w14:paraId="176D8A20" w14:textId="77777777" w:rsidR="00670045" w:rsidRPr="009666E0" w:rsidRDefault="00670045" w:rsidP="00670045">
      <w:pPr>
        <w:spacing w:line="360" w:lineRule="auto"/>
        <w:rPr>
          <w:rFonts w:ascii="Times New Roman" w:hAnsi="Times New Roman"/>
          <w:sz w:val="24"/>
          <w:szCs w:val="24"/>
          <w:lang w:val="es-MX"/>
        </w:rPr>
      </w:pPr>
    </w:p>
    <w:p w14:paraId="6058A1B3" w14:textId="77777777" w:rsidR="00670045" w:rsidRPr="009666E0" w:rsidRDefault="00670045" w:rsidP="00670045">
      <w:pPr>
        <w:pStyle w:val="ListParagraph"/>
        <w:numPr>
          <w:ilvl w:val="2"/>
          <w:numId w:val="9"/>
        </w:numPr>
        <w:spacing w:after="160" w:line="360" w:lineRule="auto"/>
        <w:rPr>
          <w:rFonts w:ascii="Times New Roman" w:hAnsi="Times New Roman"/>
          <w:sz w:val="24"/>
          <w:szCs w:val="24"/>
          <w:lang w:val="es-MX"/>
        </w:rPr>
      </w:pPr>
      <w:r w:rsidRPr="009666E0">
        <w:rPr>
          <w:rFonts w:ascii="Times New Roman" w:hAnsi="Times New Roman"/>
          <w:sz w:val="24"/>
          <w:szCs w:val="24"/>
          <w:lang w:val="es-MX"/>
        </w:rPr>
        <w:t>Desde la Doctrina del derecho</w:t>
      </w:r>
    </w:p>
    <w:p w14:paraId="43403315" w14:textId="77777777" w:rsidR="00670045" w:rsidRPr="009666E0" w:rsidRDefault="00670045" w:rsidP="00670045">
      <w:pPr>
        <w:pStyle w:val="ListParagraph"/>
        <w:spacing w:line="360" w:lineRule="auto"/>
        <w:ind w:left="1224"/>
        <w:rPr>
          <w:rFonts w:ascii="Times New Roman" w:hAnsi="Times New Roman"/>
          <w:sz w:val="24"/>
          <w:szCs w:val="24"/>
          <w:lang w:val="es-MX"/>
        </w:rPr>
      </w:pPr>
    </w:p>
    <w:p w14:paraId="10F48B6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En los </w:t>
      </w:r>
      <w:r w:rsidRPr="009666E0">
        <w:rPr>
          <w:rFonts w:ascii="Times New Roman" w:hAnsi="Times New Roman"/>
          <w:i/>
          <w:iCs/>
          <w:sz w:val="24"/>
          <w:szCs w:val="24"/>
          <w:lang w:val="es-MX"/>
        </w:rPr>
        <w:t>Principios metafísicos del derecho</w:t>
      </w:r>
      <w:r w:rsidRPr="009666E0">
        <w:rPr>
          <w:rFonts w:ascii="Times New Roman" w:hAnsi="Times New Roman"/>
          <w:sz w:val="24"/>
          <w:szCs w:val="24"/>
          <w:lang w:val="es-MX"/>
        </w:rPr>
        <w:t xml:space="preserve"> (RL AA 06; </w:t>
      </w:r>
      <w:r w:rsidRPr="009666E0">
        <w:rPr>
          <w:rFonts w:ascii="Times New Roman" w:hAnsi="Times New Roman"/>
          <w:sz w:val="24"/>
          <w:szCs w:val="24"/>
        </w:rPr>
        <w:t>Metaphysische Anfangsgründe der Rechtslehre</w:t>
      </w:r>
      <w:r w:rsidRPr="009666E0">
        <w:rPr>
          <w:rFonts w:ascii="Times New Roman" w:hAnsi="Times New Roman"/>
          <w:sz w:val="24"/>
          <w:szCs w:val="24"/>
          <w:lang w:val="es-MX"/>
        </w:rPr>
        <w:t xml:space="preserve">), como ya hemos considerado, Kant introduce la distinción entre libertad interna y externa. La libertad interna es la moral, guiada por el imperativo categórico. La libertad externa está normativizada por el principio universal del derecho para una libertad recíproca. Por esta razón, la libertad externa es una libertad jurídica. </w:t>
      </w:r>
    </w:p>
    <w:p w14:paraId="109532B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Hay algunos elementos que comparten la libertad moral y jurídica, como el carácter racional y la independencia de los estímulos sensibles, ya que la libertad, en la determinación de sus actos, se guía por máximas para la práctica, que buscan servir como leyes generales. La regulación práctica apunta hacia los intereses del arbitrio.</w:t>
      </w:r>
    </w:p>
    <w:p w14:paraId="46C805E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La libertad exterior, al ser jurídica y enmarcada en un horizonte de derecho, luego se encuentra obligada por las leyes, sin que esto desarticule su libertad, sino que transmuta una libertad salvaje hacia una civil. Mientras la libertad interna puede pensarse en términos de moral e inmoral, la libertad externa considera los actos por cuanto fueran justos o injustos. </w:t>
      </w:r>
    </w:p>
    <w:p w14:paraId="0296495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El ámbito de las leyes exteriores y, por lo tanto, de la libertad exterior, es la justicia, y lo justo o injusto se remite a lo que va de acuerdo a la ley. La ciencia de las leyes exteriores es el derecho. En esta línea, el derecho parte de una situación de relaciones mutuas de influencia recíproca. Se trata, por lo tanto, no del encuentro interno entre el arbitrio y el deseo, sino de la relación externa entre un arbitrio libre y otro.</w:t>
      </w:r>
    </w:p>
    <w:p w14:paraId="5A87E50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El derecho, como ciencia de las leyes externas, y en donde se despliega la libertad externa, por lo tanto, estima los actos de acuerdo a si son un obstáculo para la libertad de los demás. De todo esto se deriva el principio universal del derecho, como la idea de una libertad limitada por la libertad de los demás. Por ello representa una obligación mutua conforme a la libertad de todos, de acuerdo a principios generales de la razón.</w:t>
      </w:r>
    </w:p>
    <w:p w14:paraId="2A69D1ED"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La libertad externa, desde la doctrina del derecho, es una libertad jurídica, porque establece el horizonte de un estado de derecho, que considera a los ciudadanos como iguales ante la ley, lo que conduce a la posibilidad de exigirse unos a otros la conformidad con lo justo y lo legal. </w:t>
      </w:r>
    </w:p>
    <w:p w14:paraId="38A74B2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Por lo revisado, la libertad externa es jurídica por cuanto enmarca los actos de la persona en un horizonte civil de leyes en el escenario de muchas personas conviviendo en sociedad. La regulación de sus alcances se determina por la mutua influencia que existe en las relaciones humanas y en el entrecruzado de sus intereses; por ello, la libertad externa adquiere </w:t>
      </w:r>
      <w:r w:rsidRPr="009666E0">
        <w:rPr>
          <w:rFonts w:ascii="Times New Roman" w:hAnsi="Times New Roman"/>
          <w:sz w:val="24"/>
          <w:szCs w:val="24"/>
          <w:lang w:val="es-MX"/>
        </w:rPr>
        <w:lastRenderedPageBreak/>
        <w:t xml:space="preserve">un carácter de límites recíprocos y obligación mutua. Tal es la perspectiva jurídica que ofrece la libertad externa desde la doctrina del derecho. </w:t>
      </w:r>
    </w:p>
    <w:p w14:paraId="04FB4A7A" w14:textId="77777777" w:rsidR="00670045" w:rsidRPr="009666E0" w:rsidRDefault="00670045" w:rsidP="00670045">
      <w:pPr>
        <w:spacing w:line="360" w:lineRule="auto"/>
        <w:rPr>
          <w:rFonts w:ascii="Times New Roman" w:hAnsi="Times New Roman"/>
          <w:sz w:val="24"/>
          <w:szCs w:val="24"/>
          <w:lang w:val="es-MX"/>
        </w:rPr>
      </w:pPr>
    </w:p>
    <w:p w14:paraId="3764D0FC" w14:textId="77777777" w:rsidR="00670045" w:rsidRPr="009666E0" w:rsidRDefault="00670045" w:rsidP="00670045">
      <w:pPr>
        <w:pStyle w:val="ListParagraph"/>
        <w:numPr>
          <w:ilvl w:val="2"/>
          <w:numId w:val="9"/>
        </w:numPr>
        <w:spacing w:after="160" w:line="360" w:lineRule="auto"/>
        <w:rPr>
          <w:rFonts w:ascii="Times New Roman" w:hAnsi="Times New Roman"/>
          <w:sz w:val="24"/>
          <w:szCs w:val="24"/>
          <w:lang w:val="es-MX"/>
        </w:rPr>
      </w:pPr>
      <w:r w:rsidRPr="009666E0">
        <w:rPr>
          <w:rFonts w:ascii="Times New Roman" w:hAnsi="Times New Roman"/>
          <w:sz w:val="24"/>
          <w:szCs w:val="24"/>
          <w:lang w:val="es-MX"/>
        </w:rPr>
        <w:t>Desde el ensayo sobre Teoría y Práctica</w:t>
      </w:r>
    </w:p>
    <w:p w14:paraId="31B222E6" w14:textId="77777777" w:rsidR="00670045" w:rsidRPr="009666E0" w:rsidRDefault="00670045" w:rsidP="00670045">
      <w:pPr>
        <w:pStyle w:val="ListParagraph"/>
        <w:spacing w:line="360" w:lineRule="auto"/>
        <w:ind w:left="1224"/>
        <w:rPr>
          <w:rFonts w:ascii="Times New Roman" w:hAnsi="Times New Roman"/>
          <w:sz w:val="24"/>
          <w:szCs w:val="24"/>
          <w:lang w:val="es-MX"/>
        </w:rPr>
      </w:pPr>
    </w:p>
    <w:p w14:paraId="19F192B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w:t>
      </w:r>
      <w:bookmarkStart w:id="3" w:name="_Hlk219906737"/>
      <w:r w:rsidRPr="009666E0">
        <w:rPr>
          <w:rFonts w:ascii="Times New Roman" w:hAnsi="Times New Roman"/>
          <w:i/>
          <w:iCs/>
          <w:sz w:val="24"/>
          <w:szCs w:val="24"/>
          <w:lang w:val="es-MX"/>
        </w:rPr>
        <w:t>Sobre el tópico: Esto puede ser correcto en teoría, pero no vale para la práctica</w:t>
      </w:r>
      <w:r w:rsidRPr="009666E0">
        <w:rPr>
          <w:rFonts w:ascii="Times New Roman" w:hAnsi="Times New Roman"/>
          <w:sz w:val="24"/>
          <w:szCs w:val="24"/>
          <w:lang w:val="es-MX"/>
        </w:rPr>
        <w:t xml:space="preserve"> </w:t>
      </w:r>
      <w:bookmarkEnd w:id="3"/>
      <w:r w:rsidRPr="009666E0">
        <w:rPr>
          <w:rFonts w:ascii="Times New Roman" w:hAnsi="Times New Roman"/>
          <w:sz w:val="24"/>
          <w:szCs w:val="24"/>
          <w:lang w:val="es-MX"/>
        </w:rPr>
        <w:t xml:space="preserve">(TP AA 08; </w:t>
      </w:r>
      <w:r w:rsidRPr="009666E0">
        <w:rPr>
          <w:rFonts w:ascii="Times New Roman" w:hAnsi="Times New Roman"/>
          <w:sz w:val="24"/>
          <w:szCs w:val="24"/>
        </w:rPr>
        <w:t>Über den Gemeinspruch: Das mag in der Theorie richtig sein, taugt aber nicht für die Praxis</w:t>
      </w:r>
      <w:r w:rsidRPr="009666E0">
        <w:rPr>
          <w:rFonts w:ascii="Times New Roman" w:hAnsi="Times New Roman"/>
          <w:sz w:val="24"/>
          <w:szCs w:val="24"/>
          <w:lang w:val="es-MX"/>
        </w:rPr>
        <w:t xml:space="preserve">) Kant nos ofrece otro sentido de la libertad externa que se materializa en el acto de la co-legislación. </w:t>
      </w:r>
    </w:p>
    <w:p w14:paraId="63975DE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El texto se divide, respecto de la relación entre teoría y práctica, en tres apartados, primero en virtud de la moral, luego, en el derecho político y finalmente, en el derecho de gentes en un sentido cosmopolita. Nosotros nos centraremos en la segunda parte, que desarrolla las ideas del derecho político.</w:t>
      </w:r>
    </w:p>
    <w:p w14:paraId="40FA9A2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En primer lugar, en esta segunda parte del texto, Kant rechaza las ideas que defiende Hobbes respecto a la necesidad de un absolutismo monárquico, cohesionado en un estado total con el peso de un Leviathan. Este poder absoluto, de acuerdo a Hobbes, es necesario, para asegurar que el monarca pueda sostener la seguridad de un estado que ha salido de las relaciones naturales. Kant entiende el contrato social y el tránsito del estado natural al civil de un modo distinto. Esto resulta en el tipo de relación que adquiere un soberano para con su pueblo, y en donde contrastan las posturas de Hobbes y de Kant.</w:t>
      </w:r>
    </w:p>
    <w:p w14:paraId="68F869D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segundo lugar, el texto, en términos generales, se propone rechazar aquel dicho que supone que algunas cosas funcionan muy bien en la teoría, pero no se aplican en la práctica. Para Kant, por el contrario, lo que ofrece la teoría pura debe ser una guía para la práctica, aún cuando no encontremos tal práctica realizada todavía. Por lo tanto, lo que sirve en la teoría, debe asimismo funcionar en la práctica. Esto no equivale a un optimismo idealista ingenuo, sino que resalta el carácter normativo de la razón práctica. </w:t>
      </w:r>
    </w:p>
    <w:p w14:paraId="1D0216C2"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tercer lugar, el texto ofrece, en la segunda parte, una articulación de las ideas del estado civil y de la ciudadanía, con algunos atributos indispensables que parten de su propia idea. Este punto será de suma importancia, puesto que la libertad exterior es fundamental para la idea de una ciudadanía republicana en la propuesta de Kant. </w:t>
      </w:r>
    </w:p>
    <w:p w14:paraId="742FD14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Considerando estos tres puntos principales que componen el texto en su segunda parte, sobre el derecho político, nosotros habremos de desarrollar el primero y el tercero de los elementos mencionados, en miras de esclarecer la idea de una libertad exterior en el marco del republicanismo de Kant. De esta forma, en este apartado se consideran las ideas del texto que contraponen a Kant y Hobbes y en seguida se desarrollarán las ideas sobre la libertad externa de la ciudadanía que resulta en la idea de la co-legislación. </w:t>
      </w:r>
    </w:p>
    <w:p w14:paraId="697CE24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Para considerar el primer asunto podríamos colocar a Kant en contra de Hobbes en virtud de las propuestas políticas que confrontan al republicanismo con el despotismo. El tipo de monarquía absoluta que defiende Hobbes es despótico y considera a sus miembros como súbditos. Esto supone, entre otros asuntos, una relación paternalista. </w:t>
      </w:r>
    </w:p>
    <w:p w14:paraId="77022BFD"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este escenario, los súbditos son como la propiedad del monarca absoluto, en una relación de dependencia y con una libertad anulada. Esto resulta en que la forma de vivir su propia vida, para cada uno, depende de la elección de su señor. Esta voz determinante del soberano hace de efecto público el criterio privado que mantiene las inclinaciones de los intereses de su propia persona, a la hora de dictaminar leyes. Así, en el horizonte del despotismo absolutista, el sentido de las leyes será siempre privado, de acuerdo a la voluntad del déspota.  </w:t>
      </w:r>
    </w:p>
    <w:p w14:paraId="295E737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Por otro lado, el republicanismo de Kant es una propuesta filosófica y política que confiere a los miembros una condición distinta, ya que, en lugar de ser súbditos, se entiende a los integrantes de una república como ciudadanos independientes. De esta forma, el gobernante no es ajeno a los intereses de su pueblo, y por ello las leyes se enfocan en el sentido público de acuerdo a una voluntad integrada por los intereses populares. </w:t>
      </w:r>
    </w:p>
    <w:p w14:paraId="278034B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una monarquía absoluta, el soberano es el legislador y su voluntad no tiene contrapeso, lo que sí ocurre en una monarquía parlamentarista, en donde una instancia como la cámara de los comunes, o un congreso, puede balancear un poco las tendencias del poder en virtud de las leyes promulgadas. Este contraste separa, de un lado, la imposición de la ley por la fuerza, y, por otro lado, un tipo de ley que se acerca al consenso de ciudadanos deliberantes. Es por esta razón, que para un tipo de gobierno republicano y/o democrático es fundamental el derecho a la justificación, como refiere R. Forst. Para este tipo de legitimidad de la ley, en un sentido de interés público, son fundamentales el uso de la razón pública, la libertad de expresión o de pluma, el consentimiento civil y el horizonte de la co-legislación, elementos todos que se relacionan a la idea de una libertad externa. </w:t>
      </w:r>
    </w:p>
    <w:p w14:paraId="7C73D2F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Cabe tener en cuenta que Kant no se opone directamente a la forma de gobierno, sea una democracia, una monarquía o una aristocracia, sino más bien al espíritu que adquiere cualquier forma de gobierno, sea éste despótico o republicano. Una monarquía, de esta forma, podría tener un espíritu republicano, como podría haberse esperado con optimismo de algunos despotismos ilustrados del contexto de Kant. </w:t>
      </w:r>
    </w:p>
    <w:p w14:paraId="0271DA5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Para Kant el estado civil representa la condición jurídica que funda un estado de derecho, en donde los individuos abandonan el estado natural y entran en relaciones de un orden político fundamentado en leyes públicas exteriores, de modo que se garantice la justicia, la libertad y la paz. Al igual que en el caso de Hobbes, este hecho no se entiende como un acontecimiento histórico concreto. </w:t>
      </w:r>
    </w:p>
    <w:p w14:paraId="64D2693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En el caso de Kant, el contrato originario que funda una sociedad civil es entendido como una idea normativa que busca dar sentido a la organización social, de acuerdo a principios racionales. En este horizonte, los individuos del estado civil (en el caso de Kant, los ciudadanos) se someten al orden de las leyes públicas exteriores que tienen un carácter universal para su estado, ya que se presupone que emanan saludablemente de una voluntad general, unificada y libre.</w:t>
      </w:r>
    </w:p>
    <w:p w14:paraId="771B378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De acuerdo a Kant, en el estado natural los individuos poseen una libertad sin frenos, pero ésta es insegura y frágil, porque no existe una autoridad que garantice derechos, sino que el establecimiento del poder se limita a la imposición del más fuerte o sagaz, sin considerar ningún principio moral del arbitrio. En este horizonte natural, la posesión y la propiedad privada es provisional, ya que no posee reconocimiento público ni garantía alguna. Solamente en una sociedad civil de leyes públicas y de alcance general, puede existir la propiedad privada de forma perentoria, pues queda avalada por el derecho mismo. Esta dimensión equivale a sostener, desde Kant, que cuando hay imposición de fuerza, no hay derecho. </w:t>
      </w:r>
    </w:p>
    <w:p w14:paraId="6A2D162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El estado civil transforma la libertad salvaje o natural en una libertad civilizada, es decir, una libertad que haga compatible la libertad de todos con las libertades de los demás bajo leyes comunes, públicas y que preserven el sentido de la justicia. La libertad externa, por lo tanto, no es únicamente una libertad jurídica, sino que es además una libertad civil.</w:t>
      </w:r>
    </w:p>
    <w:p w14:paraId="5EB771F7"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caso de Hobbes, el contrato social otorga todos los poderes a un solo cuerpo del estado de forma unidireccional, de suerte que, el soberano no tiene ningún compromiso o responsabilidad para con sus súbditos. Kant está en contra de esta postura. Mientras Kant propone una forma de gobierno republicana: “Hobbes es de la opinión opuesta. Según él (De </w:t>
      </w:r>
      <w:r w:rsidRPr="009666E0">
        <w:rPr>
          <w:rFonts w:ascii="Times New Roman" w:hAnsi="Times New Roman"/>
          <w:sz w:val="24"/>
          <w:szCs w:val="24"/>
          <w:lang w:val="es-MX"/>
        </w:rPr>
        <w:lastRenderedPageBreak/>
        <w:t xml:space="preserve">Cive, cap. 7, §14), el jefe de Estado no está vinculado en modo alguno al pueblo mediante contrato, y no puede cometer injusticia con el ciudadano (del que puede disponer como quiera). (..) en su generalidad, la tesis es espantosa.” (TP; 1999, p. 276) A diferencia de Hobbes, para Kant, el contrato originario de toda sociedad civil, involucra y presupone la responsabilidad del gobernante para con su pueblo, especialmente a la hora de orientar las leyes públicas.   </w:t>
      </w:r>
    </w:p>
    <w:p w14:paraId="3E9BF97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caso de Hobbes hay una necesidad de entrar en estado civil por las amenazas del caos que representa el estado natural, en donde la violencia es ilimitada y no permite paz ni seguridad. Esta lectura puede corresponder a un contexto inestable como lo fueron el de la guerra civil inglesa y lo sería luego de la muerte de Hobbes el de la revolución gloriosa. Las causas y razones de la postura de Hobbes, aunque no se puedan resumir a ello, tienen un elemento que está marcado por la influencia de la necesidad que es empujada por el miedo y la violencia. Su propuesta de poderes totales para el soberano, sin embargo, para autores como Locke, representa algo peor que el estado natural. </w:t>
      </w:r>
    </w:p>
    <w:p w14:paraId="00BEBAF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Kant la causa del estado civil viene de un lugar más formal, que no se desentiende de esas barbaridades de las guerras civiles o entre estados. La razón exige que entremos en relaciones de cooperación y civilidad; la razón se representa este mandato como un deber puro moral y político. </w:t>
      </w:r>
    </w:p>
    <w:p w14:paraId="3017D3C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Nos indica Kant lo siguiente sobre el contrato originario: “La unión de muchos con vistas a un fin común (que todos tienen) se halla en todo contrato social; pero aquella unión que es un fin en sí (que cada uno debe tener), por tanto, la de los hombres en todas sus relaciones externas, en general, que no pueden evitar el llegar a un influjo recíproco, es un deber primordial e incondicionado: tal unión sólo puede encontrarse en una sociedad en la medida en que ésta se halle en el estado civil, es decir, en que constituya una república.” (TP; 1999, p. 258) </w:t>
      </w:r>
    </w:p>
    <w:p w14:paraId="1D2338CE"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Agrega a continuación que: “El fin que en tal relación externa es en sí mismo un deber, y aun la suprema condición formal de los demás deberes externos, es el derecho de los hombres bajo leyes coactivas públicas, mediante las que se puede estipular a cada uno lo suyo y asegurárselo frente a la usurpación de cualquier otro.” (TP; 1999, p. 259) De este modo, Kant propone la idea normativa de un contrato originario social que permite un estado jurídico de libertad externa, de justicia distributiva y de propiedad privada. </w:t>
      </w:r>
    </w:p>
    <w:p w14:paraId="6B4703D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No debemos dejar de tener en cuenta que el sentido de la ley, de acuerdo a la voluntad general, busca un horizonte civil y jurídico en principio, por lo tanto, apunta a una justicia sostenida y así, Kant señala que: “Una ley pública, que determina para todos lo que debe estar jurídicamente permitido o prohibido, es el acto de una voluntad pública, de que procede todo derecho, y, por ende, no ha de suponer injusticia contra nadie. “(TP; 1999, p. 265) Esta postura le distancia de Hobbes y del modelo despótico. </w:t>
      </w:r>
    </w:p>
    <w:p w14:paraId="1E6A94B4"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Por lo considerado, el estado civil representa un estado de derecho, en cuanto es un orden jurídico que avala la libertad mediante leyes públicas, coercibles y que reflejen a una voluntad unificada y general. Lo que diferencia a Hobbes de Kant, en primer lugar, es que para el primero el soberano está desentendido de sus súbditos y en el caso de Kant es todo lo opuesto. La legislación debe servir a un sentido público y no privado. En segundo lugar, la actitud del súbdito, en el modelo de Hobbes, es absolutamente pasiva, siendo su destino el capricho de sus señores, por lo que hablamos de una falta de libertad. En el modelo de Kant, existen algunos ciudadanos pasivos, como los niños, pero la ciudadanía es fundamentalmente activa, por cuanto, no sólo existe la capacidad de la mutua obligación a cumplir con la ley, sino que, además, al pensar en el motivo y sentido de las leyes, el ciudadano, aún más, tiene la capacidad de intervenir activamente en ajustar las leyes a la voluntad general. </w:t>
      </w:r>
    </w:p>
    <w:p w14:paraId="79D76D9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Esta facultad fundamental del ciudadano, en el ejercicio de su libertad exterior, es la co-legislación. Esta prerrogativa nace de su fundamental libertad para exigirse el cumplimiento de la ley los unos a los otros, y presupone la facultad para consentir o no cualquier ley. Ninguna ley puede imponerse sin que sea establecida desde el marco de una voluntad compartida e integrada. Tanto la co-legislación, como el consentimiento, son dimensiones de la libertad exterior que se ocupan de la observancia del sentido de las leyes, en virtud de que son ellos mismos, los ciudadanos, los interesados de primera mano.  </w:t>
      </w:r>
    </w:p>
    <w:p w14:paraId="58934C02"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rechaza el poder absoluto y despótico que sostiene Hobbes, ya que propone en su lugar, una postura republicana de la ciudadanía con libertades exteriores. Este punto de disenso se encuentra en su concepción del alcance y razón de ser del estado civil. Mientras el estado civil en Hobbes se funda en la necesidad guiada por el miedo y la violencia, en Kant, la necesidad refleja un mandato lógico de la razón práctica. Por esta razón, el estado civil en Kant se encuentra asociado al principio universal del derecho. Kant señala que: “El derecho público (en una república) es meramente el estado de una legislación efectiva, conforme este principio y asistida por el poder, en virtud de la cual, cuantos pertenecen a un pueblo, en cuanto súbditos, se hallan en un estado jurídico, es decir, el de la igualdad de acción y reacción </w:t>
      </w:r>
      <w:r w:rsidRPr="009666E0">
        <w:rPr>
          <w:rFonts w:ascii="Times New Roman" w:hAnsi="Times New Roman"/>
          <w:sz w:val="24"/>
          <w:szCs w:val="24"/>
          <w:lang w:val="es-MX"/>
        </w:rPr>
        <w:lastRenderedPageBreak/>
        <w:t>entre albedríos que se limitan mutuamente conforme a la ley universal de la libertad (que se llama estado civil), resulta de ello que el derecho innato de cada uno en tal estado (es decir, anterior a toda acción jurídica), en relación con la facultad de coaccionar a los demás, a fin de que permanezcan siempre entre los límites de un uso de su libertad unánime con la mía, es igual para todos sin excepción. (...) no puede haber ningún privilegio innato de un miembro de la república sobre otro, en cuanto consúbdito; y nadie puede legar a sus descendientes el privilegio de la posición que tiene dentro de la república.” (TP;1999, p. 263)</w:t>
      </w:r>
    </w:p>
    <w:p w14:paraId="25D7DE24"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establece al estado civil en cuanto jurídico. El sentido del derecho público convierte a todos los integrantes en igualdad de sujeción ante la ley, de acuerdo a una norma de libertad compartida y de límites recíprocos. De esto resulta lo que Kant llama el derecho innato de todo miembro de un estado republicano, para coaccionar a los demás a mantenerse en ese horizonte legal. Kant parece además oponerse a los privilegios nobiliarios o hereditarios ya que contravienen la virtud, libertad e independencia de cada ciudadano. </w:t>
      </w:r>
    </w:p>
    <w:p w14:paraId="6571D6C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El hecho de que para Kant el estado de derecho, gobernado por el principio universal de los límites recíprocos de la libertad es entendido como el estado civil en cuanto tal, queda reforzado cuando anticipa lo que luego llamará el principio universal del derecho. Aunque hemos revisado ya el enunciado que estipula este principio en la </w:t>
      </w:r>
      <w:r w:rsidRPr="009666E0">
        <w:rPr>
          <w:rFonts w:ascii="Times New Roman" w:hAnsi="Times New Roman"/>
          <w:i/>
          <w:iCs/>
          <w:sz w:val="24"/>
          <w:szCs w:val="24"/>
          <w:lang w:val="es-MX"/>
        </w:rPr>
        <w:t>Metafísica de las Costumbres</w:t>
      </w:r>
      <w:r w:rsidRPr="009666E0">
        <w:rPr>
          <w:rFonts w:ascii="Times New Roman" w:hAnsi="Times New Roman"/>
          <w:sz w:val="24"/>
          <w:szCs w:val="24"/>
          <w:lang w:val="es-MX"/>
        </w:rPr>
        <w:t>, obra posterior, ya había adelantado Kant lo siguiente en este texto anterior a su doctrina del derecho: “El derecho es la limitación de la libertad de cada uno a la condición de su concordancia con la libertad de todos, en cuanto sea posible según una ley universal.” (TP; 1999, p. 259)</w:t>
      </w:r>
    </w:p>
    <w:p w14:paraId="5B48957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Un gobierno que permita la libertad madura de cada ciudadano habrá de poner en sus propias manos el equilibrio de la mutua obligación ante la ley y la co-legislación. Esto equivale a que cada cual persiga sus objetivos razonables, siempre y cuando no contravenga la libertad de otros. Lo contrario, supondría decirle a cada quién qué hacer y cómo vivir su vida, al establecer límites arbitrarios. Kant rechaza este tipo de paternalismo pues representa una dimensión del despotismo. Refiere que: “Un gobierno que se estableciera según el principio de la benevolencia para con el pueblo, como un padre para con sus hijos, es decir, un gobierno paternalista, en que los súbditos, como niños menores de edad, que no pueden distinguir lo que es útil o nocivo, se ven forzados a comportarse de manera meramente pasiva, para aguardar del juicio del jefe del Estado el modo en que deban ser felices, y de su bondad el que éste también quiera que lo sean, tal gobierno es el mayor despotismo imaginable (una constitución que suprime toda libertad de los súbditos, que carecen, por tanto, de derecho en </w:t>
      </w:r>
      <w:r w:rsidRPr="009666E0">
        <w:rPr>
          <w:rFonts w:ascii="Times New Roman" w:hAnsi="Times New Roman"/>
          <w:sz w:val="24"/>
          <w:szCs w:val="24"/>
          <w:lang w:val="es-MX"/>
        </w:rPr>
        <w:lastRenderedPageBreak/>
        <w:t>absoluto).“ (TP; 1999, p. 260) Luego agrega: “No un gobierno paternalista, sino uno patriótico es aquel que puede pensarse para hombres capaces de tener derechos.“ (TP; 1999, p. 261)</w:t>
      </w:r>
    </w:p>
    <w:p w14:paraId="0A9B9B0E"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Esto diferencia a Hobbes de Kant. Mientras el primero representa un despotismo paternalista, Kant propone un patriotismo entendido como un amor al orden y estado civil, queriendo permanecer en ese horizonte jurídico de leyes públicas para una libertad externa.</w:t>
      </w:r>
    </w:p>
    <w:p w14:paraId="0E9815D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Podemos atender, finalmente, al concepto de ciudadanía y de qué modo articula una libertad externa republicana en el sentido civil de la co-legislación. Como idea normativa, el estado civil se despliega en un lugar ideal que es la ciudad. La ciudad concreta el orden civil de acuerdo a un horizonte jurídico. Los miembros de esta sociedad civil son los ciudadanos. Kant nos refiere que esta pertenencia, de acuerdo a la idea regulativa de un contrato originario, supone ciertas facultades de quien participa de esta condición civil. Señala lo siguiente: </w:t>
      </w:r>
    </w:p>
    <w:p w14:paraId="7B8BBECF" w14:textId="77777777" w:rsidR="00670045" w:rsidRPr="009666E0" w:rsidRDefault="00670045" w:rsidP="00670045">
      <w:pPr>
        <w:spacing w:line="360" w:lineRule="auto"/>
        <w:ind w:left="708"/>
        <w:rPr>
          <w:rFonts w:ascii="Times New Roman" w:hAnsi="Times New Roman"/>
          <w:sz w:val="24"/>
          <w:szCs w:val="24"/>
        </w:rPr>
      </w:pPr>
      <w:r w:rsidRPr="009666E0">
        <w:rPr>
          <w:rFonts w:ascii="Times New Roman" w:hAnsi="Times New Roman"/>
          <w:sz w:val="24"/>
          <w:szCs w:val="24"/>
        </w:rPr>
        <w:t>El estado civil, por tanto, considerado meramente como estado jurídico, se funda en los siguientes principios a priori:</w:t>
      </w:r>
    </w:p>
    <w:p w14:paraId="3B24113F" w14:textId="77777777" w:rsidR="00670045" w:rsidRPr="009666E0" w:rsidRDefault="00670045" w:rsidP="00670045">
      <w:pPr>
        <w:numPr>
          <w:ilvl w:val="1"/>
          <w:numId w:val="11"/>
        </w:numPr>
        <w:spacing w:after="160" w:line="360" w:lineRule="auto"/>
        <w:rPr>
          <w:rFonts w:ascii="Times New Roman" w:hAnsi="Times New Roman"/>
          <w:sz w:val="24"/>
          <w:szCs w:val="24"/>
        </w:rPr>
      </w:pPr>
      <w:r w:rsidRPr="009666E0">
        <w:rPr>
          <w:rFonts w:ascii="Times New Roman" w:hAnsi="Times New Roman"/>
          <w:sz w:val="24"/>
          <w:szCs w:val="24"/>
        </w:rPr>
        <w:t>La libertad de cada miembro de la sociedad, en cuanto hombre.</w:t>
      </w:r>
    </w:p>
    <w:p w14:paraId="71B67613" w14:textId="77777777" w:rsidR="00670045" w:rsidRPr="009666E0" w:rsidRDefault="00670045" w:rsidP="00670045">
      <w:pPr>
        <w:numPr>
          <w:ilvl w:val="1"/>
          <w:numId w:val="11"/>
        </w:numPr>
        <w:spacing w:after="160" w:line="360" w:lineRule="auto"/>
        <w:rPr>
          <w:rFonts w:ascii="Times New Roman" w:hAnsi="Times New Roman"/>
          <w:sz w:val="24"/>
          <w:szCs w:val="24"/>
        </w:rPr>
      </w:pPr>
      <w:r w:rsidRPr="009666E0">
        <w:rPr>
          <w:rFonts w:ascii="Times New Roman" w:hAnsi="Times New Roman"/>
          <w:sz w:val="24"/>
          <w:szCs w:val="24"/>
        </w:rPr>
        <w:t>Su igualdad con los demás, en cuanto súbdito.</w:t>
      </w:r>
    </w:p>
    <w:p w14:paraId="7FDCAF15" w14:textId="77777777" w:rsidR="00670045" w:rsidRPr="009666E0" w:rsidRDefault="00670045" w:rsidP="00670045">
      <w:pPr>
        <w:numPr>
          <w:ilvl w:val="1"/>
          <w:numId w:val="11"/>
        </w:numPr>
        <w:spacing w:after="160" w:line="360" w:lineRule="auto"/>
        <w:rPr>
          <w:rFonts w:ascii="Times New Roman" w:hAnsi="Times New Roman"/>
          <w:sz w:val="24"/>
          <w:szCs w:val="24"/>
        </w:rPr>
      </w:pPr>
      <w:r w:rsidRPr="009666E0">
        <w:rPr>
          <w:rFonts w:ascii="Times New Roman" w:hAnsi="Times New Roman"/>
          <w:sz w:val="24"/>
          <w:szCs w:val="24"/>
        </w:rPr>
        <w:t xml:space="preserve">La independencia de cada miembro de una república, en cuanto ciudadano. </w:t>
      </w:r>
    </w:p>
    <w:p w14:paraId="5035C651" w14:textId="77777777" w:rsidR="00670045" w:rsidRPr="009666E0" w:rsidRDefault="00670045" w:rsidP="00670045">
      <w:pPr>
        <w:spacing w:line="360" w:lineRule="auto"/>
        <w:ind w:left="708"/>
        <w:rPr>
          <w:rFonts w:ascii="Times New Roman" w:hAnsi="Times New Roman"/>
          <w:sz w:val="24"/>
          <w:szCs w:val="24"/>
        </w:rPr>
      </w:pPr>
      <w:r w:rsidRPr="009666E0">
        <w:rPr>
          <w:rFonts w:ascii="Times New Roman" w:hAnsi="Times New Roman"/>
          <w:sz w:val="24"/>
          <w:szCs w:val="24"/>
        </w:rPr>
        <w:t>Estos principios no son leyes que dicta el Estado ya establecido, sino son las únicas conforme a las cuales es posible el establecimiento de un Estado según los puros principios racionales del derecho humano externo en general.” (TP; 1999, p. 260)</w:t>
      </w:r>
    </w:p>
    <w:p w14:paraId="3A05FDD9" w14:textId="77777777" w:rsidR="00670045" w:rsidRPr="009666E0" w:rsidRDefault="00670045" w:rsidP="00670045">
      <w:pPr>
        <w:spacing w:line="360" w:lineRule="auto"/>
        <w:ind w:left="708"/>
        <w:rPr>
          <w:rFonts w:ascii="Times New Roman" w:hAnsi="Times New Roman"/>
          <w:sz w:val="24"/>
          <w:szCs w:val="24"/>
        </w:rPr>
      </w:pPr>
    </w:p>
    <w:p w14:paraId="12E8414E"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El miembro de un estado civil, que podemos interpretar como un ciudadano, en este caso, compone su idea por tres facultades coexistentes y complementarias. En cuanto ser humano, es libre, en cuanto súbdito ante la ley, es igual a todos los demás y es finalmente, un ciudadano en cuanto es señor de sí mismo, es decir, por cuanto no depende de nadie y participa sucintamente de la condición civil. Kant resalta el carácter normativo de este principio, ya que coloca estos atributos como condición y presupuesto de cualquier estado civil, en lugar de que fuera un beneficio posterior. Esto equivale a pensar en estos tres atributos como principios normativos de la condición de una persona en estado civil. </w:t>
      </w:r>
    </w:p>
    <w:p w14:paraId="731E0E2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Respecto de la libertad, Kant resalta la facultad que debemos tener para alcanzar nuestra propia idea de la felicidad. El caso contrario, sería el de un paternalismo, que nos diga cómo ser felices. En cuanto somos seres capaces de tener derechos, el ser humano: “se considera autorizado a salvaguardar sus derechos por las leyes de la voluntad común, pero no a someter el uso de ello a su capricho incondicionado.” (TP; 1999, p. 261) </w:t>
      </w:r>
    </w:p>
    <w:p w14:paraId="6311A63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señala, respecto del segundo atributo que el miembro de un estado civil posee: "La igualdad en tanto súbdito, cuya fórmula puede rezar así: Cada miembro de la república tiene derechos de coacción frente a cualquier otro." (TP; 1999, p. 261) Esta prerrogativa civil reconoce el carácter de súbditos ante la ley que tienen todos los miembros de una república, por igual, a excepción del soberano. Esta sujeción ante la ley resulta en la facultad que tenemos de coacción frente a los demás, para que se mantenga el orden civil de la libertad externa. </w:t>
      </w:r>
    </w:p>
    <w:p w14:paraId="372260B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La igualdad se da en el sentido de isonomía, pero es compatible con la desigualdad de bienes y recursos, siempre que corresponda a un esfuerzo legítimo de apropiación. En cuestiones de voto, solo puede tener uno solo cada ciudadano, al margen de sus riquezas. Kant refiere que: “Según el derecho (…) nadie puede coaccionar a otro sino por medio de la ley pública.” (TP; 1999, p. 262) Esto explicita que no es legítimo intervenir en votaciones de ciudadanos independientes con la compra de votos o favores, por cuanto es el bien público que está de por medio. </w:t>
      </w:r>
    </w:p>
    <w:p w14:paraId="3CE583C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Por último, además de la libertad para perseguir la propia felicidad y la igualdad ante la ley, Kant resalta un tercer atributo fundamental: “La independencia de un miembro de la república en cuanto ciudadano, es decir, en cuanto colegislador.” (TP; 1999, p. 265) El balance de voces particulares de los ciudadanos permite entramar una racionalidad pública ya que: “Ninguna voluntad particular puede ser legisladora para una república.” (TP; 1999, p. 266) La facultad civil de la co-legislación conduce a la construcción deliberativa pública de un sentido de la voz general, unificada o integrada de una voluntad conjunta. En el despotismo la ley proviene de una voluntad privada, pero en la república, la ley surge de una razón pública ejercida por la libertad exterior.  </w:t>
      </w:r>
    </w:p>
    <w:p w14:paraId="4BFC683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caso de la propuesta del concepto republicano de Kant: “concurren de suyo los conceptos de libertad externa, igualdad y unidad de la voluntad de todos, y para la última es condición la independencia, ya que se requiere una votación cuando se dan las dos primeras. A esta ley general que sólo puede emanar de la voluntad popular general (unida), se la llama contrato originario.” (TP; 1999, p. 266) Este contrato originario sería “el único sobre el que </w:t>
      </w:r>
      <w:r w:rsidRPr="009666E0">
        <w:rPr>
          <w:rFonts w:ascii="Times New Roman" w:hAnsi="Times New Roman"/>
          <w:sz w:val="24"/>
          <w:szCs w:val="24"/>
          <w:lang w:val="es-MX"/>
        </w:rPr>
        <w:lastRenderedPageBreak/>
        <w:t>puede fundarse entre los hombres una constitución civil, legítima para todos sin excepción, y establecerse una república.” (TP; 1999, p. 268)</w:t>
      </w:r>
    </w:p>
    <w:p w14:paraId="2D35FAE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Como se ha referido antes, para Kant, este contrato: “no es preciso en modo alguno suponer que se trata de un hecho (…) Por el contrario, se trata de una mera idea de la razón que tiene, sin embargo, su indudable realidad (práctica); a saber, la de obligar a todo legislador a que dicte sus leyes como si pudieran haber emanado de la voluntad unidad de todo un pueblo, y a que considere a cada súbdito, en cuanto que quiere ser ciudadano, como si hubiera votado por su acuerdo con una voluntad tal. Pues ahí está la prueba de la legitimidad de toda ley pública.” (TP; 1999, p. 268)</w:t>
      </w:r>
    </w:p>
    <w:p w14:paraId="0AE7B80E"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Por esta razón, y desde que ninguna ley debe hacer injusticia contra nadie, se entiende que es la libertad externa el parámetro fundamental para la orientación del derecho y la conformación de una constitución civil. En este sentido, Kant señala que: “la salud pública que en primer lugar se ha de tomar en consideración es aquella constitución legal que garantiza a cada uno su libertad por medio de leyes.” (TP; 1999, p. 270)</w:t>
      </w:r>
    </w:p>
    <w:p w14:paraId="768CAAC7"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Kant se plantea la posibilidad de que el pueblo sintiera que el soberano no ha cumplido con su parte del contrato y no ha permitido una libertad civil, o bien, de que existiera injusticia, es decir, de que no hubiera realmente un estado de derecho. En tal caso, el ciudadano no puede alzarse en armas o intentar deponer el orden, ni al soberano.</w:t>
      </w:r>
    </w:p>
    <w:p w14:paraId="0D808F4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De esta forma, Kant señala que: “toda oposición contra el supremo poder legislativo, toda incitación a vías de hecho del descontento de los súbditos, todo levantamiento que estalle en rebelión, es el delito supremo y más punible en la república, pues destruye sus fundamentos. Y esta prohibición es incondicionada.” (TP; 1999, p. 271) Es un delito supremo, por cuanto nos retorna al estado natural, sin embargo, esto no deja impune al soberano o legislador injusto. Tiene que haber una salida a la falta de cumplimiento del contrato originario de la sociedad. La respuesta no puede ser la violencia, ni la creación de sociedades secretas, sino que únicamente, para Kant, puede solventarse mediante el uso público de la razón, en un horizonte de co-legislación y coacción recíproca ante la ley. Para ello es necesaria la facultad de expresar ideas libremente, además de un escenario de tolerancia, que posibilite el diálogo para unificar el entramado de intereses y sublimarlo en una voluntad pública unificada y soberana. </w:t>
      </w:r>
    </w:p>
    <w:p w14:paraId="180466F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escenario de que hubiera sombras de injusticias por parte del soberano, Kant señala que: “Cada hombre tiene, no obstante, sus derechos inalienables, a los que no puede renunciar </w:t>
      </w:r>
      <w:r w:rsidRPr="009666E0">
        <w:rPr>
          <w:rFonts w:ascii="Times New Roman" w:hAnsi="Times New Roman"/>
          <w:sz w:val="24"/>
          <w:szCs w:val="24"/>
          <w:lang w:val="es-MX"/>
        </w:rPr>
        <w:lastRenderedPageBreak/>
        <w:t xml:space="preserve">aunque quiera, y sobre los que él propio está facultado para juzgar; y como la injusticia, que sufre según su opinión, proviene, según aquella suposición, solo del error o del desconocimiento de ciertas consecuencias por parte del poder supremo: entonces se ha de otorgar al ciudadano, y, por cierto, con permiso del soberano mismo, la facultad de dar a conocer públicamente su opinión sobre lo que le parece haber de injusto contra la república en los decretos de aquél. Pues asumir que el jefe no pueda siquiera equivocarse o desconocer algo, sería como representárselo dotado de inspiración celestial y elevado sobre lo humano. Así, pues, la libertad de pluma, mantenida entre los límites del respeto y el amor a la constitución en que se vive, en virtud del modo de pensar liberal de los súbditos, inculcado, no obstante, por aquella (por lo que las plumas se limitan unas a otras, a fin de no perder su libertad), es el único paladín de los derechos del pueblo.” (TP; 1999, p. 276) Esta prerrogativa de la independencia de cada ciudadano para expresarse libremente en un marco de respeto y cooperación es fundamental para el ejercicio pleno de su libertad externa. </w:t>
      </w:r>
    </w:p>
    <w:p w14:paraId="7BEDD31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Kant agrega lo siguiente: “En toda república ha de haber una obediencia, sujeta al mecanismo de la constitución política según leyes coactivas (que alcanzan a todos); pero ha de haber, al mismo tiempo, un espíritu de libertad, ya que, en lo concerniente al deber universal de los hombres, tal constitución exige la persuasión racional de que tal coacción es legítima, a fin de no incurrir en contradicción consigo misma. La obediencia, sin este espíritu, es la causa originaria de todas las sociedades secretas.” (TP; 1999, p. 278) Mientras el despotismo impone leyes y decretos por la fuerza, el concepto de república supone un horizonte de “persuasión racional”. En Kant, la fuerza de la razón y la palabra se sobrepone al imperio de la espada. </w:t>
      </w:r>
    </w:p>
    <w:p w14:paraId="6DC8D5C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Si no se puede incurrir en rebeldía, ni en sociedades secretas, por lo tanto, la salida ante la posible injusticia en el mantenimiento del contrato originario, es deliberativa, racional y pacífica. Esto presupone la libertad pública de expresión y especialmente, necesita de la facultad de los ciudadanos para ajustar el entramado que establece tanto el sentido de la voluntad general, como el de sus leyes de acuerdo a ésta. </w:t>
      </w:r>
    </w:p>
    <w:p w14:paraId="4CBE0FD4"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Por todo lo revisado, se puede decir que la libertad externa considera un horizonte que solo puede ser republicano, ya que es el panorama que permite ciudadanos libres, iguales e independientes. La libertad externa, así, se entiende en este texto desde los pilares de la membresía del estado civil. Por esta razón, podríamos interpretar a la libertad externa en cuanto es una libertad civil. </w:t>
      </w:r>
    </w:p>
    <w:p w14:paraId="32721E72"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lastRenderedPageBreak/>
        <w:t xml:space="preserve">En la idea de libertad civil concurren la facultad para buscar cada cual su camino, además de su igualdad ante la ley, de lo que se deprende una facultad de coaccionarse mutuamente en virtud de las normas públicas. Finalmente, la libertad civil se complementa en la independencia de cada ciudadano, especialmente mediante la facultad del voto y la co-legislación. </w:t>
      </w:r>
    </w:p>
    <w:p w14:paraId="5F06BA8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El ejercicio de la libertad civil, especialmente en el sentido de la co-legislación, se encuentra regulada mediante el estímulo del uso público de la razón y de la facultad de expresión libre, siempre que se mantenga en los límites que posibiliten un horizonte civil. </w:t>
      </w:r>
    </w:p>
    <w:p w14:paraId="202DBE7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Por todo lo dicho, podríamos considerar que la libertad exterior, además de su carácter jurídico, tiene un elemento civil en el fenómeno de la co-legislación que se ha revisado en este apartado, en virtud del texto señalado. Queda revisar, por tanto, cómo la libertad externa se asocia más directamente al consentimiento, en este panorama y agrega una dimensión política a su naturaleza. </w:t>
      </w:r>
    </w:p>
    <w:p w14:paraId="15F04EF2" w14:textId="77777777" w:rsidR="00670045" w:rsidRPr="009666E0" w:rsidRDefault="00670045" w:rsidP="00670045">
      <w:pPr>
        <w:spacing w:line="360" w:lineRule="auto"/>
        <w:rPr>
          <w:rFonts w:ascii="Times New Roman" w:hAnsi="Times New Roman"/>
          <w:sz w:val="24"/>
          <w:szCs w:val="24"/>
          <w:lang w:val="es-MX"/>
        </w:rPr>
      </w:pPr>
    </w:p>
    <w:p w14:paraId="3F11557C" w14:textId="77777777" w:rsidR="00670045" w:rsidRPr="009666E0" w:rsidRDefault="00670045" w:rsidP="00670045">
      <w:pPr>
        <w:pStyle w:val="ListParagraph"/>
        <w:numPr>
          <w:ilvl w:val="2"/>
          <w:numId w:val="9"/>
        </w:numPr>
        <w:spacing w:after="160" w:line="360" w:lineRule="auto"/>
        <w:rPr>
          <w:rFonts w:ascii="Times New Roman" w:hAnsi="Times New Roman"/>
          <w:sz w:val="24"/>
          <w:szCs w:val="24"/>
          <w:lang w:val="es-MX"/>
        </w:rPr>
      </w:pPr>
      <w:r w:rsidRPr="009666E0">
        <w:rPr>
          <w:rFonts w:ascii="Times New Roman" w:hAnsi="Times New Roman"/>
          <w:sz w:val="24"/>
          <w:szCs w:val="24"/>
          <w:lang w:val="es-MX"/>
        </w:rPr>
        <w:t>Desde la Paz perpetua</w:t>
      </w:r>
    </w:p>
    <w:p w14:paraId="17093909" w14:textId="77777777" w:rsidR="00670045" w:rsidRPr="009666E0" w:rsidRDefault="00670045" w:rsidP="00670045">
      <w:pPr>
        <w:spacing w:line="360" w:lineRule="auto"/>
        <w:rPr>
          <w:rFonts w:ascii="Times New Roman" w:hAnsi="Times New Roman"/>
          <w:sz w:val="24"/>
          <w:szCs w:val="24"/>
          <w:lang w:val="es-MX"/>
        </w:rPr>
      </w:pPr>
    </w:p>
    <w:p w14:paraId="57DDD094"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la </w:t>
      </w:r>
      <w:r w:rsidRPr="009666E0">
        <w:rPr>
          <w:rFonts w:ascii="Times New Roman" w:hAnsi="Times New Roman"/>
          <w:i/>
          <w:iCs/>
          <w:sz w:val="24"/>
          <w:szCs w:val="24"/>
          <w:lang w:val="es-MX"/>
        </w:rPr>
        <w:t>Paz Perpetua</w:t>
      </w:r>
      <w:r w:rsidRPr="009666E0">
        <w:rPr>
          <w:rFonts w:ascii="Times New Roman" w:hAnsi="Times New Roman"/>
          <w:sz w:val="24"/>
          <w:szCs w:val="24"/>
          <w:lang w:val="es-MX"/>
        </w:rPr>
        <w:t xml:space="preserve"> (ZeF AA 08; </w:t>
      </w:r>
      <w:r w:rsidRPr="009666E0">
        <w:rPr>
          <w:rFonts w:ascii="Times New Roman" w:hAnsi="Times New Roman"/>
          <w:sz w:val="24"/>
          <w:szCs w:val="24"/>
        </w:rPr>
        <w:t>Zum ewigen Frieden</w:t>
      </w:r>
      <w:r w:rsidRPr="009666E0">
        <w:rPr>
          <w:rFonts w:ascii="Times New Roman" w:hAnsi="Times New Roman"/>
          <w:sz w:val="24"/>
          <w:szCs w:val="24"/>
          <w:lang w:val="es-MX"/>
        </w:rPr>
        <w:t xml:space="preserve">) Kant propone algunos artículos preliminares como condiciones para que pueda haber un escenario en donde la paz sea posible entre estados distintos. En seguida, propone artículos definitivos para la creación de una liga de repúblicas, que entren en un escenario civil compartido. Este ámbito supone el horizonte de la política y el derecho internacional. </w:t>
      </w:r>
    </w:p>
    <w:p w14:paraId="7397B47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caso de una nación particular como un todo, se puede entender el tránsito interno del estado natural al civil mediante un contrato originario. Pero cuando pensamos en su relación externa con otros estados, podemos pensar que, la nación en cuanto individuo, entra en contacto e intercambio recíproco con otros Estados, que también son considerados como individuos. Si estas relaciones son marcadas por la violencia, se entiende un estado natural internacional, pero si las relaciones internacionales se ajustan a un derecho universal, luego, podemos considerar que este tránsito representa el paso del derecho de gentes hacia el derecho cosmopolita.  La propuesta republicana de Kant es fundamentalmente cosmopolita. </w:t>
      </w:r>
    </w:p>
    <w:p w14:paraId="1DF2953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los artículos preliminares Kant establece las bases para un encuentro razonable entre estados. Señala que las relaciones deben ser honestas, reconociendo el carácter plenamente </w:t>
      </w:r>
      <w:r w:rsidRPr="009666E0">
        <w:rPr>
          <w:rFonts w:ascii="Times New Roman" w:hAnsi="Times New Roman"/>
          <w:sz w:val="24"/>
          <w:szCs w:val="24"/>
          <w:lang w:val="es-MX"/>
        </w:rPr>
        <w:lastRenderedPageBreak/>
        <w:t xml:space="preserve">soberano de cada Estado, no basando su diálogo en el poder militar, ni en el económico, respetando en cada Estado su independencia, y evitando absolutamente cualquier práctica de perfidia. </w:t>
      </w:r>
    </w:p>
    <w:p w14:paraId="7E52448D"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Con esos presupuestos, Kant propone activamente en el primer artículo definitivo lo siguiente: “La constitución civil de todo Estado debe ser republicana.” (ZeF; 1999, p.315)” Y nos explica que: “La constitución republicana se establece, en primer lugar, según el principio de libertad de los miembros de una sociedad (como hombres); en segundo lugar, según principios de dependencia en que todo se hallan respecto a una sola legislación común (como súbditos); y en tercer lugar, según la ley de igualdad de estos (como ciudadanos): es la única que procede de la idea de contrato originario, sobre la que deben fundarse todas las normas jurídicas de un pueblo.” (</w:t>
      </w:r>
      <w:r w:rsidRPr="009666E0">
        <w:rPr>
          <w:rFonts w:ascii="Times New Roman" w:hAnsi="Times New Roman"/>
          <w:i/>
          <w:iCs/>
          <w:sz w:val="24"/>
          <w:szCs w:val="24"/>
          <w:lang w:val="es-MX"/>
        </w:rPr>
        <w:t>Ib.</w:t>
      </w:r>
      <w:r w:rsidRPr="009666E0">
        <w:rPr>
          <w:rFonts w:ascii="Times New Roman" w:hAnsi="Times New Roman"/>
          <w:sz w:val="24"/>
          <w:szCs w:val="24"/>
          <w:lang w:val="es-MX"/>
        </w:rPr>
        <w:t xml:space="preserve">) Para Kant, sólo en la forma de gobierno que es republicana se ubica un pleno estado jurídico o civil de la libertad externa. </w:t>
      </w:r>
    </w:p>
    <w:p w14:paraId="351CC79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Estos elementos que constituyen el estado civil de todo ciudadano se engloban en el concepto de libertad exterior. Agrega Kant, en una nota al pie, una perspectiva política complementaria de la libertad externa. Nos indica que: “La libertad jurídica (externa, por tanto) no puede definirse, como suele hacerse, por la competencia: &lt;&lt;Puede hacerse cuanto se quiera, si no se perjudica a nadie&gt;&gt;. (…) Mi libertad exterior (jurídica) ha de explicarse mejor así: es la competencia a no obedecer ninguna ley exterior si no he podido darle mi aprobación." (ZeF; 1999, p.315, Nota al pie 108)”</w:t>
      </w:r>
    </w:p>
    <w:p w14:paraId="2C20C05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Este panorama de la libertad externa supone el énfasis en la dimensión activa política y participativa del consentimiento. El concepto de consentimiento de cada ciudadano le otorga la facultad para participar en el encauzamiento de la voluntad unificada, mediante la toma de postura personal libre e independiente desde su propio fuero y perspectiva. De la misma forma que para la deliberación, para el consentimiento de las leyes públicas es necesaria la libre facultad de expresión. La libertad de dar o no el consentimiento a la ley promulgada, a la luz del balance del interés general, es la libertad externa en su sentido político. </w:t>
      </w:r>
    </w:p>
    <w:p w14:paraId="7F7FD26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Este elemento es distintivo en el modelo republicano de Kant y se opone diametralmente al despotismo, ya que involucra el interés de los ciudadanos con su propia actividad en la representación. La libertad externa, en cuanto libertad política, se ve representada por el consentimiento no solo porque brinda la prerrogativa a cada ciudadano de someter a su propia razón el sentido de la ley, sino que, además, se entiende que los involucrados en el marco de esas mismas leyes, son los ciudadanos como tales, por lo que elegirán con cuidado las normas que ellos mismos pudieran aceptar en nombre todos, de acuerdo a una proyección universal. </w:t>
      </w:r>
      <w:r w:rsidRPr="009666E0">
        <w:rPr>
          <w:rFonts w:ascii="Times New Roman" w:hAnsi="Times New Roman"/>
          <w:sz w:val="24"/>
          <w:szCs w:val="24"/>
          <w:lang w:val="es-MX"/>
        </w:rPr>
        <w:lastRenderedPageBreak/>
        <w:t xml:space="preserve">Esto queda expresado por Kant en la </w:t>
      </w:r>
      <w:r w:rsidRPr="009666E0">
        <w:rPr>
          <w:rFonts w:ascii="Times New Roman" w:hAnsi="Times New Roman"/>
          <w:i/>
          <w:iCs/>
          <w:sz w:val="24"/>
          <w:szCs w:val="24"/>
          <w:lang w:val="es-MX"/>
        </w:rPr>
        <w:t>Paz Perpetua</w:t>
      </w:r>
      <w:r w:rsidRPr="009666E0">
        <w:rPr>
          <w:rFonts w:ascii="Times New Roman" w:hAnsi="Times New Roman"/>
          <w:sz w:val="24"/>
          <w:szCs w:val="24"/>
          <w:lang w:val="es-MX"/>
        </w:rPr>
        <w:t>, del siguiente modo: “Si es precisa la aprobación de los ciudadanos (como no puede ser de otro modo en esta constitución (*republicana)) para decidir &lt;si debe haber guerra o no&gt;, es muy natural que se piensen mucho el comenzar un juego tan maligno.” (TP; 1999, p. 316) Luego agrega lo siguiente: “Por el contrario, en una constitución en la que el súbdito no es ciudadano, y que, por tanto, no es republicana, la guerra es la cosa más sencilla del mundo, porque el jefe del Estado no es miembro del Estado, sino su propietario.” (ZeF; 1999, p. 316)</w:t>
      </w:r>
    </w:p>
    <w:p w14:paraId="65B86CF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El interés político se puede pensar en dos niveles de convivencia compartida, que son igual de importantes para Kant en las tres obras revisadas. Podríamos pensar que, de modo interno, una nación, para consigo misma, requiere de un estado civil. Además, de modo externo, una nación, en relación con otras, también necesita un horizonte jurídico y el cultivo de la libertad exterior. En este sentido, no se puede dejar de referir el carácter cosmopolita que tiene el proyecto filosófico político de Kant, y que involucra análogamente las dimensiones que se han discutido de la libertad externa.</w:t>
      </w:r>
    </w:p>
    <w:p w14:paraId="6F3A64E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este apartado se ha revisado la dimensión que ofrece Kant de la libertad externa en virtud del texto señalado. En la </w:t>
      </w:r>
      <w:r w:rsidRPr="009666E0">
        <w:rPr>
          <w:rFonts w:ascii="Times New Roman" w:hAnsi="Times New Roman"/>
          <w:i/>
          <w:iCs/>
          <w:sz w:val="24"/>
          <w:szCs w:val="24"/>
          <w:lang w:val="es-MX"/>
        </w:rPr>
        <w:t>Paz Perpetua</w:t>
      </w:r>
      <w:r w:rsidRPr="009666E0">
        <w:rPr>
          <w:rFonts w:ascii="Times New Roman" w:hAnsi="Times New Roman"/>
          <w:sz w:val="24"/>
          <w:szCs w:val="24"/>
          <w:lang w:val="es-MX"/>
        </w:rPr>
        <w:t xml:space="preserve"> se enfatiza el sentido de la libertad en virtud de la facultad del consentimiento ante las leyes y se puede pensar su concepto como la elevación a una dignidad política.  Por estas razones, se puede interpretar esta dimensión de la libertad externa en cuanto una libertad política.</w:t>
      </w:r>
    </w:p>
    <w:p w14:paraId="2E3DCBD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Por lo revisado en este capítulo, tenemos un concepto compuesto de la libertad externa, ya que involucra distintas acepciones que le asocian a un sentido jurídico, civil o político. La libertad externa se despliega de acuerdo al principio del derecho en el contexto de un orden republicano, y en cuanto se funda en un contrato originario, entendido como una idea normativa de la razón, es una condición previa formal para cualquier realización práctica. La libertad externa es jurídica por cuanto se da en el horizonte de la sociedad civil de un estado de derecho. Es, además, civil, por cuanto supone un balance de razones públicas de ciudadanos activos e independientes, para concretar la integración de una voluntad integral y unificada, mediante el ejercicio de la co-legislación. Finalmente, la libertad exterior se puede entender también como una política, por cuanto involucra el libre consentimiento del ciudadano para legitimar toda ley que no corresponda a voluntad particulares, sino al interés de los asuntos públicos.</w:t>
      </w:r>
    </w:p>
    <w:p w14:paraId="13C1830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Teniendo en cuenta esta posible triple lectura de la libertad exterior, cabe recalcar que, por encima de todas las otras dimensiones propuestas, es la libertad exterior fundamental y </w:t>
      </w:r>
      <w:r w:rsidRPr="009666E0">
        <w:rPr>
          <w:rFonts w:ascii="Times New Roman" w:hAnsi="Times New Roman"/>
          <w:sz w:val="24"/>
          <w:szCs w:val="24"/>
          <w:lang w:val="es-MX"/>
        </w:rPr>
        <w:lastRenderedPageBreak/>
        <w:t>principalmente, jurídica, pero en su compuesto concepto, hay diversas dimensiones complementarias que le enriquecen y que se ha intentado resaltar mediante la figuración de un sentido civil y político.</w:t>
      </w:r>
    </w:p>
    <w:p w14:paraId="01CC2C17"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Para evaluar el lugar (ya tenuemente esbozado) de la libertad exterior en el marco de la propuesta republicana de Kant, hace falta especificar un poco más ésta última. En el siguiente capítulo, por lo tanto, el objeto será desarrollar un sintético y comprehensivo marco de las ideas republicanas de Kant. </w:t>
      </w:r>
    </w:p>
    <w:p w14:paraId="10C41698"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br w:type="page"/>
      </w:r>
    </w:p>
    <w:p w14:paraId="4DA38D74" w14:textId="77777777" w:rsidR="00670045" w:rsidRPr="00670045" w:rsidRDefault="00670045" w:rsidP="00670045">
      <w:pPr>
        <w:spacing w:line="360" w:lineRule="auto"/>
        <w:jc w:val="center"/>
        <w:rPr>
          <w:rFonts w:ascii="Times New Roman" w:hAnsi="Times New Roman"/>
          <w:b/>
          <w:bCs/>
          <w:sz w:val="24"/>
          <w:szCs w:val="24"/>
          <w:u w:val="single"/>
        </w:rPr>
      </w:pPr>
      <w:r w:rsidRPr="00670045">
        <w:rPr>
          <w:rFonts w:ascii="Times New Roman" w:hAnsi="Times New Roman"/>
          <w:b/>
          <w:bCs/>
          <w:sz w:val="24"/>
          <w:szCs w:val="24"/>
          <w:u w:val="single"/>
        </w:rPr>
        <w:lastRenderedPageBreak/>
        <w:t>Capítulo 2: La Libertad externa y la doctrina del derecho desde K. Flikschuh</w:t>
      </w:r>
    </w:p>
    <w:p w14:paraId="16766985" w14:textId="77777777" w:rsidR="00670045" w:rsidRPr="009666E0" w:rsidRDefault="00670045" w:rsidP="00670045">
      <w:pPr>
        <w:spacing w:line="360" w:lineRule="auto"/>
        <w:rPr>
          <w:rFonts w:ascii="Times New Roman" w:hAnsi="Times New Roman"/>
          <w:sz w:val="24"/>
          <w:szCs w:val="24"/>
        </w:rPr>
      </w:pPr>
    </w:p>
    <w:p w14:paraId="57BAC6A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Una muy comprehensiva revisión de la doctrina del derecho de Kant está desarrollada por K. Flikschuh en su libro </w:t>
      </w:r>
      <w:r w:rsidRPr="009666E0">
        <w:rPr>
          <w:rFonts w:ascii="Times New Roman" w:hAnsi="Times New Roman"/>
          <w:i/>
          <w:iCs/>
          <w:sz w:val="24"/>
          <w:szCs w:val="24"/>
        </w:rPr>
        <w:t xml:space="preserve">Kant and modern political philosophy </w:t>
      </w:r>
      <w:r w:rsidRPr="009666E0">
        <w:rPr>
          <w:rFonts w:ascii="Times New Roman" w:hAnsi="Times New Roman"/>
          <w:sz w:val="24"/>
          <w:szCs w:val="24"/>
        </w:rPr>
        <w:t xml:space="preserve">(2000). En este texto, la autora centra el corazón del pensamiento político de Kant en su doctrina del derecho, en consideración paralela con diversos otros textos, que permiten una comprensión panorámica de su pensamiento como una unidad articulada. </w:t>
      </w:r>
    </w:p>
    <w:p w14:paraId="33636BAD"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Su libro tiene por lo menos tres grandes tesis sobre el pensamiento político de Kant. En primer lugar, que la doctrina del derecho refuerza y presupone la idea de una metafísica crítica de principios normativos para la práctica, y que ello se traduce en su propuesta de filosofía política. La autora es clara en señalar que la tendencia general hasta entonces, en los debates contemporáneos, ha sido mayormente de rechazo a la metafísica para los asuntos políticos, mientras que, ella busca reivindicar ese papel desde el pensamiento de Kant. Esto se encuentra dirigido principalmente en contra de la intención de alejar a Kant de conceptos metafísicos, tal como se puede apreciar en algunas obras de Habermas y Rawls. La línea que enfatiza Flikschuh, y busca rescatar este papel de la metafísica, proviene de Sellars y ha influenciado a autores como Ripstein, Forst y otros. De esta forma, Flikschuh nos recuerda que Kant no elimina la metafísica, sino que desarrolla una de perfil crítico y antidogmático, no solo siendo útil su papel para el debate práctico político, sino que es hasta indispensable e ineludible. </w:t>
      </w:r>
    </w:p>
    <w:p w14:paraId="0826AD7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En segundo lugar, según Flikschuh, de la idea de libertad externa se deriva una noción de la propiedad privada, lo cual resulta en una obligación política mutua en un estado civil, resaltando así el carácter isométrico de la libertad jurídica. La raíz de esta obligación política recíproca radica en la idea de una voluntad unificada. En este sentido, la segunda tesis del libro de Flikschuh se compone de varios elementos, en donde lo central radica en el concepto de obligación política mutua que se desprende de la libertad externa. </w:t>
      </w:r>
    </w:p>
    <w:p w14:paraId="4EDA1529"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Esto incluye el reconocimiento por parte de la autora de los legítimos intereses económicos o de propiedad a la hora de pensar en la voluntad de la libertad externa y el contexto civil. Sin embargo, la libertad externa no se limita a los intereses económicos, sino que la obligación mutua supone una estructura deducida de la libertad, de sus alcances civiles, cuando son pensados como una voluntad unificada y en la posibilidad de la propiedad privada, todo lo cual compete a la idea de un contrato originario y con-formador de la sociedad en cuanto civil. Para la autora, este concepto de la obligación mutua, (que se </w:t>
      </w:r>
      <w:r w:rsidRPr="009666E0">
        <w:rPr>
          <w:rFonts w:ascii="Times New Roman" w:hAnsi="Times New Roman"/>
          <w:sz w:val="24"/>
          <w:szCs w:val="24"/>
        </w:rPr>
        <w:lastRenderedPageBreak/>
        <w:t xml:space="preserve">extiende al análisis de la ley permisiva y considera los alcances cosmopolitas implícitos), constituye lo principal de la doctrina del derecho de Kant y en ese sentido, de su pensamiento político. Por ello, para Flikschuh, la obligación mutua no se limita al asunto de la propiedad privada, sino que resalta el hecho de que la libertad externa requiere una institucionalización en un estado civil y se prolonga de ese modo, hasta las implicaciones que fundamentan el derecho público. La obligación mutua, por esta razón, no es otra cosa que una dimensión de la libertad externa, en cuanto está normativizada por el principio universal del derecho para una libertad recíproca. Puesto de otro modo, la libertad externa debe regularse para alcanzar un estado civil, y de ello se despliega el concepto de una obligación mutua. </w:t>
      </w:r>
    </w:p>
    <w:p w14:paraId="1F6A98B1"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Por lo dicho, para Flikschuh, la libertad externa representa una obligación mutua que se encuentra regulada por la idea de una voz unificada del pueblo, de acuerdo a un contrato originario y de interés republicano en cuanto forma de gobierno que se oponga a todo despotismo e instaure un estado civil. Solo en dicho horizonte sería posible una propiedad perenne y no una provisional. La fuerza de esta idea no se limita al entorno doméstico, sino que alcanza una dimensión general, que trasciende las naciones particulares. Solo podrían existir plena justicia y paz en un marco global y no limitadamente regional. Lo mismo ocurre con la propiedad privada que está implicada en el concepto de libertad externa, ya que presupone un marco jurídico y civil para poder tener garantías. </w:t>
      </w:r>
    </w:p>
    <w:p w14:paraId="57708D20"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Una tercera tesis complementaria a las anteriores supone el papel del pensamiento cosmopolita y cómo este se encuentra enraizado en toda la propuesta de su pensamiento político, que se estructura alrededor de la idea de una libertad externa, en cuanto condición jurídica y civil de cada persona, no a un nivel de naciones, sino a uno de miras de alcance mundial. Para Flikschuh, la obligación mutua que contiene la libertad externa, y que nos compele a entrar en relaciones de cooperación es en su concepción, de naturaleza esencialmente cosmopolita. Es importante enfatizar, como lo hace Flikschuh, que la naturaleza cosmopolita de la propuesta del pensamiento político de Kant, no es un agregado final, o un resultado lineal de lo anterior, sino que su propuesta tiene precisamente por base un carácter de alcance general y de interés cosmopolita. </w:t>
      </w:r>
    </w:p>
    <w:p w14:paraId="13E2E1C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 consideración de Flikschuh en estas principales tesis supone, por lo tanto, una lectura del pensamiento político de Kant en virtud de resaltar el papel de la metafísica, del derecho como basado en una metafísica de la libertad, de la libertad externa en cuanto una obligación mutua y del cosmopolitismo como un elemento fundamental desde un inicio. En este capítulo, </w:t>
      </w:r>
      <w:r w:rsidRPr="009666E0">
        <w:rPr>
          <w:rFonts w:ascii="Times New Roman" w:hAnsi="Times New Roman"/>
          <w:sz w:val="24"/>
          <w:szCs w:val="24"/>
        </w:rPr>
        <w:lastRenderedPageBreak/>
        <w:t>vamos a seguir la argumentación de Flikschuh, para extraer una precisión del contexto y naturaleza del concepto de la libertad externa.</w:t>
      </w:r>
    </w:p>
    <w:p w14:paraId="01FBC737"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Hay cuatro aspectos que perfilan la lectura de la doctrina del derecho para la autora, tal y como lo señala en la introducción. Ella señala sobre estas cuatro características que: “La primera se refiere a la importancia de las restricciones naturales en relación a la agencia humana. La segunda es acerca de la noción de la finitud humana y la inevitable interdependencia entre sus agentes. El tercer aspecto es menos tangible y se refiere al concepto de la metafísica en el pensamiento político. (…) Debo agregar un cuarto elemento con la idea de libertad. Es poco sorprendente que la libertad sea central en la filosofía Política de Kant.” (</w:t>
      </w:r>
      <w:bookmarkStart w:id="4" w:name="_Hlk222313910"/>
      <w:r w:rsidRPr="009666E0">
        <w:rPr>
          <w:rFonts w:ascii="Times New Roman" w:hAnsi="Times New Roman"/>
          <w:sz w:val="24"/>
          <w:szCs w:val="24"/>
        </w:rPr>
        <w:t xml:space="preserve">2000; </w:t>
      </w:r>
      <w:bookmarkEnd w:id="4"/>
      <w:r w:rsidRPr="009666E0">
        <w:rPr>
          <w:rFonts w:ascii="Times New Roman" w:hAnsi="Times New Roman"/>
          <w:sz w:val="24"/>
          <w:szCs w:val="24"/>
        </w:rPr>
        <w:t xml:space="preserve">p.2) </w:t>
      </w:r>
    </w:p>
    <w:p w14:paraId="3316467F"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Respecto a los temas centrales que ella considera en su libro, para interpretar la doctrina del derecho, es importante resaltar que deja de lado el apartado sobre el derecho público, y se centra en la primera parte de la doctrina del derecho, designada al derecho privado (referido, dentro de otras cosas, como el ámbito de la propiedad privada) y en la parte que se designa al derecho cosmopolita. Ella señala que: “Mi aproximación a la doctrina del derecho es altamente selectiva. Me enfoco casi exclusivamente en las divisiones primera y segunda de la primera sección que se titula “sobre el derecho privado” y sobrepaso enteramente la primera división de la sección segunda que se titula: “sobre el derecho público” y que se refiere a la división de la autoridad gubernamental dentro de los estados. De otra mano, la división tercera de la sección segunda, que se refiere al derecho cosmopolita, es de gran importancia para la línea de interpretación buscada en este libro.” (2000; p.7) </w:t>
      </w:r>
    </w:p>
    <w:p w14:paraId="789B54D8"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Esta puntualización define la lectura de la doctrina del derecho que hace Flikschuh y se centrará a lo largo de su libro en por lo menos dos elementos constitutivos y fundacionales para interpretar el pensamiento político de Kant. Estos elementos son la idea del deseo de propiedad privada como la raíz de un orden civil y la idea de una ley permisiva antes del estado de derecho. Estos dos aspectos apuntan al origen y razón de ser de una sociedad con leyes y en donde se despliega una libertad externa. Los elementos en que Flikschuh se enfocará representan condiciones de posibilidad para la existencia de un orden político de acuerdo a la forma de gobierno republicana que delinea Kant en la sección que se refiere a la administración del gobierno de los estados, es decir, sobre el derecho público.  </w:t>
      </w:r>
    </w:p>
    <w:p w14:paraId="7A12EA16"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Sobre la recepción de la doctrina del derecho, la autora indica que: “El texto originalmente publicado ha impactado a una generación de escolares de Kant no solo como oscura, sino como directamente confundida. (…) La manera de argumentar de Kant les ha parecido a </w:t>
      </w:r>
      <w:r w:rsidRPr="009666E0">
        <w:rPr>
          <w:rFonts w:ascii="Times New Roman" w:hAnsi="Times New Roman"/>
          <w:sz w:val="24"/>
          <w:szCs w:val="24"/>
        </w:rPr>
        <w:lastRenderedPageBreak/>
        <w:t>muchos lectores pacientes como frustrantemente indisciplinada, confundida, incluso como incoherente. La famosa tesis de la senilidad en la consecuente virtualmente completa negligencia de la doctrina del derecho tiene sus orígenes en estas distorsiones textuales y en la resultante sensación de frustración. (2000; p.8) Sin embargo, de acuerdo a B. Ludwig, ella atribuye el efecto posible de confusión a problemas editoriales, cuando señala que: “Una alternativa de interpretación influyente de la doctrina del derecho fue presentada por Bernd Ludwig en 1986. De acuerdo a Ludwig, las distorsiones textuales no son un reflejo del estado mental de Kant en el tiempo en que escribió, sino que son el producto de errores editoriales en la etapa de impresión sobre las cuales Kant no tenía control.” (2000; p.9)</w:t>
      </w:r>
    </w:p>
    <w:p w14:paraId="42AB4581"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Consideradas estas ideas introductorias sobre el libro de Flikschuh, podemos pasar a analizar los primeros capítulos. En la introducción se había anticipado lo siguiente respecto al tema central del primer capítulo: “Es un postulado central de este libro que la absorción del pensamiento político de Kant en el liberalismo contemporáneo es a lo mucho parcial.” (2000; p.2) y había agregado en seguida que: “Los escritos políticos de Kant, especialmente la doctrina del derecho, continúan siendo vistos negligentemente por los contemporáneos liberales.” (2000; p.3)</w:t>
      </w:r>
    </w:p>
    <w:p w14:paraId="3F9634EA"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En el primer capítulo, llamado: “La metafísica kantiana en el liberalismo contemporáneo” la autora sostiene la primera tesis del libro. A diferencia de la interpretación liberal contemporánea, para Flikschuh: “No solo las asunciones metafísicas son inevitables, sino que también son indispensables. En esta línea positiva de defensa, la metafísica facilita una teorización coherente acerca de, por ejemplo, el problema de la justicia. Lo hace ofreciendo un marco conceptual subyacente y normativo dentro de las restricciones sobre las cuales la teorización práctica consistente puede proceder. Este libro adopta esta línea de defensa positiva. Una de las características que define el pensamiento político filosófico de Kant, apartado de las del liberalismo contemporáneo, es su soporte explícito hacia la metafísica.” (2000; p.5)</w:t>
      </w:r>
    </w:p>
    <w:p w14:paraId="0078C0B1"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Respecto de los conceptos metafísicos que forman la base del pensamiento político de Kant, Flikschuh identifica que: “La metafísica de la justicia de Kant está basada en las perspectivas de la libertad y las restricciones de la naturaleza, y su eventual reconciliación por medio de un acto de un juicio práctico político que refleja la concepción positiva de Kant sobre la finitud humana. En otras palabras, la idea de libertad, las restricciones naturales y una concepción particular de finitud humana en relación al razonamiento político práctico informa de una subyacente estructura categórica o marco categorial en la doctrina del derecho </w:t>
      </w:r>
      <w:r w:rsidRPr="009666E0">
        <w:rPr>
          <w:rFonts w:ascii="Times New Roman" w:hAnsi="Times New Roman"/>
          <w:sz w:val="24"/>
          <w:szCs w:val="24"/>
        </w:rPr>
        <w:lastRenderedPageBreak/>
        <w:t xml:space="preserve">de Kant. Es la presencia de este subyacente marco categorial o encuadre metafísico, lo que da forma al pensamiento político de Kant y lo deja últimamente en una perspectiva muy diferente de aquella de los liberalistas contemporáneos.” (2000; p.6) </w:t>
      </w:r>
    </w:p>
    <w:p w14:paraId="3384E4F3"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En el primer capítulo, la autora se remite a lo que S. Körner se refiere como un marco categorial. Ella señala que: “Al desarrollar una noción de un marco categorial (…) espero conseguir un delineado de una posible aproximación a la metafísica de Kant. Esto proveería una estructura unificante para los argumentos exegéticos presentados en los capítulos subsecuentes. Sin anticipar mucho, la idea general es estructurar el análisis de la teoría de la justicia alrededor de la relación dentro de dos conceptos centrales o ideas que informan su pensamiento filosófico como un todo. Esos son los conceptos de naturaleza de un lado y la idea de libertad por el otro. De acuerdo con Kant, la reconciliación entre la causalidad de la naturaleza y la idea de libertad humana, forman la piedra de toque de su entera filosofía crítica. Es, por lo tanto, central también para adecuar un entendimiento de su filosofía del derecho.” (2000; p.13)</w:t>
      </w:r>
    </w:p>
    <w:p w14:paraId="0C4FFCE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Flikschuh luego señala cómo la idea de pluralismo ha ayudado a mantener alejada la idea de metafísica de los debates sobre política. Ella escribe que: “A pesar del renovado interés por la metafísica en otras ramas de la filosofía, su rechazo en la filosofía política continúa sin disminución. Dentro de los círculos liberales, el escepticismo hacia la metafísica ha tenido un renovado ímpetu a través de la tesis de Rawls sobre el hecho del pluralismo. De acuerdo a esta tesis, la prevalencia de la divergente concepción individual del bien en las sociedades liberales deja indisponible una concepción comprensiva del bien social, donde lo comprensivo, se considera, que incluye el compromiso público a unas presuposiciones de una metafísica particular que soportan la perspectiva del bien en cuestión. Desde que, bajo las condiciones del pluralismo, no todos los individuos pueden, o efectivamente, apoyan las mismas tales presuposiciones, la metafísica ha perdido su fuerza justificadora en sociedades liberales maduras. El hecho del pluralismo se ha convertido frecuentemente en una razón citada para evitar la metafísica en el pensamiento político. (2000; p.13) Como una posibilidad contraria, la autora propone que la tesis podría tener la carga opuesta, ya que, si es cierta la tesis del pluralismo, luego habría que prestar más atención, con mayor razón, a los presupuestos metafísicos de las deliberaciones en sociedades pluralistas, por cuanto estos presupuestos representan un marco conceptual que entrama ideas y valores a manera de trasfondo, sobre el cual las personas deciden y actúan. En esta línea, para Flikschuh, el inevitable marco categorial, que toda persona racional posee, trae consigo algunos </w:t>
      </w:r>
      <w:r w:rsidRPr="009666E0">
        <w:rPr>
          <w:rFonts w:ascii="Times New Roman" w:hAnsi="Times New Roman"/>
          <w:sz w:val="24"/>
          <w:szCs w:val="24"/>
        </w:rPr>
        <w:lastRenderedPageBreak/>
        <w:t xml:space="preserve">compromisos metafísicos que no se pueden restar de la naturaleza humana en sus actividades de organización social y política. </w:t>
      </w:r>
    </w:p>
    <w:p w14:paraId="73A6A30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Flikschuh separa varios bandos en la controversia, para analizar el impacto de Kant y resaltar la repetida negligencia de la dimensión metafísica. Ella señala a los liberales clásicos, los liberales críticos y los comunitaristas, aunque se centra en los dos primeros. La autora, de esta forma, sobre los primeros, refiere que: “Dibujo una distinción entre los liberales clásicos y los liberales críticos. Por liberales clásicos me refiero a la tradición política como fue formada por la clásica teoría del contrato social, en particular por las teorías de Hobbes, Locke y Rousseau, así como también por el empirismo británico, incluyendo esos pensadores no contractualistas como Hume y John Stuart Mill. A pesar de que, en la última etapa del pensamiento de Rawls, él mismo se alineó más cerca de la tradición americana pragmatista, se mantiene como uno de los más conocidos representantes del contractualismo clásico liberalista de hoy en día.” (2000; p.14)</w:t>
      </w:r>
    </w:p>
    <w:p w14:paraId="5AC8B84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Luego, Flikschuh, retrata a los comunitaristas como críticos de los liberales, pero no como propulsores de propuestas. Así, ella refiere que: “El trasfondo intelectual del comunitarismo es más diverso. Los autores comunitaristas toman de las filosofías de Aristóteles, Hegel y el segundo Wittgenstein. Lo que les une es una versión común en contra de la abstracción filosófica y la gran teorización. En contra de esto, los comunitaristas enfatizan la atención al detalle, la sensibilidad contextual y la apreciación de la diversidad social y cultural. En amplio sentido, los comunitaristas representan una filosofía negativa unida más por un rechazo general al pensamiento liberal que por una formulación positiva de proyecto político. Las convicciones filosóficas comunitaristas yacen más en la decisión de resistir las tentaciones de los análisis abstractos y la construcción teórica, que en el esfuerzo de ofrecer alternativas de esquemas sociales y justicia política.” (2000; p.14)</w:t>
      </w:r>
    </w:p>
    <w:p w14:paraId="6151E8D6"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Por último, Flikschuh señala que: “Finalmente está el liberalismo crítico. A pesar de ser más influyente en la Europa continental, ofrece una contraparte interesante al liberalismo clásico. Respecto de la recepción de la metafísica kantiana, como su nombre sugiere, el liberalismo crítico fue desarrollado desde la teoría crítica, sacando ideas de Marx, Weber, Adorno y Horkheimer, entre otros. Para ellos, el liberalismo crítico agrega la idea de estado de derecho, lo que les vincula a la filosofía política de Kant.” (2000; p.15)</w:t>
      </w:r>
    </w:p>
    <w:p w14:paraId="1E5E354F"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En la consideración de estos tres amplios bandos, la autora considera que difícilmente se puede tomar la etiqueta como una categoría cerrada y restrictiva, por cuanto: “Esta ruda clasificación de las perspectivas actuales dentro de la filosofía política no es exhaustiva. </w:t>
      </w:r>
      <w:r w:rsidRPr="009666E0">
        <w:rPr>
          <w:rFonts w:ascii="Times New Roman" w:hAnsi="Times New Roman"/>
          <w:sz w:val="24"/>
          <w:szCs w:val="24"/>
        </w:rPr>
        <w:lastRenderedPageBreak/>
        <w:t xml:space="preserve">Tampoco quiere sugerir que el cruce entre ellos es no existente. De hecho, hay liberales, comunitaristas, comunitaristas liberales y liberales clásicos con simpatías por el liberalismo crítico. Las tres perspectivas comparten una preocupación por la metafísica.” (2000; p.15) Para la autora, esto último es lo fundamental, por cuanto, por lo general, estos bandos conceden el despliegue de lo metafísico a nivel personal, pero no en un sentido público. </w:t>
      </w:r>
    </w:p>
    <w:p w14:paraId="1F2FC9D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En este mismo último sentido, ella refiere que: “A pesar de estos diferentes énfasis, las tres posiciones asocian la metafísica de Kant con una apelación a la perspectiva suprasensible que viene incómodamente cercana al mundo platónico de las ideas verdaderas. Todas ellas rechazan la permisibilidad de las metafísicas en el pensamiento en lo que respecta lo que involucra una apelación al mundo trascendente. La reflexión metafísica es permisible, si es que lo es del todo, solamente en una esfera privada, nunca en la esfera pública.” (2000; p.20) Esto refuerza la idea que discute la autora, respecto a que la metafísica, por lo general, en las discusiones contemporáneas, ha sido relegada en todo esfuerzo teórico de filosofía política.</w:t>
      </w:r>
    </w:p>
    <w:p w14:paraId="075E915A"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Esto resulta en el corazón de la primera tesis de Flikschuh. Ella nos dirá que: “Yo argumento primero que el pensamiento metafísico no puede reducirse al nivel de la mera reflexión privada. Este es mi argumento en contra de Rawls. En segundo lugar, sugiero que a pesar de que una perspectiva trascendente es indispensable para el pensamiento metafísico, esto no necesita involucrar la apelación a mundos suprasensibles. Ese es mi argumento en contra de Habermas. Salvo de paso, no me remito a la perspectiva comunitarista.” (2000; p.20) En este sentido, la tesis central de la autora se encuentra dirigida a esos dos frentes, representados por Rawls y Habermas, en donde se sostiene que el papel de la metafísica en debates políticos no debería entenderse como meramente privado y que ese uso de la metafísica no tiene porqué desentenderse de la realidad como podría ocurrir en el horizonte de un idealismo extremo. Basta tener en cuenta la naturaleza de los principios que postula la razón pura práctica para poder considerar que su enfoque es normativo y apunta a concretar algo en la realidad, que muchas veces todavía no existe en lo concreto de la práctica, pero si en la fuerza de su idea regulativa. </w:t>
      </w:r>
    </w:p>
    <w:p w14:paraId="51FADA2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En el panorama de los tres bandos descritos, todos parecen sostener una idea en común, a pesar de sus diferencias. Flikschuh señala que: “La contención es directa, que las creencias metafísicas no son de importancia en el contexto de la justificación política.” (2000; p.21)</w:t>
      </w:r>
    </w:p>
    <w:p w14:paraId="1F90B7D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Sin embargo, Flikschuh rescata cuatro elementos que deriva de la idea de marco categorial de Körner. Ella indica que: “El marco categorial de una persona tiene una evidente orientación epistemológica, reflejando asunciones particulares acerca de la condición de la </w:t>
      </w:r>
      <w:r w:rsidRPr="009666E0">
        <w:rPr>
          <w:rFonts w:ascii="Times New Roman" w:hAnsi="Times New Roman"/>
          <w:sz w:val="24"/>
          <w:szCs w:val="24"/>
        </w:rPr>
        <w:lastRenderedPageBreak/>
        <w:t xml:space="preserve">experiencia cognitiva que no puedo discutir aquí. Sin embargo, cuatro características de la exposición de Korner son útiles en el contexto presente. Número uno, la afirmación de que la metafísica de la persona se erige desde su experiencia cognitiva del mundo. Número dos, la afirmación de que el marco categorial de una persona se refiere al mundo público de su experiencia. Número tres, la afirmación de que el marco categorial debe demostrar una afirmación razonada para la validez intersubjetiva. Número cuatro, la afirmación de que el marco categorial contiene la organización de los principios, tanto teóricos como prácticos de una persona.” (2000; p.33) </w:t>
      </w:r>
    </w:p>
    <w:p w14:paraId="0DE924C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Estos cuatro elementos del marco categorial son el fundamento para interpretarle como la estructura de un trasfondo metafísico necesario e inevitable para toda persona, sin que se desentienda de la experiencia real. Flikschuh concluye que: “En suma, el pensamiento metafísico, entendido en términos de un marco categorial, constituye la reconstrucción reflectiva de una persona de su experiencia cognitiva del mundo público accesible a la estructura válida intersubjetiva de la cual el marco categorial apunta a identificar y elucidar para el propósito de guiar el pensamiento y la acción.” (2000; p.35)</w:t>
      </w:r>
    </w:p>
    <w:p w14:paraId="44356559"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De esta forma, la autora afirma que: “Ciertamente Korner explícitamente estipula que el marco categorial de una persona define su metafísica inmanente.” (2000; p.36) Y precisamente, en este sentido, Flikschuh aboga por “Defender la función pública de la metafísica en el pensamiento político.” (2000; p.47) </w:t>
      </w:r>
    </w:p>
    <w:p w14:paraId="4F7DECD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El uso de la metafísica en la reflexión política, entendido de esta manera, no se desentiende del resto del sistema crítico del pensamiento de Kant. Flikschuh, en esta línea, estipula que: “La metafísica inmanente de Kant - la organización e integración de sus supremos principios teóricos y prácticos - está articulada en términos de su doctrina filosófica de idealismo trascendental.” (2000; p.48) </w:t>
      </w:r>
    </w:p>
    <w:p w14:paraId="2CF4927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Flikschuh señala el encuadre de la doctrina del derecho, como parte de los esfuerzos de la razón práctica, en el escenario del contraste entre las leyes naturales y las leyes de la libertad. Este tema es desarrollado por Kant en la CRP en la tercera antinomia de la razón, en donde se confronta la idea racional de causalidad con la idea de libertad. Esta antigua controversia entre determinismo y libertad es resuelta de tal modo, que resulta fundamental para el ámbito del pensamiento político. Este tema se encuentra desarrollado más precisamente en el siguiente capítulo del libro de Flikschuh. </w:t>
      </w:r>
    </w:p>
    <w:p w14:paraId="3DA45B5D"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lastRenderedPageBreak/>
        <w:t>En el sentido en que Flikschuh rescata la solución de Kant al problema del libre albedrío, en el marco de su filosofía trascendental o crítica, es que ella establece una perspectiva para pensar en la libertad externa. Así, la autora señala que: “La doctrina del derecho apunta a reconciliar, desde la perspectiva de agencia política, el concepto de causalidad, con la idea de libertad, al especificar las condiciones necesarias para la posibilidad de una libertad legal o jurídica, para cada cual, dentro de las constricciones de la realidad empírica.” (2000; p.48)</w:t>
      </w:r>
    </w:p>
    <w:p w14:paraId="6551E117"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El primer capítulo del libro de Flikschuh concluye habiendo establecido la tesis de la importancia de la metafísica para la reflexión política, y abriendo paso a los elementos que constituyen los pilares de la metafísica particular que soporta el pensamiento político de Kant. En este sentido, ella refiere que: “La reconciliación entre la causalidad y la libertad en la doctrina del derecho puede ser concedida solo en términos prácticos, y esto presupone un reconocimiento de la finitud del conocimiento humano. En los siguientes capítulos, el tratamiento del concepto de causalidad, la idea de libertad y la noción de finitud humana se consideran como tres categorías centrales metafísicas que dan forma a la aproximación de Kant al problema del derecho en su doctrina.” (2000; p.48)</w:t>
      </w:r>
    </w:p>
    <w:p w14:paraId="11351530"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El segundo capítulo se titula: “La metafísica de la libertad como una idea de la razón” y caracteriza al ámbito práctico en general, pero específicamente al concepto de libertad, como una idea que toma de modelo el tipo de leyes que existen en la naturaleza, por lo que su poder normativo se formula con la atribución de ser algo semejante-a-la-ley. (Flikschuh usa el término </w:t>
      </w:r>
      <w:r w:rsidRPr="009666E0">
        <w:rPr>
          <w:rFonts w:ascii="Times New Roman" w:hAnsi="Times New Roman"/>
          <w:i/>
          <w:iCs/>
          <w:sz w:val="24"/>
          <w:szCs w:val="24"/>
        </w:rPr>
        <w:t>lawlikeness</w:t>
      </w:r>
      <w:r w:rsidRPr="009666E0">
        <w:rPr>
          <w:rFonts w:ascii="Times New Roman" w:hAnsi="Times New Roman"/>
          <w:sz w:val="24"/>
          <w:szCs w:val="24"/>
        </w:rPr>
        <w:t xml:space="preserve">). Además, la autora enfatiza el hecho de que la idea de libertad es una idea “compartida”. </w:t>
      </w:r>
    </w:p>
    <w:p w14:paraId="3C7A802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Flikschuh ofrecerá dos definiciones de libertad ofrecidas en el pensamiento moral de Kant, para luego ubicar su postura en el tradicional debate sobre la voluntad libre. Ella señala que: “La caracterización de Kant de la libertad como una idea de la razón constituye el más contencioso aspecto de su filosofía moral. Su distinción entre la concepción negativa y positiva de la libertad es bien conocida. Mientras la concepción negativa define a la libertad como la independencia de un ser racional de las determinaciones de la causalidad de la naturaleza, la concepción positiva se refiere a su capacidad de actuar desde principios de la sola razón pura práctica. Kant se refiere a menudo a la concepción negativa como la idea trascendental de la libertad, y a la concepción positiva como la libertad práctica o moral.” (2000; p.50)</w:t>
      </w:r>
    </w:p>
    <w:p w14:paraId="4292DDA3"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Flikschuh buscará definir la postura de Kant respecto a la libertad, pensada desde su contexto y en virtud de un debate tradicional. Ella señala que: “El problema de la libertad en </w:t>
      </w:r>
      <w:r w:rsidRPr="009666E0">
        <w:rPr>
          <w:rFonts w:ascii="Times New Roman" w:hAnsi="Times New Roman"/>
          <w:sz w:val="24"/>
          <w:szCs w:val="24"/>
        </w:rPr>
        <w:lastRenderedPageBreak/>
        <w:t xml:space="preserve">Kant no ha sido ignorado del todo, pero ha tendido a ocupar un lugar separado desde el que ha sido abordado como una versión del clásico debate entre voluntad libre y determinismo.” (2000; p.51) Esta controversia, en Kant, se puede pensar bajo la consideración de que el ser humano parece pertenecer a dos ámbitos al mismo tiempo, a la causalidad natural y a la libertad moral. Flikschuh defiende una lectura que no hace de Kant un compatibilista, ni un incompatibilista, sino algo distinto. </w:t>
      </w:r>
    </w:p>
    <w:p w14:paraId="174D9A06"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En el contexto del debate, los llamados deterministas fuertes sostienen que todo está determinado y no existe la libertad. Los deterministas suaves, o compatibilistas sostienen que al mismo tiempo es cierto que todo esté determinado y que, además, esto es compatible con que tengamos libertad. Los incompatibilistas no creen que ambas cosas puedan ser verdad a la vez, por lo que pueden inclinarse, por lo general, o bien, hacia los deterministas fuertes, o bien, se pueden entender como libertarios no deterministas. Flikschuh señala que: “Las limitaciones de la distinción entre compatibilistas e incompatibilistas sacada rutinariamente del debate de la voluntad libre ha sido señalada por Allen Wood, por ejemplo, al enfatizar el interés de Kant por reconciliar libertad con causalidad. Wood por lo tanto cuestiona la amplia caracterización de Kant como un incompatibilista.” (2000; p.51) </w:t>
      </w:r>
    </w:p>
    <w:p w14:paraId="171A898F"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 lectura de Flikschuh, siguiendo a Wood, supone que Kant no es un incompatibilista, ya que el ángulo desde que se interpreta la idea de libertad, es en cuanto se trata de una idea compartida de la razón, de forma que oriente la práctica normativamente de manera intersubjetiva. De este modo, la distinción entre los bandos del determinismo fuerte y la defensa radical de la voluntad libre, queda enmarcada por otras reglas de juego que Kant no necesariamente adscribe, a la hora de pensar en la libertad. Así, para alejarse de la lógica del debate entre deterministas y defensores de la voluntad libre, Flikschuh enmarca las ideas de Kant en otro registro distinto al de la metafísica tradicional o dogmática. Ella indica que: “Para Kant, la resolución del conflicto entre libertad y naturaleza presupone la doctrina del idealismo trascendental.” (2000; p.53) </w:t>
      </w:r>
    </w:p>
    <w:p w14:paraId="701C0152"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Debemos tener en cuenta que Kant intenta poner bajo escrutinio el papel de la metafísica tradicional y los límites del conocimiento en la CRP. Bajo su interpretación de la epistemología, con el giro copernicano que realiza, es posible distinguir una metafísica dogmática de una metafísica crítica. La primera puede entenderse como trascendente y la segunda como trascendental. La libertad considerada como asediada por el concepto de determinismo mecanicista, de esta forma, queda en el campo de la metafísica dogmática, mientras que la perspectiva de Kant de una metafísica crítica queda enmarcada en la lógica </w:t>
      </w:r>
      <w:r w:rsidRPr="009666E0">
        <w:rPr>
          <w:rFonts w:ascii="Times New Roman" w:hAnsi="Times New Roman"/>
          <w:sz w:val="24"/>
          <w:szCs w:val="24"/>
        </w:rPr>
        <w:lastRenderedPageBreak/>
        <w:t xml:space="preserve">de su idealismo trascendental, que es el núcleo de su filosofía crítica y supone para el ser humano una doble pertenencia a ámbitos de lógicas distintas: un mundo material determinado y un mundo moral de libertad de la voluntad, entendida como autonomía. </w:t>
      </w:r>
    </w:p>
    <w:p w14:paraId="7D6BA6D7"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Es importante tener en mente la distinción que hace Kant entre razón teórica y razón práctica. La primera tiene una función constitutiva del objeto de experiencia o fenómeno, mientras que la segunda tiene una función regulativa para la acción. En el contexto del pensamiento crítico de Kant, la libertad es una idea regulativa que produce la razón práctica. </w:t>
      </w:r>
    </w:p>
    <w:p w14:paraId="25EC7048"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Flikschuh habrá de girar su atención hacia la tercera antinomia de la razón para poder interpretar las ideas de Kant como incongruentes con el marco del problema del determinismo. Ella señala lo siguiente: “He sugerido que la distinción tradicional entre compatibilistas e incompatibilistas no es la más apropiada para abordar el conflicto entre libertad y naturaleza en la tercera antinomia. La teoría de Kant no es ninguna, ni incompatibilista, ni compatibilista.” (2000; p.54)</w:t>
      </w:r>
    </w:p>
    <w:p w14:paraId="7A9C3C77"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Kant define a las antinomias como las contradicciones inevitables en que incurre la razón consigo misma cuando trata de ir más allá de la experiencia posible para conocer las supuestas realidades últimas. Flikschuh señala al respecto que: “Kant define una antinomia como un conflicto de la razón. Más específicamente, es un conflicto de la razón consigo misma.” (2000; p.58) Al analizar la contraposición entre causalidad natural y la libertad moral en la tercera antinomia, podemos considerar la distinción entre fenómeno y noúmeno. En el nivel fenoménico, lo constituido como un objeto de experiencia se encuentra bajo las leyes de la causalidad natural, por lo que es un ámbito determinista y sin libertad. En el campo nouménico, sin embargo, más allá de la experiencia posible, la razón puede pensar en la libertad como algo que tiene una causalidad en sí misma y es propia de los seres racionales. La libertad moral no contradice el mundo determinado, porque se encuentra en otro ámbito distinto del de los fenómenos de leyes naturales. </w:t>
      </w:r>
    </w:p>
    <w:p w14:paraId="56C897EA"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Así, de acuerdo a Kant, estamos determinados en el mundo sensible, pero somos libres en el mundo inteligible. Por ello, la libertad no puede demostrarse por la experiencia, sino que es un principio regulativo que postula la razón práctica como necesario para la responsabilidad de la agencia moral. En este panorama es que Flikschuh interpreta a Kant como un pensador que no es precisamente, ni un incompatibilista, ni un compatibilista. </w:t>
      </w:r>
    </w:p>
    <w:p w14:paraId="6878E16B"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Ella señala que: “Kant efectivamente sostiene que el determinismo es verdadero en relación a la causalidad de los eventos de la naturaleza, pero esto excluye las acciones </w:t>
      </w:r>
      <w:r w:rsidRPr="009666E0">
        <w:rPr>
          <w:rFonts w:ascii="Times New Roman" w:hAnsi="Times New Roman"/>
          <w:sz w:val="24"/>
          <w:szCs w:val="24"/>
        </w:rPr>
        <w:lastRenderedPageBreak/>
        <w:t xml:space="preserve">humanas de la clase de eventos naturales. Esto le permite argumentar que, en contraste a los eventos naturales, las acciones humanas son libremente determinadas. (…) Wood adecuadamente señala que la inquietud de Kant por reconciliar libertad y causalidad nos debería precaver de adscribirle como un incompatibilista dualista. Al mismo tiempo, sería un error concluir que Kant es un compatibilista. (2000; p.54) Y por lo anteriormente discutido, ella concluye que: “Si Kant no es un incompatibilista, tampoco es un compatibilista. Como Wood lo expresa, la búsqueda de Kant por una tercera alternativa le hace un “incompatibilista compatibilista”, o lo que yo llamo un no-compatibilista. (2000; p.54) </w:t>
      </w:r>
    </w:p>
    <w:p w14:paraId="006CB7EB"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Flikschuh indica que Kant: “Usa las antinomias en orden para defender su doctrina filosófica del idealismo trascendental como la única solución posible para estos, de otro modo intratables, conflictos de la razón.” (2000; p.58) Y, rescatando de Hume la idea que supone que nosotros le adjudicamos causalidad a la naturaleza, y no la sacamos de ella, la autora agrega que: “Como veremos, parte de la respuesta a este acertijo yace en la concepción de causalidad de Kant como una categoría de la cognición que los sujetos humanos traen a la naturaleza, en lugar de descubrir relaciones causales en la naturaleza.” (2000; p.62) Más adelante insistirá en que: “El problema de muchas objeciones es que ignoran la importancia de la comprensión de Kant de la causalidad como un concepto epistemológico o categoría que nosotros traemos a la naturaleza.” (2000; p.64)</w:t>
      </w:r>
    </w:p>
    <w:p w14:paraId="65D8510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La autora indica que: “La inquietud de Kant en la tercera antinomia es hacer espacio a la libertad dentro de un panorama determinista del mundo. Hacerle espacio a la libertad se percibe como alentado por la preocupación de rescatar nociones familiares de responsabilidad moral y culpabilidad moral de la invasión sobre ellas de la ciencia newtoniana.” (2000; p.64)</w:t>
      </w:r>
    </w:p>
    <w:p w14:paraId="36A8EB7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En este marco que engloba lo propuesto por Kant, la libertad humana se entiende de un modo muy preciso, y de esta forma: “Lo que califica a los actos humanos como libres no es una paralela causalidad de la libertad en el tiempo y el espacio, sino el empíricamente inobservable momento espontáneo de racionalidad deliberativa expresado en la consciencia de uno mismo como enmarcador de proyectos y metas que preceden la subsecuente causalidad de acción en el espacio y el tiempo.” (2000; p.73) Y es precisamente en este sentido, que ella defiende: “El concepto de Kant de la libertad como algo semejante a la ley, en cuanto idea de la razón.” (2000; p.74)</w:t>
      </w:r>
    </w:p>
    <w:p w14:paraId="095DC71E"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El concepto de semejanza a la ley será fundamental para Flikschuh, en cuanto: “La ley, siempre indica, para Kant, validez objetiva y autoridad universal.” (2000; p.75) Ella habrá de proponer las leyes de la libertad como unas que toman de un modelo a las ciencias. En este </w:t>
      </w:r>
      <w:r w:rsidRPr="009666E0">
        <w:rPr>
          <w:rFonts w:ascii="Times New Roman" w:hAnsi="Times New Roman"/>
          <w:sz w:val="24"/>
          <w:szCs w:val="24"/>
        </w:rPr>
        <w:lastRenderedPageBreak/>
        <w:t>horizonte, ella afirma que: “Tal como las leyes de la causalidad gobiernan nuestro ordenamiento sistemático de los eventos en la naturaleza, así las leyes de la razón, en su capacidad práctica, regulan las acciones libremente determinadas de los agentes humanos.” (2000; p.75)</w:t>
      </w:r>
    </w:p>
    <w:p w14:paraId="6DAC74AE"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Flikschuh señala la importancia del concepto de finitud humana para reconciliar a las leyes naturales y a la libertad. Ella refiere que: “Kant propone un cambio, de un centro de la metafísica especulativa hacia una metafísica práctica de la libertad. (…) La solución práctica de Kant, sin embargo, se mantiene como una concepción metafísica de la libertad. Para considerar esto, considérese la forma en que la noción humana de finitud media entre la causalidad y la idea de libertad. (2000; p.76) En esta línea, ella refiere que: “La no disponibilidad de conocimiento último o certeza absoluta crea un espacio para la idea de libertad en su capacidad práctica. La tesis de Kant de la primacía de la razón práctica constituye una respuesta constructiva al reconocimiento de los límites del entendimiento humano.” (2000; p.77)</w:t>
      </w:r>
    </w:p>
    <w:p w14:paraId="0C052C8D"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Tomando distancia del debate sobre el determinismo, Flikschuh precisa que: “Esto no equivale a decir que libertad y naturaleza se oponen. (…) El objetivo de la tercera antinomia no es yuxtaponer libertad y naturaleza, o ponerlas una en contra de la otra, sino reconciliarlas.” (2000; p.77)</w:t>
      </w:r>
    </w:p>
    <w:p w14:paraId="3D8AE21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 necesaria reconciliación supone pensar en la naturaleza de los registros en que ambas instancias de lo humano se desenvuelven. Mientras el mundo sensible encuentra leyes naturales, el mundo inteligible toma el modelo de principios semejantes-a-la-ley para guiarse. Ella puntualiza que: “Es la noción de ´semejante-a-la-ley´ lo que distingue libertad y naturaleza. (…) En la </w:t>
      </w:r>
      <w:r w:rsidRPr="009666E0">
        <w:rPr>
          <w:rFonts w:ascii="Times New Roman" w:hAnsi="Times New Roman"/>
          <w:i/>
          <w:iCs/>
          <w:sz w:val="24"/>
          <w:szCs w:val="24"/>
        </w:rPr>
        <w:t>Fundamentación</w:t>
      </w:r>
      <w:r w:rsidRPr="009666E0">
        <w:rPr>
          <w:rFonts w:ascii="Times New Roman" w:hAnsi="Times New Roman"/>
          <w:sz w:val="24"/>
          <w:szCs w:val="24"/>
        </w:rPr>
        <w:t>, Kant se refiere a las leyes naturales como un tipo o modelo para las leyes o principios de la razón pura práctica.” (2000; p.77)</w:t>
      </w:r>
    </w:p>
    <w:p w14:paraId="141016B3"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Flikschuh realizará un paralelo entre el ámbito natural y el de la libertad, en donde las leyes, o algo semejante a ellas, parecen cumplir el papel de hacernos inteligibles los fenómenos de cada ámbito, el natural y el moral. Ella señala que: “Para ser inteligible, la deliberación acerca de la acción debe seguir ciertas reglas o principios. Acá la causalidad de la naturaleza provee un modelo o tipo de la causalidad de la razón. Tal y como la ocurrencia de eventos particulares naturales podrían parecer ininteligibles en la ausencia de leyes causales que permiten que la ocurrencia sea explicable, así también, las acciones de los individuos se verían como ininteligibles con la ausencia de razones para las acciones que pueden ser proferidas en justificación de tales acciones y lo que les deja como inteligibles </w:t>
      </w:r>
      <w:r w:rsidRPr="009666E0">
        <w:rPr>
          <w:rFonts w:ascii="Times New Roman" w:hAnsi="Times New Roman"/>
          <w:sz w:val="24"/>
          <w:szCs w:val="24"/>
        </w:rPr>
        <w:lastRenderedPageBreak/>
        <w:t>para nosotros y otros.” (2000; p.78) Esto relaciona los actos de la libertad exterior con las máximas o principios que gobiernan los actos razonados, y, por lo tanto, libres.</w:t>
      </w:r>
    </w:p>
    <w:p w14:paraId="4843870D"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 diferencia entre las leyes naturales y las leyes morales de la libertad también reside en el carácter de su certeza o solidez. En las leyes naturales solemos encontrar el arquetipo de axiomas universales o generales, pero en el caso de la libertad, las leyes que son apenas aspirantes a esa exactitud, tienen como su origen el reconocimiento de la limitación humana para la experimentación y el entendimiento. En este sentido, Flikschuh apunta que: “El reconocimiento de las constricciones de la naturaleza debe formar parte integral de la deliberación de los agentes acerca de sus actos.” (2000; p.78) Y luego agrega que: “El conocer las constricciones de la naturaleza en relación a los actos propios es simplemente tomar esas limitaciones en cuenta en las deliberaciones prácticas de uno mismo.” (2000; p.79) Es por esta razón que la autora señalaba el papel de los límites humanos del entendimiento a la hora de reconciliar a las leyes naturales con la libertad. Este elemento de limitación humana que se busca reconciliar, se convierte en la base de su consideración de la libertad, en lugar de tener un fundamento dogmático. </w:t>
      </w:r>
    </w:p>
    <w:p w14:paraId="61A0D623"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Para concluir este segundo capítulo, sobre la metafísica de la libertad en cuanto una idea compartida de la razón, ella asienta su concepto de algo semejante-a-la-ley. Flikschuh señala que: “Estos dos aspectos: la semejanza-a-la-ley de la libertad práctica y la capacidad humana de enmarcar un concepto de un posible futuro gobernado por leyes que es conocedor de sus constricciones naturales en la agencia humana, sin encontrarse determinados por los mismos, son cruciales para la concepción de Kant sobre libertad política en la doctrina del derecho. (2000; p.79) En términos de S. Körner, Flikschuh había referido que estos elementos representan el marco categorial que fundamenta el pensamiento político de Kant. </w:t>
      </w:r>
    </w:p>
    <w:p w14:paraId="7243E370"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 autora adelantará la importancia del carácter intrínsecamente cosmopolita de su propuesta filosófico-política. Flikschuh, así, indica que: “Más generalmente, la idea de libertad como una idea compartida de la razón y la tarea de la humanidad en amplio sentido, es crucial para el concepto cosmopolita del derecho, o de justicia política en Kant, en donde la libertad de ninguno se encuentra plenamente alcanzada hasta que la libertad de todos haya sido asegurada a nivel global.” (2000; p.79) </w:t>
      </w:r>
    </w:p>
    <w:p w14:paraId="3179410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Ella concluye el capítulo refiriendo que: “Es en parte por estas diferentes implicaciones, al nivel de la práctica política, sobre una concepción metafísica de la libertad en Kant, en cuanto una idea compartida de la razón, que uno debería cuidarse de la asimilación bajo el modelo de corte más individualista de la convencional teoría liberal.” (2000; p.79) Esto </w:t>
      </w:r>
      <w:r w:rsidRPr="009666E0">
        <w:rPr>
          <w:rFonts w:ascii="Times New Roman" w:hAnsi="Times New Roman"/>
          <w:sz w:val="24"/>
          <w:szCs w:val="24"/>
        </w:rPr>
        <w:lastRenderedPageBreak/>
        <w:t xml:space="preserve">permite considerar un tipo de libertad que no es meramente interior o personal, sino en una libertad que fuera compartida, de influencia recíproca y que establece mutuas relaciones. Esta relación es igual de necesaria para el aspecto doméstico de las relaciones internas entre los componentes de un pueblo y su administración, así como en el ámbito regional y mundial, en el contacto internacional. Cabe mencionar que la libertad política referida, que se modela de acuerdo a una idea semejante-a-la-ley, es la libertad externa o jurídica. </w:t>
      </w:r>
    </w:p>
    <w:p w14:paraId="13BFFDB7"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El tercer capítulo del libro de Flikschuh se titula: “La moralidad de la libertad externa” y contiene dos elementos relacionados que habremos de tener en cuenta. En primer lugar, ella ubicará lo que interpreta como el corazón de la doctrina del derecho hacia el final del capítulo, en virtud de la necesidad de entrar en relaciones de garantías con otros. En segundo lugar, podemos atender a su desarrollo e interpretación de la idea de libertad externa, de acuerdo a cómo se irá perfilando hacia el concepto de obligación política mutua. </w:t>
      </w:r>
    </w:p>
    <w:p w14:paraId="4774FEFE"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Estos dos temas centrales del capítulo convergen en virtud del reconocimiento de los intereses de los agentes, que, como un ejemplo posible, puede seguirse de sus intereses económicos y de propiedad. Esto conlleva a la necesidad de ingresar en relaciones civiles que ofrezcan garantías para todos, y, por lo tanto, conduce a la noción de un contrato originario. El ejemplo de los intereses económicos no agota las dimensiones del asunto, ya que, en general, Flikschuh apunta a establecer la necesidad de la institucionalización civico-jurídica en general, de los alcances de la libertad externa. Es por ello que los temas de la propiedad y el derecho privado articulan la idea de una obligación política recíproca con el fundamento de un contrato civil originario que plasme la voluntad unificada de cualquier población. </w:t>
      </w:r>
    </w:p>
    <w:p w14:paraId="6E6721E0"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Ella recapitula su argumentación, refiriendo que: “El capítulo anterior enfatizó lo semejante-a-la-ley de la metafísica kantiana de la libertad como una idea de la razón pura práctica, enfocándose en dos aspectos de esta semejanza ante la ley. El primero se refiere a la analogía entre las leyes de causalidad de una mano y las leyes de la libertad de otra y en un sentido más extendido, la relación entre la finitud humana y la idea de libertad, como está indicado en el cambio de una perspectiva cosmológica a una antropocéntrica. En la tercera antinomia la idea de libertad práctica se erige en conexión con el reconocimiento de los seres humanos de sus limitados acercamientos al conocimiento.” (2000; p.80)</w:t>
      </w:r>
    </w:p>
    <w:p w14:paraId="058B72C8"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Flikschuh a continuación indica la distinción entre libertad trascendental y libertad práctica que se encuentra en Kant. La libertad trascendental supone esa autonomía e independencia de la voluntad de las restricciones sensibles naturales, que no puede ser demostrada empíricamente, en cuanto proviene de la razón práctica y representa un postulado </w:t>
      </w:r>
      <w:r w:rsidRPr="009666E0">
        <w:rPr>
          <w:rFonts w:ascii="Times New Roman" w:hAnsi="Times New Roman"/>
          <w:sz w:val="24"/>
          <w:szCs w:val="24"/>
        </w:rPr>
        <w:lastRenderedPageBreak/>
        <w:t>necesario normativo. La libertad práctica, por otro lado, supone la capacidad de la voluntad para determinarse de acuerdo a la ley moral. Esta sería una libertad efectiva, que presupone como fundamento a la libertad trascendental. Por ello, para Flikschuh, la libertad trascendental es una condición de posibilidad para el despliegue de la libertad práctica. Ella señala que: “La pregunta por la libertad puede ser respondida solamente desde una perspectiva práctica, no desde una perspectiva especulativa, trascendente: la razón práctica pura debe darse a sí misma un orden de ideas de sí misma. (…) No se sigue que Kant ofrezca una concepción de libertad exclusivamente inmanente. En varios modos, la característica más interesante de su postura es la contención de que la perspectiva inmanente de la libertad práctica presupone una perspectiva trascendente, aunque sea como una idea negativa. Como hemos visto, Kant no solo distingue entre la libertad trascendental y la libertad práctica, también insiste en que la inteligibilidad de la razón práctica depende de la posibilidad de la libertad trascendental. Aunque nosotros no podemos conocer qué cosa es la voluntad en independencia de la causalidad de la naturaleza, debemos asumir la posibilidad de tal independencia por propósitos prácticos.” (2000; p.81)</w:t>
      </w:r>
    </w:p>
    <w:p w14:paraId="51BF256B"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 necesidad de una libertad trascendental como presupuesto para una libertad práctica es importante, debido a que refuerza la idea de un arbitrio que se norma por principios o máximas, y es consciente de sus límites. Flikschuh, en este sentido, señala que: “Mi afirmación es que, desde que la libertad práctica presupone la idea trascendental de libertad, una voluntad libre no puede ser arbitraria o una voluntad sin leyes. (2000; p.81) Esto equivale a pensar en la libertad como un despliegue de las facultades racionales de modo intersubjetivo, y en este sentido, en cuanto una idea compartida de la razón, la libertad tiene una dimensión exterior, cuya inteligibilidad se permite en virtud de las máximas y razones que los agentes se formulan como algo semejante-a-la-ley para sí mismos y para otros. En cuanto la voluntad se dirige por máximas semejantes a las leyes naturales, es que se entiende su autonomía, y, por lo tanto, su libertad.  </w:t>
      </w:r>
    </w:p>
    <w:p w14:paraId="2D0B4DA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El tercer capítulo del libro, de acuerdo a Flikschuh, se centra en el: “aspecto de la libertad como algo semejante-a-la-ley. Este es el tratamiento de Kant sobre la libertad en cuanto a una idea compartida de la razón. Como se ha mencionado antes, para Kant, la ley siempre implica una validez universal y una autoridad general.” (2000; p.82) </w:t>
      </w:r>
    </w:p>
    <w:p w14:paraId="25AE694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Al ser la razón un elemento legislativo, y el ser humano poseerla, se espera de los seres racionales que puedan darse a sí mismos leyes. Flikschuh señala que: “La libertad negativa trascendental define la independencia de la voluntad de un sujeto de la determinación causal. </w:t>
      </w:r>
      <w:r w:rsidRPr="009666E0">
        <w:rPr>
          <w:rFonts w:ascii="Times New Roman" w:hAnsi="Times New Roman"/>
          <w:sz w:val="24"/>
          <w:szCs w:val="24"/>
        </w:rPr>
        <w:lastRenderedPageBreak/>
        <w:t>La libertad positiva práctica se refiere a la capacidad de la voluntad para determinarse a sí misma de acuerdo a principios de la razón pura práctica. La libertad positiva presupone a la libertad negativa, en el sentido en que solamente un ser que se asuma que tenga la capacidad de tener una voluntad independiente de la causalidad de la naturaleza, puede asumirse que tenga la consecuente capacidad para auto-legislarse de acuerdo a las leyes de la libertad.” (2000; p.86)</w:t>
      </w:r>
    </w:p>
    <w:p w14:paraId="2F0923A1"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El eje de la libertad, en esta lectura, es distinto al que la metafísica dogmática tradicional ha frecuentemente utilizado para abordar la controversia del determinismo. Si bien la libertad es personal, las razones que guían esa libertad, y las máximas que articulan su justificación, pertenecen a un ámbito compartido e interdependiente. De esta forma, Flikschuh descarta que la lectura kantiana de los liberales acierte al englobar un concepto de libertad personal de corte individualista, cuando el núcleo de la propuesta de Kant sobre la libertad, en cuanto concepto metafísico, supone más bien, el punto de encuentro compartido y de mutua influencia entre las personas. Este alcance permite que, lejos de entender la libertad como algo exclusivamente individual, en realidad, es un fundamento para pensar el encuentro a un nivel mucho más extenso, como lo es el hecho de constatar un mundo limitado y compartido. En este mismo horizonte, la autora plantea que: “La subsunción de la libertad política de Kant bajo el liberalismo clásico desde una perspectiva individualista le quita mucho de lo que es distintivo acerca de su filosofía política, especialmente en lo que tiene que ver con el cosmopolitanismo.” (2000; p.83)</w:t>
      </w:r>
    </w:p>
    <w:p w14:paraId="0CA8ADB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Sobre esta última idea, Flikschuh aclara respecto de la tercera parte de su libro que: “El principal objetivo de este capítulo es argumentar en contra de esta perspectiva, de acuerdo con la cual, la concepción de libertad política de Kant, cae fuera de los límites de su propia perspectiva general de agencia moral.” (2000; p.83) En esto radica la moralidad de la libertad externa que Flikschuh anunciaba en el título del tercer capítulo.</w:t>
      </w:r>
    </w:p>
    <w:p w14:paraId="3E1DBB6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En este sentido, cabe considerar la relación que se establece entre la libertad interna y la libertad externa. Si bien la libertad interna es moral, y la externa jurídica, para Kant, ambas representan esferas complementarias de la semejanza-a-la-legalidad de la moralidad. Flikschuh señala que el campo de la libertad externa es la ley y la política, mientras que el lugar de la libertad interna es la ética. Ella indica que: “La ley (política) y la ética, designadas por Kant como las esferas de la libertad externa y la libertad interna respectivamente, forman dos distintas, pero iguales ramas de la moralidad. Eso significa que la noción de semejanza-</w:t>
      </w:r>
      <w:r w:rsidRPr="009666E0">
        <w:rPr>
          <w:rFonts w:ascii="Times New Roman" w:hAnsi="Times New Roman"/>
          <w:sz w:val="24"/>
          <w:szCs w:val="24"/>
        </w:rPr>
        <w:lastRenderedPageBreak/>
        <w:t xml:space="preserve">con-la-ley es indispensable para una concepción kantiana de libertad externa, así como lo es para su perspectiva de la libertad interna.” (2000; p.83) </w:t>
      </w:r>
    </w:p>
    <w:p w14:paraId="15AAF11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Kant, cuando desarrolla la relación entre las facultades del alma y las leyes de la libertad interna, introduce un concepto que será igual de importante para la libertad externa. Se trata del papel que cumple el deseo en las resoluciones del arbitrio. Flikschuh indica sobre este punto que: “En la doctrina del derecho, Kant explícitamente reconoce el role legítimo de los deseos de los individuos en relación con la libertad externa. Y lo hace por una buena razón. El concepto de libertad externa juega un rol central en la justificación de Kant de los derechos individuales de propiedad y en su deducción de las obligaciones de justicia en que incurren los individuos como una consecuencia de sus reclamos a la propiedad. Los reclamos a la propiedad se refieren a los deseos individuales por objetos materiales de su elección.” (2000; p.84) De esta forma, Flikschuh asocia la libertad externa a la propiedad privada, por medio de las obligaciones que se auto imponen los individuos unos a otros, en la lógica de un contrato originario de una sociedad civil. Desde que nos conviene a todos tener las garantías implícitas en la propiedad privada, se puede decir que la idea de contrato originario responde a esta exigencia de la libertad externa de las personas, como una idea compartida de la razón.</w:t>
      </w:r>
    </w:p>
    <w:p w14:paraId="59EF4882"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 interpretación de Flikschuh supone la relación entre el deseo y el uso de la razón, en la concreción de los actos libres. De esta forma, ella señala que: “Yo le atribuyo a Kant la perspectiva de que, solamente en cuanto tienen la capacidad de razonar, es que los seres racionales finitos tienen capacidad para formar deseos. En lo que respecta a la capacidad para desear, se presupone la habilidad de un ser para razonar, los deseos de una criatura racional son susceptibles a las constricciones de la razón en general. Son, por lo tanto, también susceptibles, al menos por implicación, a las constricciones de la razón pura práctica, por ejemplo, a las leyes de la libertad.” (2000; p.84) </w:t>
      </w:r>
    </w:p>
    <w:p w14:paraId="4BBD7E90"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Flikschuh agrega, en esta interpretación suya, a la relación de los conceptos de libertad y razón, el elemento del deseo. Para Kant, las elecciones razonadas son libres; para Flikschuh la formulación de deseos presupone a la razón en su facultad para producir representaciones. En este sentido, la consecución de actos impulsados por la formulación racional de los deseos, queda enmarcada por las leyes de la libertad. La autora defiende una interpretación de la libertad externa que albergue dos motivos complementarios. Ella indica que: “Es posible una concepción de la libertad externa que soporte ambas, el deseo legítimo de los individuos por objetos materiales de su elección, y que considere la formación y persecución de tales deseos como sujetos a las constricciones de las leyes de la libertad.” (2000; p.85) </w:t>
      </w:r>
    </w:p>
    <w:p w14:paraId="3FAD4443"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lastRenderedPageBreak/>
        <w:t xml:space="preserve">La libertad externa, en el enfoque de Flikschuh, asimismo, se asocia a una consideración sobre el modo en que se entiende la libertad antes y después de una sociedad civil. En la tradición del contractualismo, tanto en Hobbes, como Locke y Kant, en el estado natural existe una libertad sin marco legal. Con el aparecimiento de la sociedad civil, la libertad tiene un despliegue distinto al natural. </w:t>
      </w:r>
    </w:p>
    <w:p w14:paraId="75209208"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Se podría decir que, en el caso de Hobbes, la libertad como derecho legítimo existe sólo con la instauración de un Leviathan. Esto contrasta con la perspectiva de Locke, para quien la libertad se posee como un derecho previo a la condición civil, de forma que es el estado el encargado de proteger este derecho innato. Esta misma postura es la que comparte Kant, para quien solo existe un derecho innato y fundamental en la humanidad, el de la libertad. Así, Flikschuh señala que: “La novedosa concepción de libertad externa se deriva de las referencias de Kant de un derecho innato a la libertad de cada uno. En la introducción de la doctrina del derecho, el derecho innato a la libertad que cada individuo posee meramente en virtud de su humanidad comprende la igualdad innata de los sujetos, su independencia de la voluntad arbitraria de otro y su derecho a la interacción libre con otros, bajo igualdad de condiciones.” (2000; p.88)</w:t>
      </w:r>
    </w:p>
    <w:p w14:paraId="7D8F38F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La autora hace la precisión de la relación que tiene la idea de una libertad externa con el concepto y principio general del derecho, que pone los límites de toda libertad, en la libertad de los otros. Así, ella señala que: “Esta definición preliminar de la libertad externa como afirmando los derechos individuales de libertad de elección y acción, se encuentra substanciada en la subsecuente definición de Kant del concepto del derecho, que regula la forma de las relaciones externas entre agentes, en virtud de sus elecciones.” (2000; p.88) Debemos tener en cuenta que, para Kant, desde la doctrina del derecho, la idea de un derecho como ciencia supone el marco normativo para todas las relaciones externas y prácticas de las personas unas con otras, en el contexto en que sus actos y elecciones tienen efectos de influencia mutua. En este sentido, cabe recordar que, para Kant, es justa toda acción que permita la coexistencia de todas las libertades, de acuerdo a una ley universal. En palabras de Flikschuh: “Todo lo que requiere el principio universal del derecho es que la ejecución en acto de la máxima de un agente no violente las condiciones externas de las elecciones de otro.” (2000; p.89)</w:t>
      </w:r>
    </w:p>
    <w:p w14:paraId="7A8A13F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Es de suma importancia considerar en dónde yace la soberanía y solidez de la ley, en su sentido interno, y externo. Ambas pueden ser pensadas autónomamente por cualquiera, pero las leyes externas pueden hacerse cumplir por la fuerza legal. Esto no equivale a decir que </w:t>
      </w:r>
      <w:r w:rsidRPr="009666E0">
        <w:rPr>
          <w:rFonts w:ascii="Times New Roman" w:hAnsi="Times New Roman"/>
          <w:sz w:val="24"/>
          <w:szCs w:val="24"/>
        </w:rPr>
        <w:lastRenderedPageBreak/>
        <w:t xml:space="preserve">cualquiera puede convertir sus deseos de interés personal en una ley universal, sino que precisamente, el carácter y autoridad de una ley, proviene de su validez incondicionada e impersonal, en lugar de estar especificada contingentemente. En este sentido, Flikschuh refiere que: “Kant distingue entre ley y ética en términos de sus respectivas esferas de competencia moral. Desde que todas las leyes de la libertad son leyes de auto-legislación moral, las leyes jurídicas pueden ser auto-legisladas, aunque en contraste con las leyes éticas, estas también pueden hacerse cumplir externamente. Por ello, el campo normativo de las leyes jurídicas de la libertad yace en la capacidad para auto-legistación de los sujetos, no en una apelación a sus propios intereses prudenciales.” (2000; p.91) Por esto último, es que se puede considerar que la ley exterior no responde al deseo privado de nadie, sino que se establece en la línea de la autonomía de la razón compartida. </w:t>
      </w:r>
    </w:p>
    <w:p w14:paraId="1E2C73F3"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De acuerdo con esta postura, según Flikschuh, se encuentra C. Koorsgard. Según nuestra autora: “Koorsgard, rechaza lecturas de la doctrina del derecho que hacen que el propio interés sea central a la justificación normativa del principio universal del derecho.” (2000; p.95) El corazón de la doctrina del derecho, tiene en realidad, un interés público y general de acuerdo al marco de la razón compartida. </w:t>
      </w:r>
    </w:p>
    <w:p w14:paraId="2A68F1F1"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Mientras la idea de libertad exterior se despliega hacia los sentidos de una libertad jurídica, civil y política, mediante los respectivos conceptos del principio general del derecho, la co-legislación y el consentimiento ante la ley, Flikschuh se centra en el punto en que se relaciona la formación de deseos con la libertad, para poder tener en mente el papel que tienen los intereses económicos en esta relación indicada. Ella nos dice lo siguiente: “Voy a restringir mis observaciones a la concepción de los deseos y formación de los deseos de Kant en cuanto pertenecen a la perspectiva de la libertad externa. Por lo tanto, habré de ocuparme solo con la función económica del deseo y voy a dejar a un lado su rol en la ética. Mi preocupación principal es argumentar que al menos en la doctrina del derecho, las observaciones de Kant sobre la capacidad de los sujetos para desear apuntan hacia una concepción de las elecciones basadas en los deseos que es capaz de alcanzar los requerimientos de una voluntad y elección autónoma.” (2000; p.99) Lo que surge como efecto, de acuerdo a esta lectura que centra el énfasis en los intereses económicos de la libertad, es el panorama de una necesidad de un horizonte civil que admita, garantice y proteja la propiedad privada perentoria. Para la autora, este es el núcleo principal de la doctrina del derecho. Desde que es necesario regular institucionalmente a la libertad externa, con la instauración de un estado civil, luego de la libertad externa se desprende una conminación recíproca para atender a lo que se convierte en una obligación política mutua. </w:t>
      </w:r>
    </w:p>
    <w:p w14:paraId="17167B07"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lastRenderedPageBreak/>
        <w:t>Finalmente, la autora concluye este tercer capítulo de su libro del siguiente modo: “El objetivo de este capítulo ha sido esbozar una posible interpretación de la libertad externa como basada en elecciones y actos autónomos sin reducirlo al concepto de la libertad interna de Kant. Este objetivo fue motivado por la necesidad de reconocer el distintivo y legítimo rol de los deseos económicos en relación a la agencia política mientras se resiste la conclusión de que la agencia política debe, por lo tanto, basarse en el propio interés prudencial”. (2000; p.110) Flikschuh agrega que: “Desde que el deseo económico es inevitablemente orientado a objetos, entonces es imposible para los agentes abstraer las consideraciones materiales en sus elecciones y acciones económicas.” (2000; p.111) Luego, finaliza diciendo que: “Esto nos lleva al corazón de la doctrina del derecho, es decir, a la justificación de Kant de los derechos a la propiedad individual y de su resultante obligación de justicia de los unos con los otros.” (2000; p.112) En este sentido, para Flikschuh, la libertad externa entendida como una obligación política mutua representa el centro de la doctrina del derecho y da pie a los contenidos del derecho público que han sido dejados de lado, pero que parten del derecho privado, en reconocimiento al derecho innato de la humanidad, es decir, en nombre de su libertad, lo que se extiende hacia su independencia e igualdad.</w:t>
      </w:r>
    </w:p>
    <w:p w14:paraId="547A722A"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 libertad externa, por lo revisado, se inscribe en el marco de la metafísica de la libertad como una idea compartida de la razón y tiene un carácter semejante-a-la-ley. Desde que se encuentra regulada por las leyes de la libertad y la razón en general, presupone la facultad para auto-legislar del agente en la formulación de deseos. Considerando que la libertad externa es un ejercicio práctico, no puede desentenderse de intereses prácticos tales como los económicos, y por ello, la aspiración a una propiedad que sea perentoria y amparada por la ley, exige de todos, una obligación política mutua que queda materializada en el contrato originario de cualquier sociedad civil. La tesis de Flikschuh asocia la libertad externa a esta obligación recíproca de carácter político, fundándose en los intereses legítimos de los individuos para desarrollar un tipo de libertad compartida que encuentra un límite personal en la libertad exterior ajena. </w:t>
      </w:r>
    </w:p>
    <w:p w14:paraId="787A9F0E"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Flikschuh se habrá de preguntar retrospectivamente cómo se implanta un horizonte civil, ya que, si son la ley y la propiedad privada lo que se busca establecer, se presupone que no se puede valer de estos medios y nociones para instaurarse, pues, en la idea de un estado natural, estos conceptos no se encuentran presentes. Por ello, la ley, al menos en un principio, y por única vez, debe ser instaurado por un tipo de fuerza. Esto permite a la autora desarrollar la idea kantiana de una ley permisiva (</w:t>
      </w:r>
      <w:r w:rsidRPr="009666E0">
        <w:rPr>
          <w:rFonts w:ascii="Times New Roman" w:hAnsi="Times New Roman"/>
          <w:i/>
          <w:iCs/>
          <w:sz w:val="24"/>
          <w:szCs w:val="24"/>
        </w:rPr>
        <w:t>lex permissiva</w:t>
      </w:r>
      <w:r w:rsidRPr="009666E0">
        <w:rPr>
          <w:rFonts w:ascii="Times New Roman" w:hAnsi="Times New Roman"/>
          <w:sz w:val="24"/>
          <w:szCs w:val="24"/>
        </w:rPr>
        <w:t xml:space="preserve">) a la hora de pensar en el problema de la propiedad en el transcurso de un orden natural a uno legal. </w:t>
      </w:r>
    </w:p>
    <w:p w14:paraId="1334C836"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lastRenderedPageBreak/>
        <w:t xml:space="preserve">La noción de obligación política mutua supone, para la autora que: “mis obligaciones de justicia hacia ti se siguen como un corolario directo de mi ejercicio de la libertad de elección y acción.” (2000; p.142) Y luego agrega que: “Este reconocimiento de los agentes sobre los deberes de justicia imponen restricciones en sus reclamos de la libertad, lo que hace posible la construcción práctica del concepto del derecho en la forma de una sociedad civil.” (2000; p.143) De esta manera, la idea de obligación política recíproca se deriva del concepto de la libertad jurídica, de acuerdo al principio universal del derecho y a la apelación al único derecho innato que poseemos: la libertad. </w:t>
      </w:r>
    </w:p>
    <w:p w14:paraId="6AF17749"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Estos elementos, desarrollados en este capítulo, por igual, quedan subsumidos por una lectura general del pensamiento político de Kant, que se orienta al estado de relaciones internacionales de acuerdo al derecho cosmopolita. Como se ha mencionado antes, la naturaleza cosmopolita del pensamiento político de Kant no es una parte final ni una conclusión, sino que forma parte del mismo desde su concepción. En este sentido, la idea de libertad externa y su implícita demanda de obligaciones recíprocas tienen un carácter universal, en el sentido normativo de las ideas prácticas de la razón.  </w:t>
      </w:r>
    </w:p>
    <w:p w14:paraId="4C7A2A26"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Este capítulo ha buscado esbozar las tesis principales del libro de Flikschuh en su lectura de la doctrina del derecho. En primer lugar, se ha señalado la importancia de la metafísica para las discusiones de reflexión política. En segundo lugar, se ha establecido tanto la relevancia de los intereses económicos y de propiedad legítima en la libertad externa, así como el alcance cosmopolita de toda la propuesta del pensamiento filosófico y político de Kant. Esto conlleva a la idea de propiedad como un medio ejemplificador para enfatizar la necesidad de instaurar institucionalidad en el ejercicio de la libertad externa en el marco de la construcción de un estado civil basado en el derecho y principios básicos como la libertad, la igualdad y la independencia. Por todo lo dicho, se puede concluir que el análisis de Flikschuh asocia la libertad externa con el concepto de una obligación política mutua, tal y cómo se ha desarrollado a lo largo de este apartado.</w:t>
      </w:r>
    </w:p>
    <w:p w14:paraId="05AFCCC0" w14:textId="77777777" w:rsidR="00670045" w:rsidRPr="009666E0" w:rsidRDefault="00670045" w:rsidP="00670045">
      <w:pPr>
        <w:spacing w:line="360" w:lineRule="auto"/>
        <w:rPr>
          <w:rFonts w:ascii="Times New Roman" w:hAnsi="Times New Roman"/>
          <w:sz w:val="24"/>
          <w:szCs w:val="24"/>
        </w:rPr>
      </w:pPr>
    </w:p>
    <w:p w14:paraId="444E862A"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br w:type="page"/>
      </w:r>
    </w:p>
    <w:p w14:paraId="137DDDBD" w14:textId="77777777" w:rsidR="00670045" w:rsidRPr="00670045" w:rsidRDefault="00670045" w:rsidP="00670045">
      <w:pPr>
        <w:spacing w:line="360" w:lineRule="auto"/>
        <w:jc w:val="center"/>
        <w:rPr>
          <w:rFonts w:ascii="Times New Roman" w:hAnsi="Times New Roman"/>
          <w:b/>
          <w:bCs/>
          <w:sz w:val="24"/>
          <w:szCs w:val="24"/>
          <w:u w:val="single"/>
        </w:rPr>
      </w:pPr>
      <w:r w:rsidRPr="00670045">
        <w:rPr>
          <w:rFonts w:ascii="Times New Roman" w:hAnsi="Times New Roman"/>
          <w:b/>
          <w:bCs/>
          <w:sz w:val="24"/>
          <w:szCs w:val="24"/>
          <w:u w:val="single"/>
        </w:rPr>
        <w:lastRenderedPageBreak/>
        <w:t>Capítulo 3: La doctrina del derecho y la libertad externa desde A. Ripstein</w:t>
      </w:r>
    </w:p>
    <w:p w14:paraId="5EB06563" w14:textId="77777777" w:rsidR="00670045" w:rsidRPr="009666E0" w:rsidRDefault="00670045" w:rsidP="00670045">
      <w:pPr>
        <w:spacing w:line="360" w:lineRule="auto"/>
        <w:rPr>
          <w:rFonts w:ascii="Times New Roman" w:hAnsi="Times New Roman"/>
          <w:sz w:val="24"/>
          <w:szCs w:val="24"/>
        </w:rPr>
      </w:pPr>
    </w:p>
    <w:p w14:paraId="302E7CF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Una revisión bastante completa de la doctrina del derecho de Kant se puede encontrar en el libro de Arthur Ripstein titulado </w:t>
      </w:r>
      <w:r w:rsidRPr="009666E0">
        <w:rPr>
          <w:rFonts w:ascii="Times New Roman" w:hAnsi="Times New Roman"/>
          <w:i/>
          <w:iCs/>
          <w:sz w:val="24"/>
          <w:szCs w:val="24"/>
          <w:lang w:val="es-MX"/>
        </w:rPr>
        <w:t xml:space="preserve">Force and Freedom: Kant’s legal and political philosophy </w:t>
      </w:r>
      <w:r w:rsidRPr="009666E0">
        <w:rPr>
          <w:rFonts w:ascii="Times New Roman" w:hAnsi="Times New Roman"/>
          <w:sz w:val="24"/>
          <w:szCs w:val="24"/>
          <w:lang w:val="es-MX"/>
        </w:rPr>
        <w:t>(2009), en donde se ofrece una visión sistemática y organizada de los principios y contenidos principales del pensamiento político y jurídico de Kant.</w:t>
      </w:r>
    </w:p>
    <w:p w14:paraId="027D5FE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En este capítulo revisaremos algunas dimensiones de la libertad externa (a la que Ripstein se remite como libertad equitativa o libertad igual), en virtud de estar relacionada a las ideas del (3.1) uso normativo de los principios metafísicos para el derecho, (3.2) la soberanía y el consentimiento, de (3.3) una condición innata, (3.4) de equidad y finalmente, relacionada al concepto de la (3.5) fuerza en su uso legítimo.</w:t>
      </w:r>
    </w:p>
    <w:p w14:paraId="1ED42B82"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Estas dimensiones de la libertad externa se dan a lo largo de la revisión de la doctrina del derecho de Kant e involucran distintas consideraciones complementarias. Ripstein comienza por establecer el sentido de la libertad en cuanto derecho innato, y prosigue a definir el marco del derecho privado. Luego de analizar tres defectos del estado natural, propondrá las bases de lo que corresponde al derecho público, enfocándose ulteriormente en el sentido del uso de la fuerza legítima. Ripstein también habrá de notar la implicancia de la idea de lo cosmopolita desde los fundamentos mismos de la doctrina del derecho de Kant. Para establecer un marco de la libertad externa, habremos de atender a estos puntos señalados.</w:t>
      </w:r>
    </w:p>
    <w:p w14:paraId="4C95DBDE" w14:textId="77777777" w:rsidR="00670045" w:rsidRPr="009666E0" w:rsidRDefault="00670045" w:rsidP="00670045">
      <w:pPr>
        <w:spacing w:line="360" w:lineRule="auto"/>
        <w:rPr>
          <w:rFonts w:ascii="Times New Roman" w:hAnsi="Times New Roman"/>
          <w:sz w:val="24"/>
          <w:szCs w:val="24"/>
          <w:lang w:val="es-MX"/>
        </w:rPr>
      </w:pPr>
    </w:p>
    <w:p w14:paraId="2C20A2A0" w14:textId="77777777" w:rsidR="00670045" w:rsidRPr="009666E0" w:rsidRDefault="00670045" w:rsidP="00670045">
      <w:pPr>
        <w:spacing w:line="360" w:lineRule="auto"/>
        <w:ind w:firstLine="708"/>
        <w:rPr>
          <w:rFonts w:ascii="Times New Roman" w:hAnsi="Times New Roman"/>
          <w:sz w:val="24"/>
          <w:szCs w:val="24"/>
          <w:lang w:val="es-MX"/>
        </w:rPr>
      </w:pPr>
      <w:r w:rsidRPr="009666E0">
        <w:rPr>
          <w:rFonts w:ascii="Times New Roman" w:hAnsi="Times New Roman"/>
          <w:sz w:val="24"/>
          <w:szCs w:val="24"/>
          <w:lang w:val="es-MX"/>
        </w:rPr>
        <w:t>3.1 El sentido normativo de la libertad externa</w:t>
      </w:r>
    </w:p>
    <w:p w14:paraId="7B0B98D5" w14:textId="77777777" w:rsidR="00670045" w:rsidRPr="009666E0" w:rsidRDefault="00670045" w:rsidP="00670045">
      <w:pPr>
        <w:spacing w:line="360" w:lineRule="auto"/>
        <w:rPr>
          <w:rFonts w:ascii="Times New Roman" w:hAnsi="Times New Roman"/>
          <w:sz w:val="24"/>
          <w:szCs w:val="24"/>
          <w:lang w:val="es-MX"/>
        </w:rPr>
      </w:pPr>
    </w:p>
    <w:p w14:paraId="06F312E0"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A. Ripstein subscribe la idea de K. Flikschuh y otros, cuando refieren la relevancia de la dimensión metafísica en el pensamiento político de Kant. De esta forma, se resalta la fuerza normativa que representa la idea de libertad externa. Este es un primer modo de entender la libertad externa como un principio normativo de la razón. </w:t>
      </w:r>
    </w:p>
    <w:p w14:paraId="3627D9A4"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primer capítulo, el autor presentará una idea fundamental referida al derecho kantiano como fundado en la idea normativa de la libertad externa bajo leyes universales, en donde Ripstein señala que: “La presentación de Kant de sus argumentos, sus fundamentos para rechazar puntos de partida empíricos y antropológicos en la filosofía política descansan </w:t>
      </w:r>
      <w:r w:rsidRPr="009666E0">
        <w:rPr>
          <w:rFonts w:ascii="Times New Roman" w:hAnsi="Times New Roman"/>
          <w:sz w:val="24"/>
          <w:szCs w:val="24"/>
          <w:lang w:val="es-MX"/>
        </w:rPr>
        <w:lastRenderedPageBreak/>
        <w:t xml:space="preserve">en la simple pero atractiva idea normativa que, en cuanto materia de derecho, cada persona tiene el derecho a ser su propia maestra, no en relación de gozar de una forma especial de relación consigo misma, sino en el sentido contrastante de no verse subordinado a la elección de ninguna otra persona particular.” (2009; p.4) Esta idea normativa corresponde a una dimensión de la noción de libertad externa comprendida en cuanto se trata de una libertad en que no existe interferencia externa. Esto equivale a entender la libertad como no interferencia o como no dominación. Otras dimensiones habrán de perfilar alcances complementarios en cuanto la libertad externa tiene límites efectivos en las libertades de otros.  </w:t>
      </w:r>
    </w:p>
    <w:p w14:paraId="31D5403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Ripstein plantea que la libertad se convierte en un principio rector del derecho, ya que éste se plantea normativamente como una idea de la razón práctica con la finalidad de garantizar una libertad exterior o recíproca. En este sentido, se demarca la autonomía del derecho frente a la moral, ya que lo jurídico y exterior no dependen de las virtudes internas, sino de reglas para la conducta externa y que pueden ser coercibles por el horizonte civil, de acuerdo a una voluntad unificada o integrada. </w:t>
      </w:r>
    </w:p>
    <w:p w14:paraId="5D0E784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De esta forma, el estado y su legitimidad se fundamentan por la exhortación general de salir del estado de naturaleza para poder asegurar los derechos que permitan una libertad recíproca de la que se derivan tanto la propiedad privada, como la idea de contrato y la condición civil como tal. El derecho público es necesario en tanto es garantía de esta condición social. Un estado civil, de acuerdo a esta idea, garantiza los derechos innatos sublimados en el derecho privado, público y cosmopolita mediante instituciones jurídicas que representan la materialización de principios normativos orientados por las ideas de libertad y justicia. </w:t>
      </w:r>
    </w:p>
    <w:p w14:paraId="0F29B30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esta primera parte, nos centramos en el sentido normativo de la libertad externa en cuanto concepto puro de la razón práctica, y de ahí que se deje de lado lo empírico, histórico y antropológico. En este sentido, Ripstein indica que: “El modo de argumentar de Kant refleja su actitud sobre los ejemplos. Desarrolla muchos ejemplos en el curso de su argumentación, pero rechaza la idea de que los ejemplos puedan reemplazar a los argumentos, o que la filosofía esté encargada primariamente con dar cuenta mediante ejemplos. En su lugar, enfatiza que &lt;&lt;todos los ejemplos, (que sólo ilustran, pero no pueden probar nada), son engañosos de forma que ciertamente necesitan de una metafísica.&gt;&gt; La metafísica de la que habla no es un catálogo de afirmaciones acerca de lo que es más real; es una metafísica práctica, una articulación de los límites del reclamo de cada persona para ser su propia maestra impuesta a la conducta de los otros.” (2009; p.6) De acuerdo a Ripstein, la libertad </w:t>
      </w:r>
      <w:r w:rsidRPr="009666E0">
        <w:rPr>
          <w:rFonts w:ascii="Times New Roman" w:hAnsi="Times New Roman"/>
          <w:sz w:val="24"/>
          <w:szCs w:val="24"/>
          <w:lang w:val="es-MX"/>
        </w:rPr>
        <w:lastRenderedPageBreak/>
        <w:t xml:space="preserve">externa opera como un principio normativo para establecer un tipo de libertad recíproca que se ajusta al principio universal del derecho. </w:t>
      </w:r>
    </w:p>
    <w:p w14:paraId="4DC709C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Esto equivale a tomar los principios metafísicos del derecho como una articulación de nociones generales que deben aplicarse a casos particulares, sin que exista la necesidad de detallar todas las reglas contingentes o circunstanciales de las normas para la convivencia; en su lugar, se ofrece un criterio para enjuiciar casos de acuerdo a los principios generales de la libertad y la justicia. En esta línea, Ripstein indica que: “El rechazo de Kant a la concepción instrumental de reglas legales e instituciones no le compromete con la perspectiva de los principios normativos que él desarrolla sean suficientes para resolver todos los problemas del derecho. (…) Los principios del derecho que Kant presenta son altamente abstractos, y requieren del ejercicio del juicio para aplicarle a casos particulares.” (2009; p.10)</w:t>
      </w:r>
    </w:p>
    <w:p w14:paraId="67D02F5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el apéndice final del libro, titulado “Un postulado incapaz de subsecuente prueba”, Ripstein plantea la idea central de que el derecho descansa sobre postulados y normas prácticas que se ocupan de la posibilidad de la coexistencia pacífica y civilizada de las libertades. Este postulado es incapaz de prueba material, ya que no se deriva de la experiencia ni de la historia, sino que se trata de una formulación de la razón práctica. </w:t>
      </w:r>
    </w:p>
    <w:p w14:paraId="38B571C7"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En este apéndice que cierra el libro, Ripstein señala que: “La doctrina del derecho pertenece a la Metafísica de las Costumbres. Pertenece al inicio, y los principios del derecho, incluidos el público y el privado, restringen los medios disponibles para que los agentes usen, y, por lo tanto, limiten las máximas de acuerdo a las cuales pudieran actuar. (…) Kant tiene una concepción distintiva del derecho, una que nos habilita evadir los temas reduccionistas y reactivos que siguen proyectando su sombra sobre la filosofía política. Los intentos de derivar los principios del derecho desde el imperativo categórico también fallan por sí mismos.” (2009; p.387) </w:t>
      </w:r>
    </w:p>
    <w:p w14:paraId="23DAB038"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En este sentido, en primer lugar, la idea de una libertad externa que funda el sistema de la doctrina del derecho en Kant, tiene un carácter normativo que opera directamente en las máximas que los individuos utilizan para sus actos externos a su propia moralidad, es decir, a los actos en que se encuentran en relaciones que comparten con todos los miembros de un mismo grupo. Esta primera dimensión debe complementarse con otros sentidos que enriquecen la idea de libertad externa.  </w:t>
      </w:r>
    </w:p>
    <w:p w14:paraId="17A70E6A" w14:textId="77777777" w:rsidR="00670045" w:rsidRPr="009666E0" w:rsidRDefault="00670045" w:rsidP="00670045">
      <w:pPr>
        <w:spacing w:line="360" w:lineRule="auto"/>
        <w:rPr>
          <w:rFonts w:ascii="Times New Roman" w:hAnsi="Times New Roman"/>
          <w:sz w:val="24"/>
          <w:szCs w:val="24"/>
        </w:rPr>
      </w:pPr>
    </w:p>
    <w:p w14:paraId="7EE0C994" w14:textId="77777777" w:rsidR="00670045" w:rsidRPr="009666E0" w:rsidRDefault="00670045" w:rsidP="00670045">
      <w:pPr>
        <w:spacing w:line="360" w:lineRule="auto"/>
        <w:ind w:firstLine="708"/>
        <w:rPr>
          <w:rFonts w:ascii="Times New Roman" w:hAnsi="Times New Roman"/>
          <w:sz w:val="24"/>
          <w:szCs w:val="24"/>
          <w:lang w:val="es-MX"/>
        </w:rPr>
      </w:pPr>
      <w:r w:rsidRPr="009666E0">
        <w:rPr>
          <w:rFonts w:ascii="Times New Roman" w:hAnsi="Times New Roman"/>
          <w:sz w:val="24"/>
          <w:szCs w:val="24"/>
          <w:lang w:val="es-MX"/>
        </w:rPr>
        <w:t>3.2 Libertad externa como soberanía y consentimiento</w:t>
      </w:r>
    </w:p>
    <w:p w14:paraId="10A22123" w14:textId="77777777" w:rsidR="00670045" w:rsidRPr="009666E0" w:rsidRDefault="00670045" w:rsidP="00670045">
      <w:pPr>
        <w:spacing w:line="360" w:lineRule="auto"/>
        <w:ind w:firstLine="708"/>
        <w:rPr>
          <w:rFonts w:ascii="Times New Roman" w:hAnsi="Times New Roman"/>
          <w:sz w:val="24"/>
          <w:szCs w:val="24"/>
          <w:lang w:val="es-MX"/>
        </w:rPr>
      </w:pPr>
    </w:p>
    <w:p w14:paraId="36DE049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Se puede interpretar, en un segundo sentido, la idea de libertad externa en cuanto soberanía. Ripstein habrá de hacer constante énfasis en la idea del derecho como un sistema de principios que posibilita pensar en la persona como señor, o dueño, de sí mismo sin la interferencia de otros. </w:t>
      </w:r>
    </w:p>
    <w:p w14:paraId="7E64177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La idea de soberanía es fundamental en cuanto articula la libertad interior (en cuanto autonomía) a la libertad exterior (de relaciones interpersonales) y así fundamenta tanto el marco del derecho, como de la política. Ripstein señala que: “Este punto de partida es explícito en Kant, y además anima muchas de las preguntas familiares de la filosofía política. La naturaleza y justificación de la autoridad, la autorización para ejercer coerción, la significancia del desacuerdo, la obediencia política, la democracia y el estado de derecho, todos ellos, presumiblemente adquieren su propio interés en contraste con alguna versión de la asunción de que cada persona tiene derecho a ser su propio señor.” (2009; p.4)</w:t>
      </w:r>
    </w:p>
    <w:p w14:paraId="60E5D41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Esta perspectiva es recurrente a lo largo del libro de Ripstein, y aunque apunta a indicar la naturaleza de la libertad como no interferencia de otros, se extiende hacia el final hacia el uso legítimo de la fuerza, en un sentido de restricciones jurídicas y civiles, (ante las cuales los individuos modelan las máximas de sus acciones exteriores) que permitan precisamente que cada uno cuente con una libertad externa. De esta forma, el autor refiere que: “La explicación completa de Kant sobre lo que es para cada persona ser su propia maestra, en lugar de ser el sirviente de otro, es lo que habrá de ocupar la mayor parte de este libro.” (2009; p.5)</w:t>
      </w:r>
    </w:p>
    <w:p w14:paraId="6C05C99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La libertad externa es un pilar del sistema de principios del derecho y se fundamenta, en primer lugar, bajo la idea de libertad como un derecho innato, que la condición civil busca preservar y asegurar. A ello se suma la idea de libertad interior, articulada bajo el concepto de autonomía. De esto, resulta un tipo de libertad que tiene límite en la libertad de otros, pero que busca enfatizar la fundamental característica de soberanía para cada uno. Ripstein, en este horizonte, indica que: “Tu derecho para ser tu propio maestro trae consigo que ninguna otra persona tiene el derecho para decidir por ti acerca de los beneficios que habrás de recibir de algún acuerdo (…) Solo tú tienes el derecho de decidir si es que un beneficio es valioso para ti en virtud de la carga que trae consigo el acuerdo.” (2009; p.5)</w:t>
      </w:r>
    </w:p>
    <w:p w14:paraId="3514C81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El sentido del derecho, por cuanto persigue la justicia, representa un norte ante el cual inclinamos y evaluamos la idea de lo que delimita la libertad civil. De esta manera la libertad </w:t>
      </w:r>
      <w:r w:rsidRPr="009666E0">
        <w:rPr>
          <w:rFonts w:ascii="Times New Roman" w:hAnsi="Times New Roman"/>
          <w:sz w:val="24"/>
          <w:szCs w:val="24"/>
          <w:lang w:val="es-MX"/>
        </w:rPr>
        <w:lastRenderedPageBreak/>
        <w:t xml:space="preserve">externa, como un principio normativo, orienta el sentido del derecho en el sentido privado, público y cosmopolita. Ripstein enfatiza que: “La autoridad de cualquier persona o mandato institucional para balancear valores en competencia debe por sí mismo ser reconciliado con el derecho de cada persona para ser su propio maestro/a. Esto no significa que la autoridad política o la coerción justificada sean imposibles, o que las instituciones nunca sean competentes para balancear valores en competencia, solamente que la autoridad para realizar o hacer cumplir decisiones necesita ser establecida mostrándose como consistente con el derecho de cada persona a su libertad antes que los intereses o valores en competencia puedan ser considerados.” (2009; p.5) Esto equivale a señalar que la libertad externa, pensada fundamentalmente como soberanía, es uno de los sentidos últimos y razones de ser del derecho. Toda ley e institución debe actuar con este derecho innato en mente, a la hora de desplegarse. Esto equivale a subrayar la necesidad de un horizonte civil en las relaciones externas. </w:t>
      </w:r>
    </w:p>
    <w:p w14:paraId="794D8AA6"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Ello se complementa con el siguiente pasaje, en donde Ripstein enfatiza que: “Kant no provee una fórmula detallada para la resolución de disputas privadas o el contenido de la legislación pública. Su argumento muestra que esos asuntos deben ser enmarcados, de forma consistente con el derecho de cada persona a ser su propia maestra, y además porqué las instituciones públicas deben establecerse para resolverlo.” (2009; p.11)</w:t>
      </w:r>
    </w:p>
    <w:p w14:paraId="2ECCF027"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La libertad representa un derecho innato (incluso en un estado natural), pero su sentido externo sólo puede darse plenamente en un horizonte civil con autoridades e instituciones legítimas. En este puntual sentido, Ripstein refiere que Kant tiene la idea: “que cada derecho de la persona a ser su propia maestra es solo consistente con el derecho de otros si las instituciones legales públicas están vigentes.” (2009; p.9) La libertad precisa a la que se hace referencia, es aquella en que confluyen los actos de unos sobre otros, es decir, que podemos interpretar que Ripstein apunta en este pasaje a la libertad externa como presente únicamente en el marco jurídico de una sociedad que ha integrado su voluntad. </w:t>
      </w:r>
    </w:p>
    <w:p w14:paraId="0725C6BD"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Enfatizando lo anterior, Ripstein agrega que: “Ambas, instituciones y la autorización para ejercer coacción, no son meramente condiciones causales que probablemente traigan la realización del derecho a la libertad. (…) En su lugar, el ejercicio consistente del derecho a la libertad por una pluralidad de personas no puede ser concebida aparte de un orden público legal.” (2009; p.9) Esto nos permite distinguir entre una libertad ilimitada, sin restricciones, o salvaje (en el sentido del estado natural), de una libertad civilizada o externa, en donde la </w:t>
      </w:r>
      <w:r w:rsidRPr="009666E0">
        <w:rPr>
          <w:rFonts w:ascii="Times New Roman" w:hAnsi="Times New Roman"/>
          <w:sz w:val="24"/>
          <w:szCs w:val="24"/>
          <w:lang w:val="es-MX"/>
        </w:rPr>
        <w:lastRenderedPageBreak/>
        <w:t xml:space="preserve">soberanía de una libertad externa únicamente es concebible bajo el trasfondo de un marco civil. Esto se hará patente en los siguientes capítulos del libro. </w:t>
      </w:r>
    </w:p>
    <w:p w14:paraId="4F45E77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Ripstein también distingue de los derechos que son innatos, y aquellos que son adquiridos. En el marco de su interpretación de Kant, la libertad por sí sola es un derecho innato, mientras que la libertad externa o jurídica, que requiere un horizonte civil, es un tipo de derecho adquirido. </w:t>
      </w:r>
    </w:p>
    <w:p w14:paraId="47CDEA3E"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En el cuarto capítulo, que trata de la propiedad privada en cuanto derecho adquirido, se refiere cómo la posesión de objetos que otros reconocen como perteneciendo a alguien es un fenómeno que solamente se hace inteligible en el marco civil en que existe una libertad externa, y de esta forma, el estado y sus instituciones aseguran la validez pública de la propiedad.</w:t>
      </w:r>
    </w:p>
    <w:p w14:paraId="41A02BD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lang w:val="es-MX"/>
        </w:rPr>
        <w:t xml:space="preserve">Para poder tener uso soberano sobre un tipo de posesión que es perenne y no meramente provisional, hace falta un legítimo orden y leyes públicas. Ripstein señala que: </w:t>
      </w:r>
      <w:r w:rsidRPr="009666E0">
        <w:rPr>
          <w:rFonts w:ascii="Times New Roman" w:hAnsi="Times New Roman"/>
          <w:sz w:val="24"/>
          <w:szCs w:val="24"/>
        </w:rPr>
        <w:t>“Kant entiende los derechos de propiedad como paralelos a los derechos de cada uno sobre su propia persona, pero distinto de ellos. (…) Su perspectiva captura el sentido distintivo en el cual los derechos de propiedad son en parte materia del derecho privado entre las personas, pero al mismo tiempo, sitúa el argumento de que la adquisición es solo posible en contra del trasfondo de una estructura pública de autoridad legítima.” (2009; p.106)</w:t>
      </w:r>
    </w:p>
    <w:p w14:paraId="38BE6604"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Cuando la soberanía de uno se cruza con la soberanía de otro, podemos pensar en el escenario que protagoniza el consentimiento. En el quinto capítulo, se hace incidencia en la relación que tiene el consentimiento en el marco de la libertad entendida como soberanía. Ripstein refiere que: “El consentimiento importa debido a que es una condición de personas libres ejercitando su libertad conjuntamente. La libertad, a su vez, importa independientemente de las formas particulares en que es ejercida: cada persona tiene derechos a establecer y perseguir sus propios propósitos, sujeto solo a la condición de que lo haga de forma consistente con el derecho de otros a hacer lo mismo.” (2009; p.144)</w:t>
      </w:r>
    </w:p>
    <w:p w14:paraId="7B5C86E9"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El consentimiento, tal y como lo había considerado Kant en el texto de </w:t>
      </w:r>
      <w:r w:rsidRPr="009666E0">
        <w:rPr>
          <w:rFonts w:ascii="Times New Roman" w:hAnsi="Times New Roman"/>
          <w:i/>
          <w:iCs/>
          <w:sz w:val="24"/>
          <w:szCs w:val="24"/>
        </w:rPr>
        <w:t>La Paz Perpetua</w:t>
      </w:r>
      <w:r w:rsidRPr="009666E0">
        <w:rPr>
          <w:rFonts w:ascii="Times New Roman" w:hAnsi="Times New Roman"/>
          <w:sz w:val="24"/>
          <w:szCs w:val="24"/>
        </w:rPr>
        <w:t xml:space="preserve"> hacía referencia a la aceptación que otorga libremente el ciudadano ante las leyes públicas, considerando que éstas no pueden ni deben cometer nunca injusticia. Este matiz queda reflejado por Ripstein cuando indica que: “Tan austera perspectiva de la libertad no permite ninguna evaluación sobre diferentes elecciones sobre la base de un índice público de su </w:t>
      </w:r>
      <w:r w:rsidRPr="009666E0">
        <w:rPr>
          <w:rFonts w:ascii="Times New Roman" w:hAnsi="Times New Roman"/>
          <w:sz w:val="24"/>
          <w:szCs w:val="24"/>
        </w:rPr>
        <w:lastRenderedPageBreak/>
        <w:t>importancia. En su lugar, requiere solamente que las personas libres sean moralmente capaces de juntarse para cambiar sus respectivos derechos y obligaciones.” (2009; p.144)</w:t>
      </w:r>
    </w:p>
    <w:p w14:paraId="27B08238"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En este sentido, la soberanía no se trata meramente de la autonomía para dirigir los propios actos, sino que se extiende hasta la necesidad de una aprobación consentida de la ley pública, ante la cual todos nos sometemos para permitir una libertad exterior, compartida, equitativa y recíproca. </w:t>
      </w:r>
    </w:p>
    <w:p w14:paraId="398075A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La segunda gran parte del libro de Ripstein se ocupa del derecho público. El séptimo capítulo tiene por título “dándonos leyes a nosotros mismos” y este concepto supone el corazón de la legitimidad de todo estado. Ripstein señala que el estado auténticamente legítimo se produce a raíz de que los ciudadanos se dan leyes a sí mismos, o cuando menos, ofrecen directa o virtualmente, su consentimiento. Esta autonomía soberana que enfatiza el consentimiento civil suele ser encarnada por constituciones que adoptan una forma de gobierno y política republicanas.</w:t>
      </w:r>
    </w:p>
    <w:p w14:paraId="102DB92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lang w:val="es-MX"/>
        </w:rPr>
        <w:t xml:space="preserve">De acuerdo a la interpretación de Ripstein, Kant presenta tres defectos del estado natural que pueden corregirse mediante la instauración de un derecho público legítimo. </w:t>
      </w:r>
      <w:r w:rsidRPr="009666E0">
        <w:rPr>
          <w:rFonts w:ascii="Times New Roman" w:hAnsi="Times New Roman"/>
          <w:sz w:val="24"/>
          <w:szCs w:val="24"/>
        </w:rPr>
        <w:t>Ripstein explica en el capítulo sexto, estos tres defectos en el estado de naturaleza, considerando que en el estado natural podemos tener derechos privados, pero nunca están plenamente asegurados, si se carece del horizonte público. Ripstein señala que: “Entendido en esta pura forma como un sistema de derechos privados sin leyes públicas, el estado de naturaleza es moralmente incoherente desde el punto de vista de los derechos en tres distintos sentidos. Primero, el postulado de la razón práctica en relación a los derechos muestra que los derechos adquiridos son una extensión moral necesaria de la libertad. Pero Kant habrá de discutir que es imposible adquirir derechos a nada en un estado de naturaleza. Segundo, los derechos necesariamente deben hacerse cumplir. Un derecho es un título para coercer. Pero los derechos adquiridos no pueden hacerse cumplir en un estado natural. Tercero, en cuanto aspectos de un sistema de libertad equitativa, la aplicación de los derechos privados a particulares solo puede determinarse de acuerdo con estándares que no sean ejercicios unilaterales del juicio de una de las partes en disputa.” (2009; p.146)</w:t>
      </w:r>
    </w:p>
    <w:p w14:paraId="45248C7E"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Estos tres defectos deben solucionarse de formas que sean consistentes con el derecho a la libertad, y la forma en que pueden resolverse, es mediante el derecho público, desde un punto de vista que mantenga el norte del derecho innato a la humanidad y que, además, admita una perspectiva omnilateral, en lugar de una que sea unilateral. De esta forma, se considera a un colectivo como teniendo una voluntad integrada, unificada o unida, en virtud de la </w:t>
      </w:r>
      <w:r w:rsidRPr="009666E0">
        <w:rPr>
          <w:rFonts w:ascii="Times New Roman" w:hAnsi="Times New Roman"/>
          <w:sz w:val="24"/>
          <w:szCs w:val="24"/>
        </w:rPr>
        <w:lastRenderedPageBreak/>
        <w:t>deliberación, el darse leyes unos a otros y a sí mismos, que deben pasar por el consentimiento general, apuntando a un tipo de soberanía que pueda darse equitativamente a todos. De esta forma, Ripstein escribe que: “Las instituciones pueden resolver los tres problemas del estado natural al incorporar una distinción entre un régimen ministerial y la persona ocupándole. A los funcionarios se les puede requerir por sus ministerios que actúen con el propósito de una forma puramente pública de hacer, implementar y aplicar la ley. Si actúan entre estos mandos, actúan por las personas como un cuerpo colectivo. Al hacerlo, también constituyen a las personas en cuanto un cuerpo colectivo, y así proveen el punto de vista omnilateral que puede resolver los tres problemas. Tales mandatos también les dan a los funcionarios los poderes morales que ninguna persona privada puede tener.” (2009; p.230)</w:t>
      </w:r>
    </w:p>
    <w:p w14:paraId="262EA5A0"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El consentimiento como algo necesario es enfatizado, en virtud de que la ley pública no debe hacerle daño a nadie, y de esta forma, Ripstein subraya que: “Ambos, los poderes y las restricciones constitucionales en su ejercicio tienen sus bases en el requerimiento general que los funcionarios no podrían tener el poder para hacer arreglos para los ciudadanos que los ciudadanos no hicieran para sí mismos.” (2009; p.230) Y Ripstein agrega, en la misma línea que: “En su lugar, deben ejercer sus mandatos de forma consistente con el derecho innato de humanidad de cada persona y el estatus de cada persona en cuanto miembro de una voluntad unificada. Una condición legítima entre personas privadas es requerida para reconciliar la intencionalidad de una pluralidad de personas separadas, consistente con el derecho de cada persona a ser su propio señor/a.” (2009; p.230)</w:t>
      </w:r>
    </w:p>
    <w:p w14:paraId="6694BB8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 libertad externa, entendida como consentimiento y soberanía representa, por todo lo dicho, un núcleo de suma importancia en la interpretación que Ripstein hace del pensamiento político y jurídico de Kant. En cuanto idea normativa, la libertad entendida de esta forma es un derecho innato que puede bien darse en el estado natural, pero que, sin embargo, requiere la dimensión pública para ser plena. </w:t>
      </w:r>
    </w:p>
    <w:p w14:paraId="72EAD9B2" w14:textId="77777777" w:rsidR="00670045" w:rsidRPr="009666E0" w:rsidRDefault="00670045" w:rsidP="00670045">
      <w:pPr>
        <w:spacing w:line="360" w:lineRule="auto"/>
        <w:rPr>
          <w:rFonts w:ascii="Times New Roman" w:hAnsi="Times New Roman"/>
          <w:sz w:val="24"/>
          <w:szCs w:val="24"/>
        </w:rPr>
      </w:pPr>
    </w:p>
    <w:p w14:paraId="36AE6F96" w14:textId="77777777" w:rsidR="00670045" w:rsidRPr="009666E0" w:rsidRDefault="00670045" w:rsidP="00670045">
      <w:pPr>
        <w:spacing w:line="360" w:lineRule="auto"/>
        <w:ind w:firstLine="708"/>
        <w:rPr>
          <w:rFonts w:ascii="Times New Roman" w:hAnsi="Times New Roman"/>
          <w:sz w:val="24"/>
          <w:szCs w:val="24"/>
          <w:lang w:val="es-MX"/>
        </w:rPr>
      </w:pPr>
      <w:r w:rsidRPr="009666E0">
        <w:rPr>
          <w:rFonts w:ascii="Times New Roman" w:hAnsi="Times New Roman"/>
          <w:sz w:val="24"/>
          <w:szCs w:val="24"/>
          <w:lang w:val="es-MX"/>
        </w:rPr>
        <w:t>3.3 Libertad externa como extensión del derecho innato de la humanidad</w:t>
      </w:r>
    </w:p>
    <w:p w14:paraId="5CFB92F3" w14:textId="77777777" w:rsidR="00670045" w:rsidRPr="009666E0" w:rsidRDefault="00670045" w:rsidP="00670045">
      <w:pPr>
        <w:spacing w:line="360" w:lineRule="auto"/>
        <w:ind w:firstLine="708"/>
        <w:rPr>
          <w:rFonts w:ascii="Times New Roman" w:hAnsi="Times New Roman"/>
          <w:sz w:val="24"/>
          <w:szCs w:val="24"/>
          <w:lang w:val="es-MX"/>
        </w:rPr>
      </w:pPr>
    </w:p>
    <w:p w14:paraId="3A415CB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un tercer sentido, se puede pensar la libertad externa en cuanto se deriva de un derecho básico e innato de la humanidad que se posee antes de la condición jurídica misma, o un estado civil como tal. La primera gran parte del libro se ocupa del derecho privado y en el segundo capítulo, Ripstein nos habla del derecho innato de la humanidad. Esto supone que </w:t>
      </w:r>
      <w:r w:rsidRPr="009666E0">
        <w:rPr>
          <w:rFonts w:ascii="Times New Roman" w:hAnsi="Times New Roman"/>
          <w:sz w:val="24"/>
          <w:szCs w:val="24"/>
          <w:lang w:val="es-MX"/>
        </w:rPr>
        <w:lastRenderedPageBreak/>
        <w:t xml:space="preserve">cada ser humano posee un derecho básico a la libertad que es universal e independiente de las condiciones sociales, materiales o cualquier otra contingencia. Este derecho innato a la libertad es un paso formal para un tipo de libertad que es civil y amparado por el derecho público. Esta última libertad civil, como un derecho adquirido por encima del innato, sería precisamente la externa. </w:t>
      </w:r>
    </w:p>
    <w:p w14:paraId="788F2D59"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lang w:val="es-MX"/>
        </w:rPr>
        <w:t xml:space="preserve">Ripstein plantea el derecho innato de la humanidad como una condición previa para otros derechos adquiridos, siendo un principio normativo que orienta toda ley (y derecho) posteriores. De esta forma, refiere Ripstein que: </w:t>
      </w:r>
      <w:r w:rsidRPr="009666E0">
        <w:rPr>
          <w:rFonts w:ascii="Times New Roman" w:hAnsi="Times New Roman"/>
          <w:sz w:val="24"/>
          <w:szCs w:val="24"/>
        </w:rPr>
        <w:t>“El derecho innato de la humanidad es la base para cualesquiera subsecuentes derechos que una persona debe tener, debido a que es el tener derecho para ser su propio señor/a que cada persona tiene, y así, como resultado, también un derecho que limita las formas en las cuales la fuerza pueda ser usada.” (2009; p.56) A esta perspectiva, agrega Ripstein que: “En la medida en que cada persona actúe en conformidad con el derecho innato de otros, ninguna coerción es utilizada. El derecho a ejercer coerción es simplemente el derecho de que otros ejerciten su libertad de forma consistente con la de uno mismo.” (</w:t>
      </w:r>
      <w:r w:rsidRPr="009666E0">
        <w:rPr>
          <w:rFonts w:ascii="Times New Roman" w:hAnsi="Times New Roman"/>
          <w:i/>
          <w:iCs/>
          <w:sz w:val="24"/>
          <w:szCs w:val="24"/>
        </w:rPr>
        <w:t>Ib.</w:t>
      </w:r>
      <w:r w:rsidRPr="009666E0">
        <w:rPr>
          <w:rFonts w:ascii="Times New Roman" w:hAnsi="Times New Roman"/>
          <w:sz w:val="24"/>
          <w:szCs w:val="24"/>
        </w:rPr>
        <w:t>)</w:t>
      </w:r>
    </w:p>
    <w:p w14:paraId="27CBB11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Partiendo del derecho innato de la humanidad a su libertad como una idea normativa, Ripstein ubica los alcances que tiene esta noción en el derecho privado y público, cuando señala que: “Esta misma estructura de libertad equitativa entendida como las restricciones sobre la coerción gobierna subsecuentes aspectos del derecho, incluidos ambos, el derecho privado y el derecho público. En el derecho privado, estructura los derechos ulteriores que cada persona puede adquirir, y las restricciones sobre la capacidad para adquirir nuevos derechos. Al nivel del derecho público, también restringe los medios disponibles para el estado para lograr sus propósitos públicos, e impone ciertos deberes obligatorios sobre sí.” (2009; p.56) El derecho innato de la humanidad es la base para otro tipo de derechos.</w:t>
      </w:r>
    </w:p>
    <w:p w14:paraId="4C5649BA"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El tercer capítulo se ocupa de los derechos adquiridos, como unos que son distintos del derecho innato y le presuponen. Ripstein analiza de qué forma los individuos pueden adquirir derechos sobre objetos externos, es decir, a algo distinto que a sus propias personas. Esto abre la perspectiva de los derechos a la propiedad, que representan un núcleo importante del derecho privado en la obra de Kant. </w:t>
      </w:r>
    </w:p>
    <w:p w14:paraId="2557342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lang w:val="es-MX"/>
        </w:rPr>
        <w:t xml:space="preserve">El derecho innato a la humanidad se refiere a la soberanía y falta de impedimento para dirigir la propia persona desde la encarnación de su propio cuerpo. Los derechos adquiridos que se siguen extienden esa libertad jurídica. Mientras que la libertad como algo innato apunta principalmente al cuerpo, la libertad de algunos derechos adquiridos expande el dominio de </w:t>
      </w:r>
      <w:r w:rsidRPr="009666E0">
        <w:rPr>
          <w:rFonts w:ascii="Times New Roman" w:hAnsi="Times New Roman"/>
          <w:sz w:val="24"/>
          <w:szCs w:val="24"/>
          <w:lang w:val="es-MX"/>
        </w:rPr>
        <w:lastRenderedPageBreak/>
        <w:t>la libertad externa en las relaciones interpersonales. Ripstein señala que: “El derecho innato de la humanidad no presupone la existencia de medios para establecer y perseguir propósitos ajenos distintos al propio cuerpo de cada persona. Una vez que se introduce la posibilidad de que haya tales medios externos, el principio universal del derecho debe extenderse para hacer de su uso algo consistente con la libertad de cada persona.”</w:t>
      </w:r>
      <w:r w:rsidRPr="009666E0">
        <w:rPr>
          <w:rFonts w:ascii="Times New Roman" w:hAnsi="Times New Roman"/>
          <w:sz w:val="24"/>
          <w:szCs w:val="24"/>
        </w:rPr>
        <w:t xml:space="preserve"> (2009; p.85)</w:t>
      </w:r>
    </w:p>
    <w:p w14:paraId="1D784589"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El derecho a la propiedad es un tipo de derecho adquirido bajo el amparo de instituciones legítimas correspondientes, en un horizonte civil de leyes públicas. Ripstein puntualiza, respecto a la expansión de los derechos externos que: “Tal extensión debe ser formal: si los objetos utilizables deben ser usados legítimamente, las personas deben tenerlos disponibles para el uso de cuales fueran los propósitos que se establezcan, restringidos solamente por el derecho de otros para usar sus medios externos como vean adecuado, en lugar de tener su base en los fines particulares que son perseguidos.” (2009; p.85)</w:t>
      </w:r>
    </w:p>
    <w:p w14:paraId="2A10674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Existe una diferencia en los modos en que se adquieren los dos tipos de derechos mencionados. El tipo de derecho innato de la humanidad a su libertad es un presupuesto normativo, y como su nombre lo dice, es inherente a la persona. Por otro lado: “Los derechos adquiridos requieren actos afirmativos para establecerlos, pero la forma de los derechos, incluidas las formas en las cuales restringen la libertad de otros, son conceptualmente previas a las preguntas sobre su modo de adquisición.” (2009; p.85)</w:t>
      </w:r>
    </w:p>
    <w:p w14:paraId="52578FDF"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lang w:val="es-MX"/>
        </w:rPr>
        <w:t xml:space="preserve">Es necesaria una transición hacia el estado civil para poder garantizar los derechos adquiridos. En el sexto capítulo se hacía mención a los tres defectos del estado natural, y de qué forma el derecho público puede solucionarles. </w:t>
      </w:r>
      <w:r w:rsidRPr="009666E0">
        <w:rPr>
          <w:rFonts w:ascii="Times New Roman" w:hAnsi="Times New Roman"/>
          <w:sz w:val="24"/>
          <w:szCs w:val="24"/>
        </w:rPr>
        <w:t>Ripstein enfatiza el sentido omnilateral del derecho público cuando refiere que: “Kant caracteriza el estado de naturaleza como un sistema de derechos privados sin el derecho público. El aparato de derechos privados aplica a las transacciones en tal estado, pero sujeto a tres defectos que hacen a esa aplicación meramente provisional. Cada uno de los defectos reflejan las dificultades de las acciones unilaterales.” (2009; p.181)</w:t>
      </w:r>
    </w:p>
    <w:p w14:paraId="04373FDF"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Las transacciones, por ejemplo, de propiedad o servicios, necesitan un horizonte legal, y en este sentido, Ripstein indica que: “Los objetos de elección no pueden ser adquiridos sin una autorización pública de adquisición; los derechos privados no pueden hacerse cumplir sin un mecanismo público a través del cual la obligación queda autorizada por la ley pública; los derechos privados son indeterminados en su aplicación a particulares sin un arbitrio autorizado públicamente.” (2009; p.181) El punto de vista omnilateral, en este sentido, representa el sentido del derecho público, y extiende de esta forma, el derecho innato de la </w:t>
      </w:r>
      <w:r w:rsidRPr="009666E0">
        <w:rPr>
          <w:rFonts w:ascii="Times New Roman" w:hAnsi="Times New Roman"/>
          <w:sz w:val="24"/>
          <w:szCs w:val="24"/>
        </w:rPr>
        <w:lastRenderedPageBreak/>
        <w:t>humanidad, desde una libertad innata hacia una libertad jurídica de actos exteriores. Como Ripstein refiere: “Incluso el derecho innato de la humanidad es inseguro en tal condición, tanto porque no hay remedio posible en caso de completarse un perjuicio en contra de una persona, y porque aún el derecho protectivo para defender tu propia persona en contra de un ataque que se lleva a cabo es indeterminado en su aplicación. Estos problemas solo pueden ser resueltos mediante una forma de asociación capaz de hacer leyes en nombre de todos, y autorizando ambos, el hacerse cumplir y la adjudicación bajo el amparo de la ley.” (2009; p.181)</w:t>
      </w:r>
    </w:p>
    <w:p w14:paraId="569A0A07"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Por lo revisado, se puede considerar que la libertad externa es una extensión del derecho innato a la humanidad, y en cuanto se entiende formalmente en tanto un derecho adquirido, presupone y requiere, el horizonte de un marco legal público que se oriente por el sentido normativo de la libertad; Esto podría considerarse como una libertad igual para todos. </w:t>
      </w:r>
    </w:p>
    <w:p w14:paraId="6E7F9B56" w14:textId="77777777" w:rsidR="00670045" w:rsidRPr="009666E0" w:rsidRDefault="00670045" w:rsidP="00670045">
      <w:pPr>
        <w:spacing w:line="360" w:lineRule="auto"/>
        <w:rPr>
          <w:rFonts w:ascii="Times New Roman" w:hAnsi="Times New Roman"/>
          <w:sz w:val="24"/>
          <w:szCs w:val="24"/>
        </w:rPr>
      </w:pPr>
    </w:p>
    <w:p w14:paraId="3077288E" w14:textId="77777777" w:rsidR="00670045" w:rsidRPr="009666E0" w:rsidRDefault="00670045" w:rsidP="00670045">
      <w:pPr>
        <w:spacing w:line="360" w:lineRule="auto"/>
        <w:ind w:firstLine="708"/>
        <w:rPr>
          <w:rFonts w:ascii="Times New Roman" w:hAnsi="Times New Roman"/>
          <w:sz w:val="24"/>
          <w:szCs w:val="24"/>
          <w:lang w:val="es-MX"/>
        </w:rPr>
      </w:pPr>
      <w:r w:rsidRPr="009666E0">
        <w:rPr>
          <w:rFonts w:ascii="Times New Roman" w:hAnsi="Times New Roman"/>
          <w:sz w:val="24"/>
          <w:szCs w:val="24"/>
          <w:lang w:val="es-MX"/>
        </w:rPr>
        <w:t>3.4 Libertad externa como equidad</w:t>
      </w:r>
    </w:p>
    <w:p w14:paraId="665BA23B" w14:textId="77777777" w:rsidR="00670045" w:rsidRPr="009666E0" w:rsidRDefault="00670045" w:rsidP="00670045">
      <w:pPr>
        <w:spacing w:line="360" w:lineRule="auto"/>
        <w:rPr>
          <w:rFonts w:ascii="Times New Roman" w:hAnsi="Times New Roman"/>
          <w:sz w:val="24"/>
          <w:szCs w:val="24"/>
          <w:lang w:val="es-MX"/>
        </w:rPr>
      </w:pPr>
    </w:p>
    <w:p w14:paraId="646B98AF"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un cuarto sentido, la libertad externa se piensa como bajo el marco de una condición de equidad, lo cual tienes diversos matices. En primer lugar, se piensa que, para todos, por igual, estando bajo la coacción de la ley pública, nos encontramos en reciprocidad de los límites de nuestros actos. En este sentido la libertad externa es equitativa, porque nuestros límites son los mismos: los otros y sus propias libertades. </w:t>
      </w:r>
    </w:p>
    <w:p w14:paraId="0ECD56F5"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segundo lugar, la condición de equidad respecto de la libertad y las leyes se amplía a la igualdad de oportunidades, lo cual, desde el contexto de Kant, supone una crítica a la nobleza y a los cargos hereditarios. En este sentido la libertad como equidad se traduce en la posibilidad de poder mejorarse por medio del mérito, la virtud, los talentos y la fortuna. El noveno capítulo refiere un desarrollo de la redistribución y la equidad de oportunidades, en donde Ripstein interpreta que Kant no habla de una redistribución material, sino de condiciones y mecanismos para que se permita la igualdad de oportunidades. En este sentido, la intervención del estado se debe limitar a quitar obstáculos estructurales que imposibiliten una libertad a todos por igual. </w:t>
      </w:r>
    </w:p>
    <w:p w14:paraId="768D9F43"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un tercer sentido, la libertad se entiende como igual para todos por cuanto podemos exigirnos unos a otros el cumplir la ley, y a su vez, debemos otorgar nuestro consentimiento </w:t>
      </w:r>
      <w:r w:rsidRPr="009666E0">
        <w:rPr>
          <w:rFonts w:ascii="Times New Roman" w:hAnsi="Times New Roman"/>
          <w:sz w:val="24"/>
          <w:szCs w:val="24"/>
          <w:lang w:val="es-MX"/>
        </w:rPr>
        <w:lastRenderedPageBreak/>
        <w:t xml:space="preserve">a las leyes en la medida en que se orienten a su finalidad pública. En este sentido, tenemos la igual condición de darnos leyes a nosotros mismos, en cuanto los legisladores habrán de crear y sostener leyes que cualquiera se diese universalmente a sí mismo, como a otros, de forma que sea posible una libertad compartida. El uso de la razón pública es fundamental para este sentido deliberativo que confluye con el sentido del consentimiento ante las leyes públicas, es decir, generales. </w:t>
      </w:r>
    </w:p>
    <w:p w14:paraId="3223B844"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Ripstein interpreta la libertad externa particularmente como una libertad equitativa en una serie de perspectivas que involucran los matices anteriores. La legitimidad de la fuerza pública radica en qué tanto se guía normativamente por los principios de la libertad como derecho innato de la humanidad; A partir de eso, la libertad se piensa como algo extendido,  en cuanto un derecho adquirido civilmente, y cuya noción no es otra que la de libertad externa, o como le llama Ripstein, equitativa, la que representa un núcleo de la filosofía del derecho y política de Kant. En esta forma, Ripstein señala que: “Espero adelantarme a cualquier impresión de que todo lo que un estado legítimo hace, debe ser una aplicación directa del punto de partida de Kant en la idea de libertad equitativa.” (2009; p.6)</w:t>
      </w:r>
    </w:p>
    <w:p w14:paraId="1F60C3F9"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lang w:val="es-MX"/>
        </w:rPr>
        <w:t xml:space="preserve">Si la legitimidad del estado y las leyes radica en el principio de libertad, queda señalado que el sistema que Kant propone, como se ha dicho antes, se guía por principios normativos, en lugar de una perspectiva instrumental o utilitaria. De esta forma el uso de la fuerza tiene un sentido distinto. Ripstein señala que: “Esta concepción no instrumental del derecho a la libertad le da a Kant su distintiva perspectiva acerca de la significancia de la coerción.” (2009; p.9) y en esta línea, agrega que: “La perspectiva no instrumental de Kant del sistema de iguales libertades provee una base de principios para hacer del uso legítimo de la fuerza un problema autocontenido.” </w:t>
      </w:r>
      <w:r w:rsidRPr="009666E0">
        <w:rPr>
          <w:rFonts w:ascii="Times New Roman" w:hAnsi="Times New Roman"/>
          <w:sz w:val="24"/>
          <w:szCs w:val="24"/>
        </w:rPr>
        <w:t>(2009; p.10)</w:t>
      </w:r>
    </w:p>
    <w:p w14:paraId="5E4AF4EE"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Lejos de una perspectiva instrumental o utilitarista, que Kant rechazaría por favorecer una respuesta de principios normativos y en la línea de la deontología, la naturaleza de la legitimidad del estado y las leyes se orientan para que el poder público se fundamente en una mirada que sea omnilateral. Ripstein señala que: “El estado entra en la perspectiva de Kant como la solución a los problemas de las interacciones privadas, pero solo puede resolver estos problemas ocupando un punto de vista distintivamente público, a través del cual sus actos puedan ser actos de todos.” (2009; p.298) Y esto nos pone frente a otro problema que la idea de libertad externa supone, referido a los usos y modos en que se ejercita la fuerza, la coerción y el castigo. </w:t>
      </w:r>
    </w:p>
    <w:p w14:paraId="7CA3479E"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lastRenderedPageBreak/>
        <w:t xml:space="preserve">Ripstein, en virtud de la necesidad de una postura pública y omnilateral, agrega que: “Tal requisito, a su vez, genera nuevos poderes y obligaciones: el poder de imponer impuestos y redistribuir para prevenir derechos de propiedad que deben hacerse cumplir, y no se generen nuevas formas de dependencia, así como la obligación de proveer equidad formal de oportunidades y educación pública.” (2009; p.298) </w:t>
      </w:r>
    </w:p>
    <w:p w14:paraId="1EFF6D97"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Por lo dicho, la libertad externa, entendida como libertad equitativa, atraviesa y contiene las ideas regulativas que han conformado su noción a lo largo de las perspectivas que se han detallado en este apartado y a lo largo del capítulo. Hace falta complementar lo revisado con la idea que relaciona el uso de la fuerza con la posibilidad de una libertad que tenga estas características. </w:t>
      </w:r>
    </w:p>
    <w:p w14:paraId="481BF0A1" w14:textId="77777777" w:rsidR="00670045" w:rsidRPr="009666E0" w:rsidRDefault="00670045" w:rsidP="00670045">
      <w:pPr>
        <w:spacing w:line="360" w:lineRule="auto"/>
        <w:rPr>
          <w:rFonts w:ascii="Times New Roman" w:hAnsi="Times New Roman"/>
          <w:sz w:val="24"/>
          <w:szCs w:val="24"/>
        </w:rPr>
      </w:pPr>
    </w:p>
    <w:p w14:paraId="72EB21DC" w14:textId="77777777" w:rsidR="00670045" w:rsidRPr="009666E0" w:rsidRDefault="00670045" w:rsidP="00670045">
      <w:pPr>
        <w:spacing w:line="360" w:lineRule="auto"/>
        <w:ind w:firstLine="708"/>
        <w:rPr>
          <w:rFonts w:ascii="Times New Roman" w:hAnsi="Times New Roman"/>
          <w:sz w:val="24"/>
          <w:szCs w:val="24"/>
          <w:lang w:val="es-MX"/>
        </w:rPr>
      </w:pPr>
      <w:r w:rsidRPr="009666E0">
        <w:rPr>
          <w:rFonts w:ascii="Times New Roman" w:hAnsi="Times New Roman"/>
          <w:sz w:val="24"/>
          <w:szCs w:val="24"/>
          <w:lang w:val="es-MX"/>
        </w:rPr>
        <w:t>3.5 Libertad externa como el uso legítimo de la fuerza</w:t>
      </w:r>
    </w:p>
    <w:p w14:paraId="417ED8CD" w14:textId="77777777" w:rsidR="00670045" w:rsidRPr="009666E0" w:rsidRDefault="00670045" w:rsidP="00670045">
      <w:pPr>
        <w:spacing w:line="360" w:lineRule="auto"/>
        <w:rPr>
          <w:rFonts w:ascii="Times New Roman" w:hAnsi="Times New Roman"/>
          <w:sz w:val="24"/>
          <w:szCs w:val="24"/>
          <w:lang w:val="es-MX"/>
        </w:rPr>
      </w:pPr>
    </w:p>
    <w:p w14:paraId="3A500F42"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De la libertad entendida como inscrita en un marco de relaciones con límites recíprocos, se desprende un quinto sentido de la libertad externa, en cuanto representa el uso de la fuerza por parte del estado para poder ejercer la coacción civil a la libertad jurídica, de forma que se posibilite la libertad de todos los demás. Este sería un uso legítimo que se distingue del uso de la fuerza en un estado natural, o el uso de la fuerza en una tiranía o despotismo. </w:t>
      </w:r>
    </w:p>
    <w:p w14:paraId="2C662833"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lang w:val="es-MX"/>
        </w:rPr>
        <w:t xml:space="preserve">La tesis de Ripstein supone que la idea de libertad externa requiere del uso de la fuerza legítima, para que haga cumplir la ley y proceda de forma autorizada a la hora de castigar, de acuerdo al sentido público del estado y las leyes, la cual unifica una voz que busca conservar la pluralidad y es omnilateral en lugar de unilateral. Ripstein refiere que: “La filosofía legal y política de Kant comienza con una simple pero poderosa concepción de la libertad como independencia de la elección de otra persona. La idea de libertad le provee de una respuesta sistemática a las preguntas más básicas de la filosofía política. Explica </w:t>
      </w:r>
      <w:r w:rsidRPr="009666E0">
        <w:rPr>
          <w:rFonts w:ascii="Times New Roman" w:hAnsi="Times New Roman"/>
          <w:sz w:val="24"/>
          <w:szCs w:val="24"/>
        </w:rPr>
        <w:t>cómo (y cuando) las inequidades en riquezas y poder son consistentes con la equidad innata de todas las personas. También muestra que darles poderes especiales a los funcionarios es consistente con la libertad equitativa de todos. Demuestra porqué a algunas personas debe otorgársele el poder para decirle a todos (incluidos ellos mismos) qué hacer al crear leyes, y porqué otros deben estar empoderados para forzar a las personas para que hagan como se les dice. La respuesta es muy distintivamente kantiana: el poder político es legítimo y se hace cumplir debido a que la libertad lo requiere.” (2009; p.29)</w:t>
      </w:r>
    </w:p>
    <w:p w14:paraId="66210278"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lang w:val="es-MX"/>
        </w:rPr>
        <w:lastRenderedPageBreak/>
        <w:t xml:space="preserve">El octavo capítulo llamado “caminos a la libertad” contiene el análisis de cómo las instituciones jurídicas concretas, tales como la constitución, la policía y los tribunales, aseguran los alcances de la libertad externa. Esto refuerza la idea de que la fuerza estatal se justifica sólo en la medida en que busca proteger la igualdad de la libertad. En este sentido, Ripstein nos dice que: </w:t>
      </w:r>
      <w:r w:rsidRPr="009666E0">
        <w:rPr>
          <w:rFonts w:ascii="Times New Roman" w:hAnsi="Times New Roman"/>
          <w:sz w:val="24"/>
          <w:szCs w:val="24"/>
        </w:rPr>
        <w:t xml:space="preserve">“He presentado una forma distinta de pensar acerca del legítimo uso del poder del estado, enfocado en las condiciones de la libertad en lugar de los intereses. (…) La autoridad pública es sólo eso: es pública, constituida por los ciudadanos en cuanto un cuerpo colectivo, y es una autoridad; Esto es, dentro del mandato, su decisión es vinculante al margen de sus méritos, solamente porque es la decisión de una competente autoridad pública.” (2009; p.265) Ripstein enfatiza que su interpretación no va por el camino del instrumentalismo o de acuerdo a los intereses que se representa el estado, sino que parte de principios normativos, en donde la idea de libertad externa requiere de este uso legítimo de la fuerza por la naturaleza propia de su noción. </w:t>
      </w:r>
    </w:p>
    <w:p w14:paraId="1B689C8C"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Al rechazar una aproximación de los intereses instrumentales, Ripstein favorece una lectura que rescata el sentido de la libertad como una idea de la razón en sentido regulativo, y de esta forma, señala que: “La aproximación basada en la libertad (…) requiere que el mismo derecho innato a la humanidad estructure las políticas de poder del estado y también sirvan como su límite. Al establecer las instituciones y servicios que son requeridos para un sistema de libertad equitativa, el estado no debe usar medios inconsistentes con el derecho innato a la humanidad de sus ciudadanos.” (2009; p.265) Como se había referido anteriormente, el poder público debe orientarse siempre por las líneas de la justicia y la libertad como ideas, es decir, no debe hacer daño a nadie, no puede ser privada ni instrumental, y especialmente, debe seguir la línea de la libertad como derecho innato de la humanidad y luego como un derecho adquirido en que plenamente se puede entender como una libertad externa e igual para todos en el horizonte civil. </w:t>
      </w:r>
    </w:p>
    <w:p w14:paraId="174A705E"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Ripstein, sin embargo, intenta colocar esta idea en el lenguaje de la lógica instrumental o de intereses que busca combatir, y en este sentido, expresa que: “Todo esto, con alguna distorsión, puede traducirse al vocabulario de la aproximación basada en los intereses: en orden para justificar el uso del poder coercitivo por parte del estado, la libertad, entendida como independencia de la elección de otra persona, es el único interés que importa.” (2009; p.265)</w:t>
      </w:r>
    </w:p>
    <w:p w14:paraId="1DC580E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lang w:val="es-MX"/>
        </w:rPr>
        <w:t xml:space="preserve">El décimo capítulo habla del castigo como una legítima respuesta necesaria para poder asegurar la igualdad de la libertad. En este apartado, </w:t>
      </w:r>
      <w:r w:rsidRPr="009666E0">
        <w:rPr>
          <w:rFonts w:ascii="Times New Roman" w:hAnsi="Times New Roman"/>
          <w:sz w:val="24"/>
          <w:szCs w:val="24"/>
        </w:rPr>
        <w:t xml:space="preserve">Ripstein indica que: “La filosofía legal </w:t>
      </w:r>
      <w:r w:rsidRPr="009666E0">
        <w:rPr>
          <w:rFonts w:ascii="Times New Roman" w:hAnsi="Times New Roman"/>
          <w:sz w:val="24"/>
          <w:szCs w:val="24"/>
        </w:rPr>
        <w:lastRenderedPageBreak/>
        <w:t>y política de Kant está presentada como un sistema a priori, lo cual quiere decir que se aplica a los finitos seres racionales encarnados, sin ninguna referencia a la malevolencia o los defectos de la naturaleza humana o las difíciles circunstancias en las cuales los humanos se encuentran.” (2009; p.323) Lo que equivale a señalar el poder normativo del sistema metafísico-crítico kantiano. Agrega lo siguiente: “He argumentado que la perspectiva de Kant sobre el castigo es requerida debido a la naturaleza de la libertad, en lugar de adjudicarlo a las imperfecciones de los seres libres o al mundo en que se encuentran. (…) He argumentado que la disuasión y la retribución no son meramente compatibles, sino que se requieren mutuamente una a otra. Al serlo así, he buscado proveer una perspectiva que es a la vez fiel a los textos de Kant, y al mismo tiempo, resueltamente no instrumentalista.” (2009; p.323)</w:t>
      </w:r>
    </w:p>
    <w:p w14:paraId="3CEE9441"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El castigo se entiende como una fuerza necesaria y acorde a la justicia, por cuanto busca afectar las máximas por las cuales los agentes se gobiernan. La intención, de acuerdo a la lectura de Ripstein, supone que los actos contrarios a la ley pierden su sentido al contrastarlo con las consecuencias legales. Esto no equivale a tomar un punto de vista utilitario, sino que el castigo representa el modelo de un orden legal, en que uno, al romper dicho equilibrio, al mismo tiempo pierde su libertad externa, lo que va en contra de su propio derecho innato y luego sublimado civilmente. A su vez, el acento se coloca en la idea normativa de la libertad como compatible con la del uso legítimo de la fuerza, en lugar de apelar a argumento utilitarista. Ripstein nos señala que: “El castigo retributivo no sirve para supervisar que los malvados sufran como se lo merecen; tampoco el castigar a una persona sirve como medida detrimental para prevenir que otros se involucren en comportamiento mal recibidos. En su lugar, el castigo no es nada más que la supremacía del orden legal. Prospectivamente, guía la conducta al amenazar los actos contrarios a la ley como carentes de sentido; Retrospectivamente, hace que tales cualesquiera actos no tengan razón de ser, privándoles de sus efectos legales, así como factuales. El principio del castigo es por lo tanto el garantizar la libertad en el espacio y el tiempo, el obstaculizar lo que obstaculiza la libertad.” (2009; p.323)</w:t>
      </w:r>
    </w:p>
    <w:p w14:paraId="27BA4AE5"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En el decimoprimer capítulo, Ripstein rescata un pasaje de Kant en donde se articulan las relaciones que guardan los conceptos de fuerza, libertad y ley. Ahí refiere que: “En la sección final de la </w:t>
      </w:r>
      <w:r w:rsidRPr="009666E0">
        <w:rPr>
          <w:rFonts w:ascii="Times New Roman" w:hAnsi="Times New Roman"/>
          <w:i/>
          <w:iCs/>
          <w:sz w:val="24"/>
          <w:szCs w:val="24"/>
        </w:rPr>
        <w:t>Antropología desde un punto de vista pragmático</w:t>
      </w:r>
      <w:r w:rsidRPr="009666E0">
        <w:rPr>
          <w:rFonts w:ascii="Times New Roman" w:hAnsi="Times New Roman"/>
          <w:sz w:val="24"/>
          <w:szCs w:val="24"/>
        </w:rPr>
        <w:t xml:space="preserve">, Kant distingue entre cuatro combinaciones de la fuerza con la libertad y la ley. </w:t>
      </w:r>
    </w:p>
    <w:p w14:paraId="30D7FF65" w14:textId="77777777" w:rsidR="00670045" w:rsidRPr="009666E0" w:rsidRDefault="00670045" w:rsidP="00670045">
      <w:pPr>
        <w:pStyle w:val="ListParagraph"/>
        <w:numPr>
          <w:ilvl w:val="0"/>
          <w:numId w:val="12"/>
        </w:numPr>
        <w:spacing w:after="160" w:line="360" w:lineRule="auto"/>
        <w:rPr>
          <w:rFonts w:ascii="Times New Roman" w:hAnsi="Times New Roman"/>
          <w:sz w:val="24"/>
          <w:szCs w:val="24"/>
        </w:rPr>
      </w:pPr>
      <w:r w:rsidRPr="009666E0">
        <w:rPr>
          <w:rFonts w:ascii="Times New Roman" w:hAnsi="Times New Roman"/>
          <w:sz w:val="24"/>
          <w:szCs w:val="24"/>
        </w:rPr>
        <w:t xml:space="preserve">Ley y libertad sin fuerza, lo cual es </w:t>
      </w:r>
      <w:r w:rsidRPr="009666E0">
        <w:rPr>
          <w:rFonts w:ascii="Times New Roman" w:hAnsi="Times New Roman"/>
          <w:i/>
          <w:iCs/>
          <w:sz w:val="24"/>
          <w:szCs w:val="24"/>
        </w:rPr>
        <w:t>anarquía</w:t>
      </w:r>
      <w:r w:rsidRPr="009666E0">
        <w:rPr>
          <w:rFonts w:ascii="Times New Roman" w:hAnsi="Times New Roman"/>
          <w:sz w:val="24"/>
          <w:szCs w:val="24"/>
        </w:rPr>
        <w:t xml:space="preserve"> (esto es un estado de naturaleza entendido como una idea de la razón).</w:t>
      </w:r>
    </w:p>
    <w:p w14:paraId="696D951D" w14:textId="77777777" w:rsidR="00670045" w:rsidRPr="009666E0" w:rsidRDefault="00670045" w:rsidP="00670045">
      <w:pPr>
        <w:pStyle w:val="ListParagraph"/>
        <w:numPr>
          <w:ilvl w:val="0"/>
          <w:numId w:val="12"/>
        </w:numPr>
        <w:spacing w:after="160" w:line="360" w:lineRule="auto"/>
        <w:rPr>
          <w:rFonts w:ascii="Times New Roman" w:hAnsi="Times New Roman"/>
          <w:sz w:val="24"/>
          <w:szCs w:val="24"/>
        </w:rPr>
      </w:pPr>
      <w:r w:rsidRPr="009666E0">
        <w:rPr>
          <w:rFonts w:ascii="Times New Roman" w:hAnsi="Times New Roman"/>
          <w:sz w:val="24"/>
          <w:szCs w:val="24"/>
        </w:rPr>
        <w:t xml:space="preserve">Ley y fuerza sin libertad, lo cual es </w:t>
      </w:r>
      <w:r w:rsidRPr="009666E0">
        <w:rPr>
          <w:rFonts w:ascii="Times New Roman" w:hAnsi="Times New Roman"/>
          <w:i/>
          <w:iCs/>
          <w:sz w:val="24"/>
          <w:szCs w:val="24"/>
        </w:rPr>
        <w:t>despotismo</w:t>
      </w:r>
      <w:r w:rsidRPr="009666E0">
        <w:rPr>
          <w:rFonts w:ascii="Times New Roman" w:hAnsi="Times New Roman"/>
          <w:sz w:val="24"/>
          <w:szCs w:val="24"/>
        </w:rPr>
        <w:t>.</w:t>
      </w:r>
    </w:p>
    <w:p w14:paraId="2BFE680E" w14:textId="77777777" w:rsidR="00670045" w:rsidRPr="009666E0" w:rsidRDefault="00670045" w:rsidP="00670045">
      <w:pPr>
        <w:pStyle w:val="ListParagraph"/>
        <w:numPr>
          <w:ilvl w:val="0"/>
          <w:numId w:val="12"/>
        </w:numPr>
        <w:spacing w:after="160" w:line="360" w:lineRule="auto"/>
        <w:rPr>
          <w:rFonts w:ascii="Times New Roman" w:hAnsi="Times New Roman"/>
          <w:sz w:val="24"/>
          <w:szCs w:val="24"/>
        </w:rPr>
      </w:pPr>
      <w:r w:rsidRPr="009666E0">
        <w:rPr>
          <w:rFonts w:ascii="Times New Roman" w:hAnsi="Times New Roman"/>
          <w:sz w:val="24"/>
          <w:szCs w:val="24"/>
        </w:rPr>
        <w:lastRenderedPageBreak/>
        <w:t xml:space="preserve">Fuerza sin libertad ni ley, lo cual es </w:t>
      </w:r>
      <w:r w:rsidRPr="009666E0">
        <w:rPr>
          <w:rFonts w:ascii="Times New Roman" w:hAnsi="Times New Roman"/>
          <w:i/>
          <w:iCs/>
          <w:sz w:val="24"/>
          <w:szCs w:val="24"/>
        </w:rPr>
        <w:t>barbarismo</w:t>
      </w:r>
      <w:r w:rsidRPr="009666E0">
        <w:rPr>
          <w:rFonts w:ascii="Times New Roman" w:hAnsi="Times New Roman"/>
          <w:sz w:val="24"/>
          <w:szCs w:val="24"/>
        </w:rPr>
        <w:t>.</w:t>
      </w:r>
    </w:p>
    <w:p w14:paraId="59EAB7DA" w14:textId="77777777" w:rsidR="00670045" w:rsidRPr="009666E0" w:rsidRDefault="00670045" w:rsidP="00670045">
      <w:pPr>
        <w:pStyle w:val="ListParagraph"/>
        <w:numPr>
          <w:ilvl w:val="0"/>
          <w:numId w:val="12"/>
        </w:numPr>
        <w:spacing w:after="160" w:line="360" w:lineRule="auto"/>
        <w:rPr>
          <w:rFonts w:ascii="Times New Roman" w:hAnsi="Times New Roman"/>
          <w:sz w:val="24"/>
          <w:szCs w:val="24"/>
        </w:rPr>
      </w:pPr>
      <w:r w:rsidRPr="009666E0">
        <w:rPr>
          <w:rFonts w:ascii="Times New Roman" w:hAnsi="Times New Roman"/>
          <w:sz w:val="24"/>
          <w:szCs w:val="24"/>
        </w:rPr>
        <w:t xml:space="preserve">Fuerza con libertad y con ley, lo cual es una </w:t>
      </w:r>
      <w:r w:rsidRPr="009666E0">
        <w:rPr>
          <w:rFonts w:ascii="Times New Roman" w:hAnsi="Times New Roman"/>
          <w:i/>
          <w:iCs/>
          <w:sz w:val="24"/>
          <w:szCs w:val="24"/>
        </w:rPr>
        <w:t>república</w:t>
      </w:r>
      <w:r w:rsidRPr="009666E0">
        <w:rPr>
          <w:rFonts w:ascii="Times New Roman" w:hAnsi="Times New Roman"/>
          <w:sz w:val="24"/>
          <w:szCs w:val="24"/>
        </w:rPr>
        <w:t xml:space="preserve"> (esto es la condición civil entendida como una idea de la razón)” (2009; p.339, Kant citado en Ripsten, 2006, 7:330)</w:t>
      </w:r>
    </w:p>
    <w:p w14:paraId="1C9C0D13" w14:textId="77777777" w:rsidR="00670045" w:rsidRPr="009666E0" w:rsidRDefault="00670045" w:rsidP="00670045">
      <w:pPr>
        <w:spacing w:line="360" w:lineRule="auto"/>
        <w:rPr>
          <w:rFonts w:ascii="Times New Roman" w:hAnsi="Times New Roman"/>
          <w:sz w:val="24"/>
          <w:szCs w:val="24"/>
        </w:rPr>
      </w:pPr>
      <w:r w:rsidRPr="009666E0">
        <w:rPr>
          <w:rFonts w:ascii="Times New Roman" w:hAnsi="Times New Roman"/>
          <w:sz w:val="24"/>
          <w:szCs w:val="24"/>
        </w:rPr>
        <w:t xml:space="preserve">De acuerdo a este panorama, el uso legítimo del uso de la fuerza no puede disociarse de la ley ni de la idea de libertad. Cabe resaltar, que, para Kant, el único uso legítimo de la fuerza pública es uno de tipo republicano, que se caracteriza, dentro de otras cosas, por unificar una voluntad general que sea omnilateral y se ajuste al principio normativo de la libertad, tanto como derecho innato de la humanidad, como al sentido de libertad como un derecho adquirido civilmente, es decir, una libertad exterior. </w:t>
      </w:r>
    </w:p>
    <w:p w14:paraId="29AE5471"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rPr>
        <w:t xml:space="preserve">En un apartado que se titula: “Desde el derecho innato a la humanidad hacia el derecho de los seres humanos como tal” Ripstein expresa lo siguiente: “El punto de partida para la teoría del derecho de Kant es el derecho innato a la humanidad en cada persona, y así, el tener derechos para cada ser humano de ser independiente de cualquier elección de otra persona, el ser tratado como su propio señor/a, en cuanto persona y no una cosa.” </w:t>
      </w:r>
      <w:r w:rsidRPr="009666E0">
        <w:rPr>
          <w:rFonts w:ascii="Times New Roman" w:hAnsi="Times New Roman"/>
          <w:sz w:val="24"/>
          <w:szCs w:val="24"/>
          <w:lang w:val="es-MX"/>
        </w:rPr>
        <w:t xml:space="preserve">(2009; p.352) A este punto de partida, hace falta expandir la noción, y en este sentido, agrega que: </w:t>
      </w:r>
      <w:r w:rsidRPr="009666E0">
        <w:rPr>
          <w:rFonts w:ascii="Times New Roman" w:hAnsi="Times New Roman"/>
          <w:sz w:val="24"/>
          <w:szCs w:val="24"/>
        </w:rPr>
        <w:t xml:space="preserve">“La extensión de tales fundamentales ideas para la situación en la cual los propósitos pueden ser perseguidos con cosas distintas al propio cuerpo de cada persona generó el derecho privado. El derecho privado a su vez requiere el derecho público: la única forma en que una pluralidad de personas pueda disfrutar de su libertad consistentemente con la libertad de otros, es unificarse con aquellos otros y entrar a una condición legítima.” (2009; p.352) Esto representa un puente que nos lleva al sentido pleno y público de la libertad entendida como externa e igual para todos. Ripstein concluye que: “Como realización sistemática de la libertad de todos, de forma coherente con la libertad de los demás bajo una ley universal, una condición legítima no es meramente el derecho de cada ser humano considerado individualmente, sino de todos ellos considerados en conjunto. La libertad bajo la ley pública es el derecho de los seres humanos como tal.” </w:t>
      </w:r>
      <w:r w:rsidRPr="009666E0">
        <w:rPr>
          <w:rFonts w:ascii="Times New Roman" w:hAnsi="Times New Roman"/>
          <w:sz w:val="24"/>
          <w:szCs w:val="24"/>
          <w:lang w:val="es-MX"/>
        </w:rPr>
        <w:t>(2009; p.352)</w:t>
      </w:r>
    </w:p>
    <w:p w14:paraId="1FEA31EB"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En este capítulo se ha buscado analizar selectivamente el contenido del libro de Ripstein para poder delimitar su interpretación de la libertad externa en la doctrina del derecho de Kant, que orbita sobre los puntos mencionados. Se ha referido, en este sentido, el carácter normativo que tiene la idea de libertad, su facultad innata, su naturaleza de ser soberana y que requiere del consentimiento, así como su sentido equitativo. En este horizonte se ha planteado el papel del uso legítimo de la fuerza pública. De todo ello, tenemos una delimitación del </w:t>
      </w:r>
      <w:r w:rsidRPr="009666E0">
        <w:rPr>
          <w:rFonts w:ascii="Times New Roman" w:hAnsi="Times New Roman"/>
          <w:sz w:val="24"/>
          <w:szCs w:val="24"/>
          <w:lang w:val="es-MX"/>
        </w:rPr>
        <w:lastRenderedPageBreak/>
        <w:t xml:space="preserve">concepto de libertad externa, de acuerdo a A. Ripstein, que se ajusta precisamente a la doctrina del derecho de Kant. La idea fundamental que puede resumir lo revisado, supone que la libertad externa es un derecho adquirido (es decir, una extensión del derecho innato) de acuerdo a una voluntad ominlateral, que incluye una fuerza pública legítima que tiene un propósito guiado por las ideas regulativas de la justicia y la libertad. </w:t>
      </w:r>
    </w:p>
    <w:p w14:paraId="7689C70E" w14:textId="77777777" w:rsidR="00670045" w:rsidRPr="009666E0" w:rsidRDefault="00670045" w:rsidP="00670045">
      <w:pPr>
        <w:rPr>
          <w:rFonts w:ascii="Times New Roman" w:hAnsi="Times New Roman"/>
          <w:sz w:val="24"/>
          <w:szCs w:val="24"/>
          <w:lang w:val="es-MX"/>
        </w:rPr>
      </w:pPr>
      <w:r w:rsidRPr="009666E0">
        <w:rPr>
          <w:rFonts w:ascii="Times New Roman" w:hAnsi="Times New Roman"/>
          <w:sz w:val="24"/>
          <w:szCs w:val="24"/>
          <w:lang w:val="es-MX"/>
        </w:rPr>
        <w:br w:type="page"/>
      </w:r>
    </w:p>
    <w:p w14:paraId="1EA65741" w14:textId="77777777" w:rsidR="00670045" w:rsidRPr="00670045" w:rsidRDefault="00670045" w:rsidP="00670045">
      <w:pPr>
        <w:spacing w:line="360" w:lineRule="auto"/>
        <w:ind w:firstLine="708"/>
        <w:jc w:val="center"/>
        <w:rPr>
          <w:rFonts w:ascii="Times New Roman" w:hAnsi="Times New Roman"/>
          <w:b/>
          <w:bCs/>
          <w:sz w:val="24"/>
          <w:szCs w:val="24"/>
          <w:u w:val="single"/>
          <w:lang w:val="es-MX"/>
        </w:rPr>
      </w:pPr>
      <w:r w:rsidRPr="00670045">
        <w:rPr>
          <w:rFonts w:ascii="Times New Roman" w:hAnsi="Times New Roman"/>
          <w:b/>
          <w:bCs/>
          <w:sz w:val="24"/>
          <w:szCs w:val="24"/>
          <w:u w:val="single"/>
        </w:rPr>
        <w:lastRenderedPageBreak/>
        <w:t xml:space="preserve">Capítulo 4: </w:t>
      </w:r>
      <w:r w:rsidRPr="00670045">
        <w:rPr>
          <w:rFonts w:ascii="Times New Roman" w:hAnsi="Times New Roman"/>
          <w:b/>
          <w:bCs/>
          <w:sz w:val="24"/>
          <w:szCs w:val="24"/>
          <w:u w:val="single"/>
          <w:lang w:val="es-MX"/>
        </w:rPr>
        <w:t>Conclusiones tentativas</w:t>
      </w:r>
    </w:p>
    <w:p w14:paraId="6E6E1321" w14:textId="77777777" w:rsidR="00670045" w:rsidRPr="009666E0" w:rsidRDefault="00670045" w:rsidP="00670045">
      <w:pPr>
        <w:spacing w:line="360" w:lineRule="auto"/>
        <w:rPr>
          <w:rFonts w:ascii="Times New Roman" w:hAnsi="Times New Roman"/>
          <w:sz w:val="24"/>
          <w:szCs w:val="24"/>
          <w:lang w:val="es-MX"/>
        </w:rPr>
      </w:pPr>
    </w:p>
    <w:p w14:paraId="0FE0D3E0" w14:textId="39340605"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 xml:space="preserve">He intentado </w:t>
      </w:r>
      <w:r>
        <w:rPr>
          <w:rFonts w:ascii="Times New Roman" w:hAnsi="Times New Roman"/>
          <w:sz w:val="24"/>
          <w:szCs w:val="24"/>
          <w:lang w:val="es-MX"/>
        </w:rPr>
        <w:t>delimitar</w:t>
      </w:r>
      <w:r w:rsidRPr="009666E0">
        <w:rPr>
          <w:rFonts w:ascii="Times New Roman" w:hAnsi="Times New Roman"/>
          <w:sz w:val="24"/>
          <w:szCs w:val="24"/>
          <w:lang w:val="es-MX"/>
        </w:rPr>
        <w:t xml:space="preserve"> el concepto de libertad externa; este ha sido mi objetivo principal. Para ello he requerido de tres pasos concretos.</w:t>
      </w:r>
    </w:p>
    <w:p w14:paraId="3F2CE7A8"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En primer lugar, extraer lo que dice Kant, de acuerdo a tres textos.</w:t>
      </w:r>
    </w:p>
    <w:p w14:paraId="38BFE31C"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En segundo lugar, considerar lo que dice K. Flikschuh</w:t>
      </w:r>
    </w:p>
    <w:p w14:paraId="34788329" w14:textId="77777777" w:rsidR="00670045" w:rsidRPr="009666E0" w:rsidRDefault="00670045" w:rsidP="00670045">
      <w:pPr>
        <w:spacing w:line="360" w:lineRule="auto"/>
        <w:rPr>
          <w:rFonts w:ascii="Times New Roman" w:hAnsi="Times New Roman"/>
          <w:sz w:val="24"/>
          <w:szCs w:val="24"/>
          <w:lang w:val="es-MX"/>
        </w:rPr>
      </w:pPr>
      <w:r w:rsidRPr="009666E0">
        <w:rPr>
          <w:rFonts w:ascii="Times New Roman" w:hAnsi="Times New Roman"/>
          <w:sz w:val="24"/>
          <w:szCs w:val="24"/>
          <w:lang w:val="es-MX"/>
        </w:rPr>
        <w:t>En tercer lugar, tener en mente lo que señala A. Ripstein</w:t>
      </w:r>
    </w:p>
    <w:bookmarkEnd w:id="1"/>
    <w:p w14:paraId="25EB4F66" w14:textId="11F9318C" w:rsidR="00670045" w:rsidRDefault="00670045">
      <w:pPr>
        <w:spacing w:after="0"/>
        <w:ind w:left="0" w:firstLine="0"/>
        <w:jc w:val="left"/>
        <w:rPr>
          <w:rFonts w:ascii="Times New Roman" w:hAnsi="Times New Roman"/>
          <w:b/>
          <w:sz w:val="24"/>
          <w:szCs w:val="24"/>
          <w:u w:val="single"/>
          <w:lang w:val="en-US"/>
        </w:rPr>
      </w:pPr>
      <w:r>
        <w:rPr>
          <w:rFonts w:ascii="Times New Roman" w:hAnsi="Times New Roman"/>
          <w:b/>
          <w:sz w:val="24"/>
          <w:szCs w:val="24"/>
          <w:u w:val="single"/>
          <w:lang w:val="en-US"/>
        </w:rPr>
        <w:br w:type="page"/>
      </w:r>
    </w:p>
    <w:p w14:paraId="1FEE8C6C" w14:textId="77777777" w:rsidR="000579A5" w:rsidRDefault="000579A5">
      <w:pPr>
        <w:spacing w:after="0"/>
        <w:ind w:left="0" w:firstLine="0"/>
        <w:jc w:val="left"/>
        <w:rPr>
          <w:rFonts w:ascii="Times New Roman" w:hAnsi="Times New Roman"/>
          <w:b/>
          <w:sz w:val="24"/>
          <w:szCs w:val="24"/>
          <w:u w:val="single"/>
          <w:lang w:val="en-US"/>
        </w:rPr>
      </w:pPr>
    </w:p>
    <w:p w14:paraId="50A8E61A" w14:textId="7C1AA9A6" w:rsidR="00EA5D6C" w:rsidRPr="000579A5" w:rsidRDefault="00142CCE" w:rsidP="000579A5">
      <w:pPr>
        <w:spacing w:line="360" w:lineRule="auto"/>
        <w:ind w:left="0" w:firstLine="0"/>
        <w:jc w:val="center"/>
        <w:rPr>
          <w:rFonts w:ascii="Times New Roman" w:hAnsi="Times New Roman"/>
          <w:b/>
          <w:sz w:val="24"/>
          <w:szCs w:val="24"/>
          <w:u w:val="single"/>
          <w:lang w:val="en-US"/>
        </w:rPr>
      </w:pPr>
      <w:r w:rsidRPr="000579A5">
        <w:rPr>
          <w:rFonts w:ascii="Times New Roman" w:hAnsi="Times New Roman"/>
          <w:b/>
          <w:sz w:val="24"/>
          <w:szCs w:val="24"/>
          <w:u w:val="single"/>
          <w:lang w:val="en-US"/>
        </w:rPr>
        <w:t>Referencias bibliográficas</w:t>
      </w:r>
    </w:p>
    <w:p w14:paraId="02502B2A" w14:textId="77777777" w:rsidR="0053194A" w:rsidRPr="000579A5" w:rsidRDefault="0053194A" w:rsidP="00FD640E">
      <w:pPr>
        <w:ind w:left="720" w:hanging="720"/>
        <w:rPr>
          <w:rFonts w:ascii="Times New Roman" w:hAnsi="Times New Roman"/>
          <w:color w:val="000000" w:themeColor="text1"/>
          <w:sz w:val="24"/>
          <w:szCs w:val="24"/>
          <w:lang w:val="en-US"/>
        </w:rPr>
      </w:pPr>
    </w:p>
    <w:p w14:paraId="269872DE" w14:textId="77777777" w:rsidR="0053194A" w:rsidRPr="007F6A09" w:rsidRDefault="0053194A" w:rsidP="00FD640E">
      <w:pPr>
        <w:ind w:left="720" w:hanging="720"/>
        <w:rPr>
          <w:rFonts w:ascii="Times New Roman" w:hAnsi="Times New Roman"/>
          <w:color w:val="000000" w:themeColor="text1"/>
          <w:sz w:val="24"/>
          <w:szCs w:val="24"/>
          <w:lang w:val="en-US"/>
        </w:rPr>
      </w:pPr>
      <w:r w:rsidRPr="007F6A09">
        <w:rPr>
          <w:rFonts w:ascii="Times New Roman" w:hAnsi="Times New Roman"/>
          <w:color w:val="000000" w:themeColor="text1"/>
          <w:sz w:val="24"/>
          <w:szCs w:val="24"/>
          <w:lang w:val="en-US"/>
        </w:rPr>
        <w:t xml:space="preserve">Kant, I (1998) </w:t>
      </w:r>
      <w:r w:rsidRPr="007F6A09">
        <w:rPr>
          <w:rFonts w:ascii="Times New Roman" w:hAnsi="Times New Roman"/>
          <w:i/>
          <w:color w:val="000000" w:themeColor="text1"/>
          <w:sz w:val="24"/>
          <w:szCs w:val="24"/>
          <w:lang w:val="en-US"/>
        </w:rPr>
        <w:t>On the miscarriage of al philosophical trials in theodicy.</w:t>
      </w:r>
      <w:r w:rsidRPr="007F6A09">
        <w:rPr>
          <w:rFonts w:ascii="Times New Roman" w:hAnsi="Times New Roman"/>
          <w:color w:val="000000" w:themeColor="text1"/>
          <w:sz w:val="24"/>
          <w:szCs w:val="24"/>
          <w:lang w:val="en-US"/>
        </w:rPr>
        <w:t xml:space="preserve"> En: Kant, I. Religion within the Boundaries of mere Reason</w:t>
      </w:r>
      <w:r w:rsidRPr="007F6A09">
        <w:rPr>
          <w:rFonts w:ascii="Times New Roman" w:hAnsi="Times New Roman"/>
          <w:i/>
          <w:color w:val="000000" w:themeColor="text1"/>
          <w:sz w:val="24"/>
          <w:szCs w:val="24"/>
          <w:lang w:val="en-US"/>
        </w:rPr>
        <w:t xml:space="preserve">. </w:t>
      </w:r>
      <w:r w:rsidRPr="007F6A09">
        <w:rPr>
          <w:rFonts w:ascii="Times New Roman" w:hAnsi="Times New Roman"/>
          <w:color w:val="000000" w:themeColor="text1"/>
          <w:sz w:val="24"/>
          <w:szCs w:val="24"/>
          <w:lang w:val="en-US"/>
        </w:rPr>
        <w:t>Cambridge University Press.</w:t>
      </w:r>
    </w:p>
    <w:p w14:paraId="417B7801" w14:textId="77777777" w:rsidR="0053194A" w:rsidRPr="007F6A09" w:rsidRDefault="0053194A" w:rsidP="00FD640E">
      <w:pPr>
        <w:ind w:left="720" w:hanging="720"/>
        <w:rPr>
          <w:rFonts w:ascii="Times New Roman" w:hAnsi="Times New Roman"/>
          <w:color w:val="000000" w:themeColor="text1"/>
          <w:sz w:val="24"/>
          <w:szCs w:val="24"/>
          <w:lang w:val="en-US"/>
        </w:rPr>
      </w:pPr>
      <w:r w:rsidRPr="007F6A09">
        <w:rPr>
          <w:rFonts w:ascii="Times New Roman" w:hAnsi="Times New Roman"/>
          <w:color w:val="000000" w:themeColor="text1"/>
          <w:sz w:val="24"/>
          <w:szCs w:val="24"/>
          <w:lang w:val="en-US"/>
        </w:rPr>
        <w:t xml:space="preserve">Kant, I (1998) </w:t>
      </w:r>
      <w:r w:rsidRPr="007F6A09">
        <w:rPr>
          <w:rFonts w:ascii="Times New Roman" w:hAnsi="Times New Roman"/>
          <w:i/>
          <w:color w:val="000000" w:themeColor="text1"/>
          <w:sz w:val="24"/>
          <w:szCs w:val="24"/>
          <w:lang w:val="en-US"/>
        </w:rPr>
        <w:t xml:space="preserve">Religion within the Boundaries of mere Reason. </w:t>
      </w:r>
      <w:r w:rsidRPr="007F6A09">
        <w:rPr>
          <w:rFonts w:ascii="Times New Roman" w:hAnsi="Times New Roman"/>
          <w:color w:val="000000" w:themeColor="text1"/>
          <w:sz w:val="24"/>
          <w:szCs w:val="24"/>
          <w:lang w:val="en-US"/>
        </w:rPr>
        <w:t>Cambridge University Press.</w:t>
      </w:r>
    </w:p>
    <w:p w14:paraId="38B79189" w14:textId="77777777" w:rsidR="0053194A" w:rsidRPr="007F6A09" w:rsidRDefault="0053194A" w:rsidP="00FD640E">
      <w:pPr>
        <w:ind w:left="720" w:hanging="720"/>
        <w:rPr>
          <w:rFonts w:ascii="Times New Roman" w:hAnsi="Times New Roman"/>
          <w:color w:val="000000" w:themeColor="text1"/>
          <w:sz w:val="24"/>
          <w:szCs w:val="24"/>
          <w:lang w:val="en-US"/>
        </w:rPr>
      </w:pPr>
      <w:r w:rsidRPr="007F6A09">
        <w:rPr>
          <w:rFonts w:ascii="Times New Roman" w:hAnsi="Times New Roman"/>
          <w:color w:val="000000" w:themeColor="text1"/>
          <w:sz w:val="24"/>
          <w:szCs w:val="24"/>
          <w:lang w:val="en-US"/>
        </w:rPr>
        <w:t xml:space="preserve">Kant, I (2007) </w:t>
      </w:r>
      <w:r w:rsidRPr="007F6A09">
        <w:rPr>
          <w:rFonts w:ascii="Times New Roman" w:hAnsi="Times New Roman"/>
          <w:i/>
          <w:color w:val="000000" w:themeColor="text1"/>
          <w:sz w:val="24"/>
          <w:szCs w:val="24"/>
          <w:lang w:val="en-US"/>
        </w:rPr>
        <w:t>Anthropology from a pragmatic point of view (1798)</w:t>
      </w:r>
      <w:r w:rsidRPr="007F6A09">
        <w:rPr>
          <w:rFonts w:ascii="Times New Roman" w:hAnsi="Times New Roman"/>
          <w:color w:val="000000" w:themeColor="text1"/>
          <w:sz w:val="24"/>
          <w:szCs w:val="24"/>
          <w:lang w:val="en-US"/>
        </w:rPr>
        <w:t xml:space="preserve"> En: Kant, I. Anthropology, History and Education. Cambridge University Press.</w:t>
      </w:r>
    </w:p>
    <w:p w14:paraId="75570012" w14:textId="77777777" w:rsidR="0053194A" w:rsidRPr="007F6A09" w:rsidRDefault="0053194A" w:rsidP="00FD640E">
      <w:pPr>
        <w:ind w:left="720" w:hanging="720"/>
        <w:rPr>
          <w:rFonts w:ascii="Times New Roman" w:hAnsi="Times New Roman"/>
          <w:color w:val="000000" w:themeColor="text1"/>
          <w:sz w:val="24"/>
          <w:szCs w:val="24"/>
          <w:lang w:val="en-US"/>
        </w:rPr>
      </w:pPr>
      <w:r w:rsidRPr="007F6A09">
        <w:rPr>
          <w:rFonts w:ascii="Times New Roman" w:hAnsi="Times New Roman"/>
          <w:color w:val="000000" w:themeColor="text1"/>
          <w:sz w:val="24"/>
          <w:szCs w:val="24"/>
          <w:lang w:val="en-US"/>
        </w:rPr>
        <w:t xml:space="preserve">Kant, I (2007) </w:t>
      </w:r>
      <w:r w:rsidRPr="007F6A09">
        <w:rPr>
          <w:rFonts w:ascii="Times New Roman" w:hAnsi="Times New Roman"/>
          <w:i/>
          <w:color w:val="000000" w:themeColor="text1"/>
          <w:sz w:val="24"/>
          <w:szCs w:val="24"/>
          <w:lang w:val="en-US"/>
        </w:rPr>
        <w:t>Anthropology, History and Education</w:t>
      </w:r>
      <w:r w:rsidRPr="007F6A09">
        <w:rPr>
          <w:rFonts w:ascii="Times New Roman" w:hAnsi="Times New Roman"/>
          <w:color w:val="000000" w:themeColor="text1"/>
          <w:sz w:val="24"/>
          <w:szCs w:val="24"/>
          <w:lang w:val="en-US"/>
        </w:rPr>
        <w:t>. Cambridge University Press.</w:t>
      </w:r>
    </w:p>
    <w:p w14:paraId="25AAA16F" w14:textId="77777777" w:rsidR="0053194A" w:rsidRPr="007F6A09" w:rsidRDefault="0053194A" w:rsidP="00FD640E">
      <w:pPr>
        <w:ind w:left="720" w:hanging="720"/>
        <w:rPr>
          <w:rFonts w:ascii="Times New Roman" w:hAnsi="Times New Roman"/>
          <w:color w:val="000000" w:themeColor="text1"/>
          <w:sz w:val="24"/>
          <w:szCs w:val="24"/>
          <w:lang w:val="es-PE"/>
        </w:rPr>
      </w:pPr>
      <w:r w:rsidRPr="007F6A09">
        <w:rPr>
          <w:rFonts w:ascii="Times New Roman" w:hAnsi="Times New Roman"/>
          <w:color w:val="000000" w:themeColor="text1"/>
          <w:sz w:val="24"/>
          <w:szCs w:val="24"/>
          <w:lang w:val="es-PE"/>
        </w:rPr>
        <w:t xml:space="preserve">Kant, I (2007) </w:t>
      </w:r>
      <w:r w:rsidRPr="007F6A09">
        <w:rPr>
          <w:rFonts w:ascii="Times New Roman" w:hAnsi="Times New Roman"/>
          <w:i/>
          <w:color w:val="000000" w:themeColor="text1"/>
          <w:sz w:val="24"/>
          <w:szCs w:val="24"/>
          <w:lang w:val="es-PE"/>
        </w:rPr>
        <w:t>Crítica de la razón pura</w:t>
      </w:r>
      <w:r w:rsidRPr="007F6A09">
        <w:rPr>
          <w:rFonts w:ascii="Times New Roman" w:hAnsi="Times New Roman"/>
          <w:color w:val="000000" w:themeColor="text1"/>
          <w:sz w:val="24"/>
          <w:szCs w:val="24"/>
          <w:lang w:val="es-PE"/>
        </w:rPr>
        <w:t>. Traducción de Mario Caimi. Ed. Colihue Clásica</w:t>
      </w:r>
      <w:r>
        <w:rPr>
          <w:rFonts w:ascii="Times New Roman" w:hAnsi="Times New Roman"/>
          <w:color w:val="000000" w:themeColor="text1"/>
          <w:sz w:val="24"/>
          <w:szCs w:val="24"/>
          <w:lang w:val="es-PE"/>
        </w:rPr>
        <w:t>.</w:t>
      </w:r>
    </w:p>
    <w:p w14:paraId="1DFFF292" w14:textId="77777777" w:rsidR="0053194A" w:rsidRPr="007F6A09" w:rsidRDefault="0053194A" w:rsidP="00FD640E">
      <w:pPr>
        <w:ind w:left="720" w:hanging="720"/>
        <w:rPr>
          <w:rFonts w:ascii="Times New Roman" w:hAnsi="Times New Roman"/>
          <w:color w:val="000000" w:themeColor="text1"/>
          <w:sz w:val="24"/>
          <w:szCs w:val="24"/>
          <w:lang w:val="en-US"/>
        </w:rPr>
      </w:pPr>
      <w:r w:rsidRPr="007F6A09">
        <w:rPr>
          <w:rFonts w:ascii="Times New Roman" w:hAnsi="Times New Roman"/>
          <w:color w:val="000000" w:themeColor="text1"/>
          <w:sz w:val="24"/>
          <w:szCs w:val="24"/>
          <w:lang w:val="en-US"/>
        </w:rPr>
        <w:t xml:space="preserve">Kant, I (2007) </w:t>
      </w:r>
      <w:r w:rsidRPr="007F6A09">
        <w:rPr>
          <w:rFonts w:ascii="Times New Roman" w:hAnsi="Times New Roman"/>
          <w:i/>
          <w:color w:val="000000" w:themeColor="text1"/>
          <w:sz w:val="24"/>
          <w:szCs w:val="24"/>
          <w:lang w:val="en-US"/>
        </w:rPr>
        <w:t>Essay on the maladies of the head (1764)</w:t>
      </w:r>
      <w:r w:rsidRPr="007F6A09">
        <w:rPr>
          <w:rFonts w:ascii="Times New Roman" w:hAnsi="Times New Roman"/>
          <w:color w:val="000000" w:themeColor="text1"/>
          <w:sz w:val="24"/>
          <w:szCs w:val="24"/>
          <w:lang w:val="en-US"/>
        </w:rPr>
        <w:t xml:space="preserve"> En: Kant, I. Anthropology, History and Education. Cambridge University Press.</w:t>
      </w:r>
    </w:p>
    <w:p w14:paraId="7F099D4F" w14:textId="77777777" w:rsidR="0053194A" w:rsidRPr="007F6A09" w:rsidRDefault="0053194A" w:rsidP="00FD640E">
      <w:pPr>
        <w:ind w:left="720" w:hanging="720"/>
        <w:rPr>
          <w:rFonts w:ascii="Times New Roman" w:hAnsi="Times New Roman"/>
          <w:color w:val="000000" w:themeColor="text1"/>
          <w:sz w:val="24"/>
          <w:szCs w:val="24"/>
          <w:lang w:val="en-US"/>
        </w:rPr>
      </w:pPr>
      <w:r w:rsidRPr="007F6A09">
        <w:rPr>
          <w:rFonts w:ascii="Times New Roman" w:hAnsi="Times New Roman"/>
          <w:color w:val="000000" w:themeColor="text1"/>
          <w:sz w:val="24"/>
          <w:szCs w:val="24"/>
          <w:lang w:val="en-US"/>
        </w:rPr>
        <w:t xml:space="preserve">Kant, I (2007) </w:t>
      </w:r>
      <w:r w:rsidRPr="007F6A09">
        <w:rPr>
          <w:rFonts w:ascii="Times New Roman" w:hAnsi="Times New Roman"/>
          <w:i/>
          <w:color w:val="000000" w:themeColor="text1"/>
          <w:sz w:val="24"/>
          <w:szCs w:val="24"/>
          <w:lang w:val="en-US"/>
        </w:rPr>
        <w:t>Essays regarding the Philantropinum (1776/1777)</w:t>
      </w:r>
      <w:r w:rsidRPr="007F6A09">
        <w:rPr>
          <w:rFonts w:ascii="Times New Roman" w:hAnsi="Times New Roman"/>
          <w:color w:val="000000" w:themeColor="text1"/>
          <w:sz w:val="24"/>
          <w:szCs w:val="24"/>
          <w:lang w:val="en-US"/>
        </w:rPr>
        <w:t xml:space="preserve"> En: Kant, I. Anthropology, History and Education. Cambridge University Press.</w:t>
      </w:r>
    </w:p>
    <w:p w14:paraId="2EE4CA79" w14:textId="77777777" w:rsidR="0053194A" w:rsidRPr="007F6A09" w:rsidRDefault="0053194A" w:rsidP="00FD640E">
      <w:pPr>
        <w:ind w:left="720" w:hanging="720"/>
        <w:rPr>
          <w:rFonts w:ascii="Times New Roman" w:hAnsi="Times New Roman"/>
          <w:color w:val="000000" w:themeColor="text1"/>
          <w:sz w:val="24"/>
          <w:szCs w:val="24"/>
          <w:lang w:val="es-PE"/>
        </w:rPr>
      </w:pPr>
      <w:r w:rsidRPr="007F6A09">
        <w:rPr>
          <w:rFonts w:ascii="Times New Roman" w:hAnsi="Times New Roman"/>
          <w:color w:val="000000" w:themeColor="text1"/>
          <w:sz w:val="24"/>
          <w:szCs w:val="24"/>
          <w:lang w:val="en-US"/>
        </w:rPr>
        <w:t xml:space="preserve">Kant, I (2007) </w:t>
      </w:r>
      <w:r w:rsidRPr="007F6A09">
        <w:rPr>
          <w:rFonts w:ascii="Times New Roman" w:hAnsi="Times New Roman"/>
          <w:i/>
          <w:color w:val="000000" w:themeColor="text1"/>
          <w:sz w:val="24"/>
          <w:szCs w:val="24"/>
          <w:lang w:val="en-US"/>
        </w:rPr>
        <w:t>Lectures on pedagogy (1803)</w:t>
      </w:r>
      <w:r w:rsidRPr="007F6A09">
        <w:rPr>
          <w:rFonts w:ascii="Times New Roman" w:hAnsi="Times New Roman"/>
          <w:color w:val="000000" w:themeColor="text1"/>
          <w:sz w:val="24"/>
          <w:szCs w:val="24"/>
          <w:lang w:val="en-US"/>
        </w:rPr>
        <w:t xml:space="preserve"> En: Kant, I. Anthropology, History and Education. </w:t>
      </w:r>
      <w:r w:rsidRPr="007F6A09">
        <w:rPr>
          <w:rFonts w:ascii="Times New Roman" w:hAnsi="Times New Roman"/>
          <w:color w:val="000000" w:themeColor="text1"/>
          <w:sz w:val="24"/>
          <w:szCs w:val="24"/>
          <w:lang w:val="es-PE"/>
        </w:rPr>
        <w:t>Cambridge University Press.</w:t>
      </w:r>
    </w:p>
    <w:p w14:paraId="1A3857A8"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(1964) </w:t>
      </w:r>
      <w:r w:rsidRPr="007F6A09">
        <w:rPr>
          <w:rFonts w:ascii="Times New Roman" w:hAnsi="Times New Roman"/>
          <w:i/>
          <w:color w:val="000000" w:themeColor="text1"/>
          <w:sz w:val="24"/>
          <w:szCs w:val="24"/>
        </w:rPr>
        <w:t>Acerca de la relación entre la teoría y la práctica en el derecho político</w:t>
      </w:r>
      <w:r w:rsidRPr="007F6A09">
        <w:rPr>
          <w:rFonts w:ascii="Times New Roman" w:hAnsi="Times New Roman"/>
          <w:color w:val="000000" w:themeColor="text1"/>
          <w:sz w:val="24"/>
          <w:szCs w:val="24"/>
        </w:rPr>
        <w:t xml:space="preserve">. </w:t>
      </w:r>
      <w:r w:rsidRPr="007F6A09">
        <w:rPr>
          <w:rFonts w:ascii="Times New Roman" w:hAnsi="Times New Roman"/>
          <w:i/>
          <w:color w:val="000000" w:themeColor="text1"/>
          <w:sz w:val="24"/>
          <w:szCs w:val="24"/>
        </w:rPr>
        <w:t>(Contra Hobbes)</w:t>
      </w:r>
      <w:r w:rsidRPr="007F6A09">
        <w:rPr>
          <w:rFonts w:ascii="Times New Roman" w:hAnsi="Times New Roman"/>
          <w:color w:val="000000" w:themeColor="text1"/>
          <w:sz w:val="24"/>
          <w:szCs w:val="24"/>
        </w:rPr>
        <w:t xml:space="preserve"> (En: Kant, I. Filosofía de la historia. Ed. Nova)</w:t>
      </w:r>
      <w:r>
        <w:rPr>
          <w:rFonts w:ascii="Times New Roman" w:hAnsi="Times New Roman"/>
          <w:color w:val="000000" w:themeColor="text1"/>
          <w:sz w:val="24"/>
          <w:szCs w:val="24"/>
        </w:rPr>
        <w:t>.</w:t>
      </w:r>
    </w:p>
    <w:p w14:paraId="7E877762"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(1964) </w:t>
      </w:r>
      <w:r w:rsidRPr="007F6A09">
        <w:rPr>
          <w:rFonts w:ascii="Times New Roman" w:hAnsi="Times New Roman"/>
          <w:i/>
          <w:color w:val="000000" w:themeColor="text1"/>
          <w:sz w:val="24"/>
          <w:szCs w:val="24"/>
        </w:rPr>
        <w:t>Acerca de la relación entre la teoría y la práctica en la moral y en general</w:t>
      </w:r>
      <w:r w:rsidRPr="007F6A09">
        <w:rPr>
          <w:rFonts w:ascii="Times New Roman" w:hAnsi="Times New Roman"/>
          <w:color w:val="000000" w:themeColor="text1"/>
          <w:sz w:val="24"/>
          <w:szCs w:val="24"/>
        </w:rPr>
        <w:t>. (En: Kant, I. Filosofía de la historia. Ed. Nova)</w:t>
      </w:r>
      <w:r>
        <w:rPr>
          <w:rFonts w:ascii="Times New Roman" w:hAnsi="Times New Roman"/>
          <w:color w:val="000000" w:themeColor="text1"/>
          <w:sz w:val="24"/>
          <w:szCs w:val="24"/>
        </w:rPr>
        <w:t>.</w:t>
      </w:r>
    </w:p>
    <w:p w14:paraId="2DFBE303"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(1964) </w:t>
      </w:r>
      <w:r w:rsidRPr="007F6A09">
        <w:rPr>
          <w:rFonts w:ascii="Times New Roman" w:hAnsi="Times New Roman"/>
          <w:i/>
          <w:color w:val="000000" w:themeColor="text1"/>
          <w:sz w:val="24"/>
          <w:szCs w:val="24"/>
        </w:rPr>
        <w:t>Definición de la raza humana</w:t>
      </w:r>
      <w:r w:rsidRPr="007F6A09">
        <w:rPr>
          <w:rFonts w:ascii="Times New Roman" w:hAnsi="Times New Roman"/>
          <w:color w:val="000000" w:themeColor="text1"/>
          <w:sz w:val="24"/>
          <w:szCs w:val="24"/>
        </w:rPr>
        <w:t xml:space="preserve"> (En: Kant, I. Filosofía de la historia. Ed. Nova)</w:t>
      </w:r>
      <w:r>
        <w:rPr>
          <w:rFonts w:ascii="Times New Roman" w:hAnsi="Times New Roman"/>
          <w:color w:val="000000" w:themeColor="text1"/>
          <w:sz w:val="24"/>
          <w:szCs w:val="24"/>
        </w:rPr>
        <w:t>.</w:t>
      </w:r>
    </w:p>
    <w:p w14:paraId="3340C009" w14:textId="77777777" w:rsidR="0053194A" w:rsidRPr="007F6A09" w:rsidRDefault="0053194A" w:rsidP="00FD640E">
      <w:pPr>
        <w:tabs>
          <w:tab w:val="left" w:pos="6999"/>
        </w:tabs>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(1964) </w:t>
      </w:r>
      <w:r w:rsidRPr="007F6A09">
        <w:rPr>
          <w:rFonts w:ascii="Times New Roman" w:hAnsi="Times New Roman"/>
          <w:i/>
          <w:color w:val="000000" w:themeColor="text1"/>
          <w:sz w:val="24"/>
          <w:szCs w:val="24"/>
        </w:rPr>
        <w:t>Filosofía de la historia</w:t>
      </w:r>
      <w:r w:rsidRPr="007F6A09">
        <w:rPr>
          <w:rFonts w:ascii="Times New Roman" w:hAnsi="Times New Roman"/>
          <w:color w:val="000000" w:themeColor="text1"/>
          <w:sz w:val="24"/>
          <w:szCs w:val="24"/>
        </w:rPr>
        <w:t>. Ed. Nova.</w:t>
      </w:r>
      <w:r w:rsidRPr="007F6A09">
        <w:rPr>
          <w:rFonts w:ascii="Times New Roman" w:hAnsi="Times New Roman"/>
          <w:color w:val="000000" w:themeColor="text1"/>
          <w:sz w:val="24"/>
          <w:szCs w:val="24"/>
        </w:rPr>
        <w:tab/>
      </w:r>
    </w:p>
    <w:p w14:paraId="5613D9DB"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(1964) </w:t>
      </w:r>
      <w:r w:rsidRPr="007F6A09">
        <w:rPr>
          <w:rFonts w:ascii="Times New Roman" w:hAnsi="Times New Roman"/>
          <w:i/>
          <w:color w:val="000000" w:themeColor="text1"/>
          <w:sz w:val="24"/>
          <w:szCs w:val="24"/>
        </w:rPr>
        <w:t xml:space="preserve">Ideas para una historia universal en sentido cosmopolita </w:t>
      </w:r>
      <w:r w:rsidRPr="007F6A09">
        <w:rPr>
          <w:rFonts w:ascii="Times New Roman" w:hAnsi="Times New Roman"/>
          <w:color w:val="000000" w:themeColor="text1"/>
          <w:sz w:val="24"/>
          <w:szCs w:val="24"/>
        </w:rPr>
        <w:t>(En: Filosofía de la historia. Ed. Nova)</w:t>
      </w:r>
      <w:r>
        <w:rPr>
          <w:rFonts w:ascii="Times New Roman" w:hAnsi="Times New Roman"/>
          <w:color w:val="000000" w:themeColor="text1"/>
          <w:sz w:val="24"/>
          <w:szCs w:val="24"/>
        </w:rPr>
        <w:t>.</w:t>
      </w:r>
    </w:p>
    <w:p w14:paraId="5299966D"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(1964) </w:t>
      </w:r>
      <w:r w:rsidRPr="007F6A09">
        <w:rPr>
          <w:rFonts w:ascii="Times New Roman" w:hAnsi="Times New Roman"/>
          <w:i/>
          <w:color w:val="000000" w:themeColor="text1"/>
          <w:sz w:val="24"/>
          <w:szCs w:val="24"/>
        </w:rPr>
        <w:t>Replanteamiento de la cuestión sobre si el género humano se halla en continuo progreso hacia lo mejor</w:t>
      </w:r>
      <w:r w:rsidRPr="007F6A09">
        <w:rPr>
          <w:rFonts w:ascii="Times New Roman" w:hAnsi="Times New Roman"/>
          <w:color w:val="000000" w:themeColor="text1"/>
          <w:sz w:val="24"/>
          <w:szCs w:val="24"/>
        </w:rPr>
        <w:t>. (En: Filosofía de la historia. Ed. Nova)</w:t>
      </w:r>
      <w:r>
        <w:rPr>
          <w:rFonts w:ascii="Times New Roman" w:hAnsi="Times New Roman"/>
          <w:color w:val="000000" w:themeColor="text1"/>
          <w:sz w:val="24"/>
          <w:szCs w:val="24"/>
        </w:rPr>
        <w:t>.</w:t>
      </w:r>
    </w:p>
    <w:p w14:paraId="692CB4B4"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(1964) </w:t>
      </w:r>
      <w:r w:rsidRPr="007F6A09">
        <w:rPr>
          <w:rFonts w:ascii="Times New Roman" w:hAnsi="Times New Roman"/>
          <w:i/>
          <w:color w:val="000000" w:themeColor="text1"/>
          <w:sz w:val="24"/>
          <w:szCs w:val="24"/>
        </w:rPr>
        <w:t>Respuesta a la pregunta: ¿qué es la ilustración?</w:t>
      </w:r>
      <w:r w:rsidRPr="007F6A09">
        <w:rPr>
          <w:rFonts w:ascii="Times New Roman" w:hAnsi="Times New Roman"/>
          <w:color w:val="000000" w:themeColor="text1"/>
          <w:sz w:val="24"/>
          <w:szCs w:val="24"/>
        </w:rPr>
        <w:t xml:space="preserve"> (En: Kant, I. Filosofía de la historia. Ed. Nova)</w:t>
      </w:r>
      <w:r>
        <w:rPr>
          <w:rFonts w:ascii="Times New Roman" w:hAnsi="Times New Roman"/>
          <w:color w:val="000000" w:themeColor="text1"/>
          <w:sz w:val="24"/>
          <w:szCs w:val="24"/>
        </w:rPr>
        <w:t>.</w:t>
      </w:r>
    </w:p>
    <w:p w14:paraId="731D46D0" w14:textId="77777777" w:rsidR="0053194A" w:rsidRPr="007F6A09" w:rsidRDefault="0053194A" w:rsidP="00FD640E">
      <w:pPr>
        <w:ind w:left="720" w:hanging="720"/>
        <w:rPr>
          <w:rFonts w:ascii="Times New Roman" w:hAnsi="Times New Roman"/>
          <w:color w:val="000000" w:themeColor="text1"/>
          <w:sz w:val="24"/>
          <w:szCs w:val="24"/>
          <w:shd w:val="clear" w:color="auto" w:fill="FFFFFF"/>
        </w:rPr>
      </w:pPr>
      <w:r w:rsidRPr="007F6A09">
        <w:rPr>
          <w:rFonts w:ascii="Times New Roman" w:hAnsi="Times New Roman"/>
          <w:color w:val="000000" w:themeColor="text1"/>
          <w:sz w:val="24"/>
          <w:szCs w:val="24"/>
          <w:shd w:val="clear" w:color="auto" w:fill="FFFFFF"/>
        </w:rPr>
        <w:t xml:space="preserve">Kant, I. </w:t>
      </w:r>
      <w:r w:rsidRPr="007F6A09">
        <w:rPr>
          <w:rFonts w:ascii="Times New Roman" w:hAnsi="Times New Roman"/>
          <w:color w:val="000000" w:themeColor="text1"/>
          <w:sz w:val="24"/>
          <w:szCs w:val="24"/>
        </w:rPr>
        <w:t>(</w:t>
      </w:r>
      <w:r w:rsidRPr="007F6A09">
        <w:rPr>
          <w:rFonts w:ascii="Times New Roman" w:hAnsi="Times New Roman"/>
          <w:color w:val="000000" w:themeColor="text1"/>
          <w:sz w:val="24"/>
          <w:szCs w:val="24"/>
          <w:shd w:val="clear" w:color="auto" w:fill="FFFFFF"/>
        </w:rPr>
        <w:t>1980</w:t>
      </w:r>
      <w:r w:rsidRPr="007F6A09">
        <w:rPr>
          <w:rFonts w:ascii="Times New Roman" w:hAnsi="Times New Roman"/>
          <w:color w:val="000000" w:themeColor="text1"/>
          <w:sz w:val="24"/>
          <w:szCs w:val="24"/>
        </w:rPr>
        <w:t>)</w:t>
      </w:r>
      <w:r w:rsidRPr="007F6A09">
        <w:rPr>
          <w:rFonts w:ascii="Times New Roman" w:hAnsi="Times New Roman"/>
          <w:color w:val="000000" w:themeColor="text1"/>
          <w:sz w:val="24"/>
          <w:szCs w:val="24"/>
          <w:shd w:val="clear" w:color="auto" w:fill="FFFFFF"/>
        </w:rPr>
        <w:t xml:space="preserve"> </w:t>
      </w:r>
      <w:r w:rsidRPr="007F6A09">
        <w:rPr>
          <w:rFonts w:ascii="Times New Roman" w:hAnsi="Times New Roman"/>
          <w:i/>
          <w:color w:val="000000" w:themeColor="text1"/>
          <w:sz w:val="24"/>
          <w:szCs w:val="24"/>
          <w:shd w:val="clear" w:color="auto" w:fill="FFFFFF"/>
        </w:rPr>
        <w:t>La paz perpetua</w:t>
      </w:r>
      <w:r w:rsidRPr="007F6A09">
        <w:rPr>
          <w:rFonts w:ascii="Times New Roman" w:hAnsi="Times New Roman"/>
          <w:color w:val="000000" w:themeColor="text1"/>
          <w:sz w:val="24"/>
          <w:szCs w:val="24"/>
          <w:shd w:val="clear" w:color="auto" w:fill="FFFFFF"/>
        </w:rPr>
        <w:t>. (En: Kant, I. Fundamentación de la metafísica de las costumbres, Crítica de la razón práctica y la Paz perpetua. Ed. Porrúa)</w:t>
      </w:r>
      <w:r>
        <w:rPr>
          <w:rFonts w:ascii="Times New Roman" w:hAnsi="Times New Roman"/>
          <w:color w:val="000000" w:themeColor="text1"/>
          <w:sz w:val="24"/>
          <w:szCs w:val="24"/>
          <w:shd w:val="clear" w:color="auto" w:fill="FFFFFF"/>
        </w:rPr>
        <w:t>.</w:t>
      </w:r>
    </w:p>
    <w:p w14:paraId="45328935"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(1988) </w:t>
      </w:r>
      <w:r w:rsidRPr="007F6A09">
        <w:rPr>
          <w:rFonts w:ascii="Times New Roman" w:hAnsi="Times New Roman"/>
          <w:i/>
          <w:color w:val="000000" w:themeColor="text1"/>
          <w:sz w:val="24"/>
          <w:szCs w:val="24"/>
        </w:rPr>
        <w:t>Lecciones de ética</w:t>
      </w:r>
      <w:r w:rsidRPr="007F6A09">
        <w:rPr>
          <w:rFonts w:ascii="Times New Roman" w:hAnsi="Times New Roman"/>
          <w:color w:val="000000" w:themeColor="text1"/>
          <w:sz w:val="24"/>
          <w:szCs w:val="24"/>
        </w:rPr>
        <w:t>. Editorial Crítica.</w:t>
      </w:r>
    </w:p>
    <w:p w14:paraId="3EC6829B" w14:textId="77777777" w:rsidR="0053194A" w:rsidRPr="0053194A" w:rsidRDefault="0053194A" w:rsidP="00FD640E">
      <w:pPr>
        <w:ind w:left="720" w:hanging="720"/>
        <w:rPr>
          <w:rFonts w:ascii="Times New Roman" w:hAnsi="Times New Roman"/>
          <w:color w:val="000000" w:themeColor="text1"/>
          <w:sz w:val="24"/>
          <w:szCs w:val="24"/>
          <w:lang w:val="es-PE"/>
        </w:rPr>
      </w:pPr>
      <w:r w:rsidRPr="00906364">
        <w:rPr>
          <w:rFonts w:ascii="Times New Roman" w:hAnsi="Times New Roman"/>
          <w:color w:val="000000" w:themeColor="text1"/>
          <w:sz w:val="24"/>
          <w:szCs w:val="24"/>
          <w:lang w:val="es-PE"/>
        </w:rPr>
        <w:t xml:space="preserve">Kant, I. (1991) </w:t>
      </w:r>
      <w:r w:rsidRPr="00906364">
        <w:rPr>
          <w:rFonts w:ascii="Times New Roman" w:hAnsi="Times New Roman"/>
          <w:i/>
          <w:color w:val="000000" w:themeColor="text1"/>
          <w:sz w:val="24"/>
          <w:szCs w:val="24"/>
          <w:lang w:val="es-PE"/>
        </w:rPr>
        <w:t>Kant political writings</w:t>
      </w:r>
      <w:r w:rsidRPr="00906364">
        <w:rPr>
          <w:rFonts w:ascii="Times New Roman" w:hAnsi="Times New Roman"/>
          <w:color w:val="000000" w:themeColor="text1"/>
          <w:sz w:val="24"/>
          <w:szCs w:val="24"/>
          <w:lang w:val="es-PE"/>
        </w:rPr>
        <w:t xml:space="preserve">. </w:t>
      </w:r>
      <w:r>
        <w:rPr>
          <w:rFonts w:ascii="Times New Roman" w:hAnsi="Times New Roman"/>
          <w:color w:val="000000" w:themeColor="text1"/>
          <w:sz w:val="24"/>
          <w:szCs w:val="24"/>
          <w:lang w:val="en-US"/>
        </w:rPr>
        <w:t>Cambridge University Press. 2</w:t>
      </w:r>
      <w:r w:rsidRPr="00224BFC">
        <w:rPr>
          <w:rFonts w:ascii="Times New Roman" w:hAnsi="Times New Roman"/>
          <w:color w:val="000000" w:themeColor="text1"/>
          <w:sz w:val="24"/>
          <w:szCs w:val="24"/>
          <w:vertAlign w:val="superscript"/>
          <w:lang w:val="en-US"/>
        </w:rPr>
        <w:t>nd</w:t>
      </w:r>
      <w:r>
        <w:rPr>
          <w:rFonts w:ascii="Times New Roman" w:hAnsi="Times New Roman"/>
          <w:color w:val="000000" w:themeColor="text1"/>
          <w:sz w:val="24"/>
          <w:szCs w:val="24"/>
          <w:lang w:val="en-US"/>
        </w:rPr>
        <w:t xml:space="preserve"> edition</w:t>
      </w:r>
      <w:r w:rsidRPr="007F6A09">
        <w:rPr>
          <w:rFonts w:ascii="Times New Roman" w:hAnsi="Times New Roman"/>
          <w:color w:val="000000" w:themeColor="text1"/>
          <w:sz w:val="24"/>
          <w:szCs w:val="24"/>
          <w:lang w:val="en-US"/>
        </w:rPr>
        <w:t>.</w:t>
      </w:r>
      <w:r>
        <w:rPr>
          <w:rFonts w:ascii="Times New Roman" w:hAnsi="Times New Roman"/>
          <w:color w:val="000000" w:themeColor="text1"/>
          <w:sz w:val="24"/>
          <w:szCs w:val="24"/>
          <w:lang w:val="en-US"/>
        </w:rPr>
        <w:t xml:space="preserve"> </w:t>
      </w:r>
      <w:r w:rsidRPr="0053194A">
        <w:rPr>
          <w:rFonts w:ascii="Times New Roman" w:hAnsi="Times New Roman"/>
          <w:color w:val="000000" w:themeColor="text1"/>
          <w:sz w:val="24"/>
          <w:szCs w:val="24"/>
          <w:lang w:val="es-PE"/>
        </w:rPr>
        <w:t>Edited by: H.S. Reiss</w:t>
      </w:r>
    </w:p>
    <w:p w14:paraId="608D51AB"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(2000) </w:t>
      </w:r>
      <w:r w:rsidRPr="007F6A09">
        <w:rPr>
          <w:rFonts w:ascii="Times New Roman" w:hAnsi="Times New Roman"/>
          <w:i/>
          <w:color w:val="000000" w:themeColor="text1"/>
          <w:sz w:val="24"/>
          <w:szCs w:val="24"/>
        </w:rPr>
        <w:t>Crítica de la razón práctica</w:t>
      </w:r>
      <w:r w:rsidRPr="007F6A09">
        <w:rPr>
          <w:rFonts w:ascii="Times New Roman" w:hAnsi="Times New Roman"/>
          <w:color w:val="000000" w:themeColor="text1"/>
          <w:sz w:val="24"/>
          <w:szCs w:val="24"/>
        </w:rPr>
        <w:t>. Alianza Editorial.</w:t>
      </w:r>
    </w:p>
    <w:p w14:paraId="2882F366"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(2005) </w:t>
      </w:r>
      <w:r w:rsidRPr="007F6A09">
        <w:rPr>
          <w:rFonts w:ascii="Times New Roman" w:hAnsi="Times New Roman"/>
          <w:i/>
          <w:color w:val="000000" w:themeColor="text1"/>
          <w:sz w:val="24"/>
          <w:szCs w:val="24"/>
        </w:rPr>
        <w:t>Cómo orientarse en el pensamiento</w:t>
      </w:r>
      <w:r w:rsidRPr="007F6A09">
        <w:rPr>
          <w:rFonts w:ascii="Times New Roman" w:hAnsi="Times New Roman"/>
          <w:color w:val="000000" w:themeColor="text1"/>
          <w:sz w:val="24"/>
          <w:szCs w:val="24"/>
        </w:rPr>
        <w:t>. Ed. Quadrata.</w:t>
      </w:r>
    </w:p>
    <w:p w14:paraId="42C06792" w14:textId="77777777" w:rsidR="0053194A" w:rsidRPr="007F6A09" w:rsidRDefault="0053194A" w:rsidP="00FD640E">
      <w:pPr>
        <w:ind w:left="720" w:hanging="720"/>
        <w:rPr>
          <w:rFonts w:ascii="Times New Roman" w:hAnsi="Times New Roman"/>
          <w:color w:val="000000" w:themeColor="text1"/>
          <w:sz w:val="24"/>
          <w:szCs w:val="24"/>
        </w:rPr>
      </w:pPr>
      <w:r w:rsidRPr="007F6A09">
        <w:rPr>
          <w:rFonts w:ascii="Times New Roman" w:hAnsi="Times New Roman"/>
          <w:color w:val="000000" w:themeColor="text1"/>
          <w:sz w:val="24"/>
          <w:szCs w:val="24"/>
        </w:rPr>
        <w:t xml:space="preserve">Kant, I. (2008) </w:t>
      </w:r>
      <w:r w:rsidRPr="007F6A09">
        <w:rPr>
          <w:rFonts w:ascii="Times New Roman" w:hAnsi="Times New Roman"/>
          <w:i/>
          <w:color w:val="000000" w:themeColor="text1"/>
          <w:sz w:val="24"/>
          <w:szCs w:val="24"/>
        </w:rPr>
        <w:t>Fundamentación de la metafísica de las costumbres</w:t>
      </w:r>
      <w:r w:rsidRPr="007F6A09">
        <w:rPr>
          <w:rFonts w:ascii="Times New Roman" w:hAnsi="Times New Roman"/>
          <w:color w:val="000000" w:themeColor="text1"/>
          <w:sz w:val="24"/>
          <w:szCs w:val="24"/>
        </w:rPr>
        <w:t>. Ed. Austral.</w:t>
      </w:r>
    </w:p>
    <w:p w14:paraId="6A522BDF" w14:textId="77777777" w:rsidR="0053194A" w:rsidRPr="007F6A09" w:rsidRDefault="0053194A" w:rsidP="00FD640E">
      <w:pPr>
        <w:ind w:left="720" w:hanging="720"/>
        <w:rPr>
          <w:rFonts w:ascii="Times New Roman" w:hAnsi="Times New Roman"/>
          <w:color w:val="000000" w:themeColor="text1"/>
          <w:sz w:val="24"/>
          <w:szCs w:val="24"/>
          <w:shd w:val="clear" w:color="auto" w:fill="FFFFFF"/>
        </w:rPr>
      </w:pPr>
      <w:r w:rsidRPr="007F6A09">
        <w:rPr>
          <w:rFonts w:ascii="Times New Roman" w:hAnsi="Times New Roman"/>
          <w:color w:val="000000" w:themeColor="text1"/>
          <w:sz w:val="24"/>
          <w:szCs w:val="24"/>
          <w:shd w:val="clear" w:color="auto" w:fill="FFFFFF"/>
        </w:rPr>
        <w:lastRenderedPageBreak/>
        <w:t xml:space="preserve">Kant, I. </w:t>
      </w:r>
      <w:r w:rsidRPr="007F6A09">
        <w:rPr>
          <w:rFonts w:ascii="Times New Roman" w:hAnsi="Times New Roman"/>
          <w:color w:val="000000" w:themeColor="text1"/>
          <w:sz w:val="24"/>
          <w:szCs w:val="24"/>
        </w:rPr>
        <w:t>(</w:t>
      </w:r>
      <w:r w:rsidRPr="007F6A09">
        <w:rPr>
          <w:rFonts w:ascii="Times New Roman" w:hAnsi="Times New Roman"/>
          <w:color w:val="000000" w:themeColor="text1"/>
          <w:sz w:val="24"/>
          <w:szCs w:val="24"/>
          <w:shd w:val="clear" w:color="auto" w:fill="FFFFFF"/>
        </w:rPr>
        <w:t>2008</w:t>
      </w:r>
      <w:r w:rsidRPr="007F6A09">
        <w:rPr>
          <w:rFonts w:ascii="Times New Roman" w:hAnsi="Times New Roman"/>
          <w:color w:val="000000" w:themeColor="text1"/>
          <w:sz w:val="24"/>
          <w:szCs w:val="24"/>
        </w:rPr>
        <w:t>)</w:t>
      </w:r>
      <w:r w:rsidRPr="007F6A09">
        <w:rPr>
          <w:rFonts w:ascii="Times New Roman" w:hAnsi="Times New Roman"/>
          <w:color w:val="000000" w:themeColor="text1"/>
          <w:sz w:val="24"/>
          <w:szCs w:val="24"/>
          <w:shd w:val="clear" w:color="auto" w:fill="FFFFFF"/>
        </w:rPr>
        <w:t xml:space="preserve"> </w:t>
      </w:r>
      <w:r w:rsidRPr="007F6A09">
        <w:rPr>
          <w:rFonts w:ascii="Times New Roman" w:hAnsi="Times New Roman"/>
          <w:i/>
          <w:color w:val="000000" w:themeColor="text1"/>
          <w:sz w:val="24"/>
          <w:szCs w:val="24"/>
          <w:shd w:val="clear" w:color="auto" w:fill="FFFFFF"/>
        </w:rPr>
        <w:t>Principios metafísicos del derecho</w:t>
      </w:r>
      <w:r w:rsidRPr="007F6A09">
        <w:rPr>
          <w:rFonts w:ascii="Times New Roman" w:hAnsi="Times New Roman"/>
          <w:color w:val="000000" w:themeColor="text1"/>
          <w:sz w:val="24"/>
          <w:szCs w:val="24"/>
          <w:shd w:val="clear" w:color="auto" w:fill="FFFFFF"/>
        </w:rPr>
        <w:t>. Trad. G. Lizarraga. Ed. Renacimiento.</w:t>
      </w:r>
    </w:p>
    <w:p w14:paraId="6D69F010" w14:textId="77777777" w:rsidR="0053194A" w:rsidRPr="007F6A09" w:rsidRDefault="0053194A" w:rsidP="00FD640E">
      <w:pPr>
        <w:ind w:left="720" w:hanging="720"/>
        <w:rPr>
          <w:rFonts w:ascii="Times New Roman" w:hAnsi="Times New Roman"/>
          <w:color w:val="000000" w:themeColor="text1"/>
          <w:sz w:val="24"/>
          <w:szCs w:val="24"/>
          <w:shd w:val="clear" w:color="auto" w:fill="FFFFFF"/>
          <w:lang w:val="es-PE"/>
        </w:rPr>
      </w:pPr>
      <w:r w:rsidRPr="007F6A09">
        <w:rPr>
          <w:rFonts w:ascii="Times New Roman" w:hAnsi="Times New Roman"/>
          <w:color w:val="000000" w:themeColor="text1"/>
          <w:sz w:val="24"/>
          <w:szCs w:val="24"/>
          <w:shd w:val="clear" w:color="auto" w:fill="FFFFFF"/>
        </w:rPr>
        <w:t xml:space="preserve">Kant, I. </w:t>
      </w:r>
      <w:r w:rsidRPr="007F6A09">
        <w:rPr>
          <w:rFonts w:ascii="Times New Roman" w:hAnsi="Times New Roman"/>
          <w:color w:val="000000" w:themeColor="text1"/>
          <w:sz w:val="24"/>
          <w:szCs w:val="24"/>
        </w:rPr>
        <w:t>(</w:t>
      </w:r>
      <w:r w:rsidRPr="007F6A09">
        <w:rPr>
          <w:rFonts w:ascii="Times New Roman" w:hAnsi="Times New Roman"/>
          <w:color w:val="000000" w:themeColor="text1"/>
          <w:sz w:val="24"/>
          <w:szCs w:val="24"/>
          <w:shd w:val="clear" w:color="auto" w:fill="FFFFFF"/>
        </w:rPr>
        <w:t>2009</w:t>
      </w:r>
      <w:r w:rsidRPr="007F6A09">
        <w:rPr>
          <w:rFonts w:ascii="Times New Roman" w:hAnsi="Times New Roman"/>
          <w:color w:val="000000" w:themeColor="text1"/>
          <w:sz w:val="24"/>
          <w:szCs w:val="24"/>
        </w:rPr>
        <w:t>)</w:t>
      </w:r>
      <w:r w:rsidRPr="007F6A09">
        <w:rPr>
          <w:rFonts w:ascii="Times New Roman" w:hAnsi="Times New Roman"/>
          <w:color w:val="000000" w:themeColor="text1"/>
          <w:sz w:val="24"/>
          <w:szCs w:val="24"/>
          <w:shd w:val="clear" w:color="auto" w:fill="FFFFFF"/>
        </w:rPr>
        <w:t xml:space="preserve"> </w:t>
      </w:r>
      <w:r w:rsidRPr="007F6A09">
        <w:rPr>
          <w:rFonts w:ascii="Times New Roman" w:hAnsi="Times New Roman"/>
          <w:i/>
          <w:color w:val="000000" w:themeColor="text1"/>
          <w:sz w:val="24"/>
          <w:szCs w:val="24"/>
          <w:shd w:val="clear" w:color="auto" w:fill="FFFFFF"/>
        </w:rPr>
        <w:t>Sobre Pedagogía</w:t>
      </w:r>
      <w:r w:rsidRPr="007F6A09">
        <w:rPr>
          <w:rFonts w:ascii="Times New Roman" w:hAnsi="Times New Roman"/>
          <w:color w:val="000000" w:themeColor="text1"/>
          <w:sz w:val="24"/>
          <w:szCs w:val="24"/>
          <w:shd w:val="clear" w:color="auto" w:fill="FFFFFF"/>
        </w:rPr>
        <w:t xml:space="preserve">. Universidad Nacional de Córdoba. </w:t>
      </w:r>
      <w:r w:rsidRPr="007F6A09">
        <w:rPr>
          <w:rFonts w:ascii="Times New Roman" w:hAnsi="Times New Roman"/>
          <w:color w:val="000000" w:themeColor="text1"/>
          <w:sz w:val="24"/>
          <w:szCs w:val="24"/>
          <w:shd w:val="clear" w:color="auto" w:fill="FFFFFF"/>
          <w:lang w:val="es-PE"/>
        </w:rPr>
        <w:t xml:space="preserve">Encuentro Grupo Editor. </w:t>
      </w:r>
    </w:p>
    <w:sectPr w:rsidR="0053194A" w:rsidRPr="007F6A09" w:rsidSect="004D6F59">
      <w:footerReference w:type="default" r:id="rId9"/>
      <w:pgSz w:w="11906" w:h="16838"/>
      <w:pgMar w:top="1258" w:right="1286" w:bottom="719" w:left="9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6453" w14:textId="77777777" w:rsidR="00990C42" w:rsidRDefault="00990C42" w:rsidP="009D68C6">
      <w:pPr>
        <w:spacing w:after="0"/>
      </w:pPr>
      <w:r>
        <w:separator/>
      </w:r>
    </w:p>
  </w:endnote>
  <w:endnote w:type="continuationSeparator" w:id="0">
    <w:p w14:paraId="2B2A4776" w14:textId="77777777" w:rsidR="00990C42" w:rsidRDefault="00990C42" w:rsidP="009D68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CA74" w14:textId="0AEF1392" w:rsidR="00C70353" w:rsidRPr="00142CCE" w:rsidRDefault="00C70353" w:rsidP="00142CCE">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E3642" w14:textId="77777777" w:rsidR="00990C42" w:rsidRDefault="00990C42" w:rsidP="009D68C6">
      <w:pPr>
        <w:spacing w:after="0"/>
      </w:pPr>
      <w:r>
        <w:separator/>
      </w:r>
    </w:p>
  </w:footnote>
  <w:footnote w:type="continuationSeparator" w:id="0">
    <w:p w14:paraId="79499EA0" w14:textId="77777777" w:rsidR="00990C42" w:rsidRDefault="00990C42" w:rsidP="009D68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F08"/>
    <w:multiLevelType w:val="hybridMultilevel"/>
    <w:tmpl w:val="071E7AF4"/>
    <w:lvl w:ilvl="0" w:tplc="280A000F">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F5A03C9"/>
    <w:multiLevelType w:val="hybridMultilevel"/>
    <w:tmpl w:val="6CC8ADEE"/>
    <w:lvl w:ilvl="0" w:tplc="BB0A21AA">
      <w:numFmt w:val="bullet"/>
      <w:lvlText w:val="-"/>
      <w:lvlJc w:val="left"/>
      <w:pPr>
        <w:ind w:left="720" w:hanging="360"/>
      </w:pPr>
      <w:rPr>
        <w:rFonts w:ascii="Calibri" w:eastAsia="Calibri" w:hAnsi="Calibri" w:cs="Calibri" w:hint="default"/>
      </w:rPr>
    </w:lvl>
    <w:lvl w:ilvl="1" w:tplc="F704E0AC">
      <w:numFmt w:val="bullet"/>
      <w:lvlText w:val="–"/>
      <w:lvlJc w:val="left"/>
      <w:pPr>
        <w:ind w:left="1440" w:hanging="360"/>
      </w:pPr>
      <w:rPr>
        <w:rFonts w:ascii="Calibri" w:eastAsia="Calibri"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4841D46"/>
    <w:multiLevelType w:val="hybridMultilevel"/>
    <w:tmpl w:val="9366145C"/>
    <w:lvl w:ilvl="0" w:tplc="BB0A21AA">
      <w:numFmt w:val="bullet"/>
      <w:lvlText w:val="-"/>
      <w:lvlJc w:val="left"/>
      <w:pPr>
        <w:ind w:left="720" w:hanging="360"/>
      </w:pPr>
      <w:rPr>
        <w:rFonts w:ascii="Calibri" w:eastAsia="Calibri" w:hAnsi="Calibri" w:cs="Calibri" w:hint="default"/>
      </w:rPr>
    </w:lvl>
    <w:lvl w:ilvl="1" w:tplc="280A0005">
      <w:start w:val="1"/>
      <w:numFmt w:val="bullet"/>
      <w:lvlText w:val=""/>
      <w:lvlJc w:val="left"/>
      <w:pPr>
        <w:ind w:left="1440" w:hanging="360"/>
      </w:pPr>
      <w:rPr>
        <w:rFonts w:ascii="Wingdings" w:hAnsi="Wingdings"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32B0055"/>
    <w:multiLevelType w:val="hybridMultilevel"/>
    <w:tmpl w:val="7640E0A2"/>
    <w:lvl w:ilvl="0" w:tplc="280A000F">
      <w:start w:val="1"/>
      <w:numFmt w:val="decimal"/>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4" w15:restartNumberingAfterBreak="0">
    <w:nsid w:val="4D6854FA"/>
    <w:multiLevelType w:val="hybridMultilevel"/>
    <w:tmpl w:val="9D682FFE"/>
    <w:lvl w:ilvl="0" w:tplc="BB0A21AA">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005126E"/>
    <w:multiLevelType w:val="hybridMultilevel"/>
    <w:tmpl w:val="582A9FB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44F13BC"/>
    <w:multiLevelType w:val="multilevel"/>
    <w:tmpl w:val="9A2AA28A"/>
    <w:lvl w:ilvl="0">
      <w:start w:val="1"/>
      <w:numFmt w:val="decimal"/>
      <w:lvlText w:val="%1"/>
      <w:lvlJc w:val="left"/>
      <w:pPr>
        <w:ind w:left="360" w:hanging="360"/>
      </w:pPr>
      <w:rPr>
        <w:rFonts w:hint="default"/>
      </w:rPr>
    </w:lvl>
    <w:lvl w:ilvl="1">
      <w:start w:val="1"/>
      <w:numFmt w:val="decimal"/>
      <w:lvlText w:val="%1.%2"/>
      <w:lvlJc w:val="left"/>
      <w:pPr>
        <w:ind w:left="2648" w:hanging="360"/>
      </w:pPr>
      <w:rPr>
        <w:rFonts w:hint="default"/>
      </w:rPr>
    </w:lvl>
    <w:lvl w:ilvl="2">
      <w:start w:val="1"/>
      <w:numFmt w:val="decimal"/>
      <w:lvlText w:val="%1.%2.%3"/>
      <w:lvlJc w:val="left"/>
      <w:pPr>
        <w:ind w:left="5296" w:hanging="720"/>
      </w:pPr>
      <w:rPr>
        <w:rFonts w:hint="default"/>
      </w:rPr>
    </w:lvl>
    <w:lvl w:ilvl="3">
      <w:start w:val="1"/>
      <w:numFmt w:val="decimal"/>
      <w:lvlText w:val="%1.%2.%3.%4"/>
      <w:lvlJc w:val="left"/>
      <w:pPr>
        <w:ind w:left="7584" w:hanging="720"/>
      </w:pPr>
      <w:rPr>
        <w:rFonts w:hint="default"/>
      </w:rPr>
    </w:lvl>
    <w:lvl w:ilvl="4">
      <w:start w:val="1"/>
      <w:numFmt w:val="decimal"/>
      <w:lvlText w:val="%1.%2.%3.%4.%5"/>
      <w:lvlJc w:val="left"/>
      <w:pPr>
        <w:ind w:left="10232" w:hanging="1080"/>
      </w:pPr>
      <w:rPr>
        <w:rFonts w:hint="default"/>
      </w:rPr>
    </w:lvl>
    <w:lvl w:ilvl="5">
      <w:start w:val="1"/>
      <w:numFmt w:val="decimal"/>
      <w:lvlText w:val="%1.%2.%3.%4.%5.%6"/>
      <w:lvlJc w:val="left"/>
      <w:pPr>
        <w:ind w:left="12520" w:hanging="1080"/>
      </w:pPr>
      <w:rPr>
        <w:rFonts w:hint="default"/>
      </w:rPr>
    </w:lvl>
    <w:lvl w:ilvl="6">
      <w:start w:val="1"/>
      <w:numFmt w:val="decimal"/>
      <w:lvlText w:val="%1.%2.%3.%4.%5.%6.%7"/>
      <w:lvlJc w:val="left"/>
      <w:pPr>
        <w:ind w:left="15168" w:hanging="1440"/>
      </w:pPr>
      <w:rPr>
        <w:rFonts w:hint="default"/>
      </w:rPr>
    </w:lvl>
    <w:lvl w:ilvl="7">
      <w:start w:val="1"/>
      <w:numFmt w:val="decimal"/>
      <w:lvlText w:val="%1.%2.%3.%4.%5.%6.%7.%8"/>
      <w:lvlJc w:val="left"/>
      <w:pPr>
        <w:ind w:left="17456" w:hanging="1440"/>
      </w:pPr>
      <w:rPr>
        <w:rFonts w:hint="default"/>
      </w:rPr>
    </w:lvl>
    <w:lvl w:ilvl="8">
      <w:start w:val="1"/>
      <w:numFmt w:val="decimal"/>
      <w:lvlText w:val="%1.%2.%3.%4.%5.%6.%7.%8.%9"/>
      <w:lvlJc w:val="left"/>
      <w:pPr>
        <w:ind w:left="20104" w:hanging="1800"/>
      </w:pPr>
      <w:rPr>
        <w:rFonts w:hint="default"/>
      </w:rPr>
    </w:lvl>
  </w:abstractNum>
  <w:abstractNum w:abstractNumId="7" w15:restartNumberingAfterBreak="0">
    <w:nsid w:val="5ABE0058"/>
    <w:multiLevelType w:val="multilevel"/>
    <w:tmpl w:val="280A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04B6F36"/>
    <w:multiLevelType w:val="hybridMultilevel"/>
    <w:tmpl w:val="63DA38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5181D0B"/>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5C45631"/>
    <w:multiLevelType w:val="hybridMultilevel"/>
    <w:tmpl w:val="E7D2E484"/>
    <w:lvl w:ilvl="0" w:tplc="02641226">
      <w:start w:val="1"/>
      <w:numFmt w:val="decimal"/>
      <w:lvlText w:val="%1."/>
      <w:lvlJc w:val="left"/>
      <w:pPr>
        <w:ind w:left="1568" w:hanging="360"/>
      </w:pPr>
      <w:rPr>
        <w:rFonts w:hint="default"/>
      </w:rPr>
    </w:lvl>
    <w:lvl w:ilvl="1" w:tplc="280A0019">
      <w:start w:val="1"/>
      <w:numFmt w:val="lowerLetter"/>
      <w:lvlText w:val="%2."/>
      <w:lvlJc w:val="left"/>
      <w:pPr>
        <w:ind w:left="2288" w:hanging="360"/>
      </w:pPr>
    </w:lvl>
    <w:lvl w:ilvl="2" w:tplc="280A001B">
      <w:start w:val="1"/>
      <w:numFmt w:val="lowerRoman"/>
      <w:lvlText w:val="%3."/>
      <w:lvlJc w:val="right"/>
      <w:pPr>
        <w:ind w:left="3008" w:hanging="180"/>
      </w:pPr>
    </w:lvl>
    <w:lvl w:ilvl="3" w:tplc="280A000F" w:tentative="1">
      <w:start w:val="1"/>
      <w:numFmt w:val="decimal"/>
      <w:lvlText w:val="%4."/>
      <w:lvlJc w:val="left"/>
      <w:pPr>
        <w:ind w:left="3728" w:hanging="360"/>
      </w:pPr>
    </w:lvl>
    <w:lvl w:ilvl="4" w:tplc="280A0019" w:tentative="1">
      <w:start w:val="1"/>
      <w:numFmt w:val="lowerLetter"/>
      <w:lvlText w:val="%5."/>
      <w:lvlJc w:val="left"/>
      <w:pPr>
        <w:ind w:left="4448" w:hanging="360"/>
      </w:pPr>
    </w:lvl>
    <w:lvl w:ilvl="5" w:tplc="280A001B" w:tentative="1">
      <w:start w:val="1"/>
      <w:numFmt w:val="lowerRoman"/>
      <w:lvlText w:val="%6."/>
      <w:lvlJc w:val="right"/>
      <w:pPr>
        <w:ind w:left="5168" w:hanging="180"/>
      </w:pPr>
    </w:lvl>
    <w:lvl w:ilvl="6" w:tplc="280A000F" w:tentative="1">
      <w:start w:val="1"/>
      <w:numFmt w:val="decimal"/>
      <w:lvlText w:val="%7."/>
      <w:lvlJc w:val="left"/>
      <w:pPr>
        <w:ind w:left="5888" w:hanging="360"/>
      </w:pPr>
    </w:lvl>
    <w:lvl w:ilvl="7" w:tplc="280A0019" w:tentative="1">
      <w:start w:val="1"/>
      <w:numFmt w:val="lowerLetter"/>
      <w:lvlText w:val="%8."/>
      <w:lvlJc w:val="left"/>
      <w:pPr>
        <w:ind w:left="6608" w:hanging="360"/>
      </w:pPr>
    </w:lvl>
    <w:lvl w:ilvl="8" w:tplc="280A001B" w:tentative="1">
      <w:start w:val="1"/>
      <w:numFmt w:val="lowerRoman"/>
      <w:lvlText w:val="%9."/>
      <w:lvlJc w:val="right"/>
      <w:pPr>
        <w:ind w:left="7328" w:hanging="180"/>
      </w:pPr>
    </w:lvl>
  </w:abstractNum>
  <w:abstractNum w:abstractNumId="11" w15:restartNumberingAfterBreak="0">
    <w:nsid w:val="6FA25F6C"/>
    <w:multiLevelType w:val="multilevel"/>
    <w:tmpl w:val="1396AF1A"/>
    <w:lvl w:ilvl="0">
      <w:start w:val="1"/>
      <w:numFmt w:val="decimal"/>
      <w:lvlText w:val="%1"/>
      <w:lvlJc w:val="left"/>
      <w:pPr>
        <w:ind w:left="540" w:hanging="540"/>
      </w:pPr>
      <w:rPr>
        <w:rFonts w:hint="default"/>
      </w:rPr>
    </w:lvl>
    <w:lvl w:ilvl="1">
      <w:start w:val="1"/>
      <w:numFmt w:val="decimal"/>
      <w:lvlText w:val="%1.%2"/>
      <w:lvlJc w:val="left"/>
      <w:pPr>
        <w:ind w:left="892" w:hanging="54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2" w15:restartNumberingAfterBreak="0">
    <w:nsid w:val="79807E1A"/>
    <w:multiLevelType w:val="hybridMultilevel"/>
    <w:tmpl w:val="1270D6EE"/>
    <w:lvl w:ilvl="0" w:tplc="1B8E6B0E">
      <w:start w:val="1"/>
      <w:numFmt w:val="decimal"/>
      <w:lvlText w:val="%1."/>
      <w:lvlJc w:val="left"/>
      <w:pPr>
        <w:tabs>
          <w:tab w:val="num" w:pos="720"/>
        </w:tabs>
        <w:ind w:left="720" w:hanging="360"/>
      </w:pPr>
    </w:lvl>
    <w:lvl w:ilvl="1" w:tplc="963AA4BC">
      <w:start w:val="1"/>
      <w:numFmt w:val="decimal"/>
      <w:lvlText w:val="%2."/>
      <w:lvlJc w:val="left"/>
      <w:pPr>
        <w:tabs>
          <w:tab w:val="num" w:pos="1440"/>
        </w:tabs>
        <w:ind w:left="1440" w:hanging="360"/>
      </w:pPr>
    </w:lvl>
    <w:lvl w:ilvl="2" w:tplc="54A0046A" w:tentative="1">
      <w:start w:val="1"/>
      <w:numFmt w:val="decimal"/>
      <w:lvlText w:val="%3."/>
      <w:lvlJc w:val="left"/>
      <w:pPr>
        <w:tabs>
          <w:tab w:val="num" w:pos="2160"/>
        </w:tabs>
        <w:ind w:left="2160" w:hanging="360"/>
      </w:pPr>
    </w:lvl>
    <w:lvl w:ilvl="3" w:tplc="AF7821BA" w:tentative="1">
      <w:start w:val="1"/>
      <w:numFmt w:val="decimal"/>
      <w:lvlText w:val="%4."/>
      <w:lvlJc w:val="left"/>
      <w:pPr>
        <w:tabs>
          <w:tab w:val="num" w:pos="2880"/>
        </w:tabs>
        <w:ind w:left="2880" w:hanging="360"/>
      </w:pPr>
    </w:lvl>
    <w:lvl w:ilvl="4" w:tplc="4C8299FE" w:tentative="1">
      <w:start w:val="1"/>
      <w:numFmt w:val="decimal"/>
      <w:lvlText w:val="%5."/>
      <w:lvlJc w:val="left"/>
      <w:pPr>
        <w:tabs>
          <w:tab w:val="num" w:pos="3600"/>
        </w:tabs>
        <w:ind w:left="3600" w:hanging="360"/>
      </w:pPr>
    </w:lvl>
    <w:lvl w:ilvl="5" w:tplc="428C6292" w:tentative="1">
      <w:start w:val="1"/>
      <w:numFmt w:val="decimal"/>
      <w:lvlText w:val="%6."/>
      <w:lvlJc w:val="left"/>
      <w:pPr>
        <w:tabs>
          <w:tab w:val="num" w:pos="4320"/>
        </w:tabs>
        <w:ind w:left="4320" w:hanging="360"/>
      </w:pPr>
    </w:lvl>
    <w:lvl w:ilvl="6" w:tplc="E0860D88" w:tentative="1">
      <w:start w:val="1"/>
      <w:numFmt w:val="decimal"/>
      <w:lvlText w:val="%7."/>
      <w:lvlJc w:val="left"/>
      <w:pPr>
        <w:tabs>
          <w:tab w:val="num" w:pos="5040"/>
        </w:tabs>
        <w:ind w:left="5040" w:hanging="360"/>
      </w:pPr>
    </w:lvl>
    <w:lvl w:ilvl="7" w:tplc="887EC4C6" w:tentative="1">
      <w:start w:val="1"/>
      <w:numFmt w:val="decimal"/>
      <w:lvlText w:val="%8."/>
      <w:lvlJc w:val="left"/>
      <w:pPr>
        <w:tabs>
          <w:tab w:val="num" w:pos="5760"/>
        </w:tabs>
        <w:ind w:left="5760" w:hanging="360"/>
      </w:pPr>
    </w:lvl>
    <w:lvl w:ilvl="8" w:tplc="8F46F000" w:tentative="1">
      <w:start w:val="1"/>
      <w:numFmt w:val="decimal"/>
      <w:lvlText w:val="%9."/>
      <w:lvlJc w:val="left"/>
      <w:pPr>
        <w:tabs>
          <w:tab w:val="num" w:pos="6480"/>
        </w:tabs>
        <w:ind w:left="6480" w:hanging="360"/>
      </w:pPr>
    </w:lvl>
  </w:abstractNum>
  <w:num w:numId="1" w16cid:durableId="1602643551">
    <w:abstractNumId w:val="8"/>
  </w:num>
  <w:num w:numId="2" w16cid:durableId="1082609318">
    <w:abstractNumId w:val="1"/>
  </w:num>
  <w:num w:numId="3" w16cid:durableId="1622953391">
    <w:abstractNumId w:val="4"/>
  </w:num>
  <w:num w:numId="4" w16cid:durableId="1839031692">
    <w:abstractNumId w:val="2"/>
  </w:num>
  <w:num w:numId="5" w16cid:durableId="993414838">
    <w:abstractNumId w:val="10"/>
  </w:num>
  <w:num w:numId="6" w16cid:durableId="1752391562">
    <w:abstractNumId w:val="6"/>
  </w:num>
  <w:num w:numId="7" w16cid:durableId="386340578">
    <w:abstractNumId w:val="5"/>
  </w:num>
  <w:num w:numId="8" w16cid:durableId="1641573121">
    <w:abstractNumId w:val="9"/>
  </w:num>
  <w:num w:numId="9" w16cid:durableId="75127630">
    <w:abstractNumId w:val="7"/>
  </w:num>
  <w:num w:numId="10" w16cid:durableId="228343604">
    <w:abstractNumId w:val="11"/>
  </w:num>
  <w:num w:numId="11" w16cid:durableId="1492791566">
    <w:abstractNumId w:val="12"/>
  </w:num>
  <w:num w:numId="12" w16cid:durableId="474954717">
    <w:abstractNumId w:val="3"/>
  </w:num>
  <w:num w:numId="13" w16cid:durableId="199749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06F"/>
    <w:rsid w:val="00006502"/>
    <w:rsid w:val="000118D6"/>
    <w:rsid w:val="0001204D"/>
    <w:rsid w:val="00012D31"/>
    <w:rsid w:val="00016F85"/>
    <w:rsid w:val="0002460B"/>
    <w:rsid w:val="00030023"/>
    <w:rsid w:val="000456DE"/>
    <w:rsid w:val="000579A5"/>
    <w:rsid w:val="00082AEC"/>
    <w:rsid w:val="00093230"/>
    <w:rsid w:val="000C28E2"/>
    <w:rsid w:val="000C5F0A"/>
    <w:rsid w:val="001021DB"/>
    <w:rsid w:val="00142CCE"/>
    <w:rsid w:val="00146F30"/>
    <w:rsid w:val="0015708E"/>
    <w:rsid w:val="00181DF7"/>
    <w:rsid w:val="001849CF"/>
    <w:rsid w:val="001A4A4E"/>
    <w:rsid w:val="001B160C"/>
    <w:rsid w:val="001C3C74"/>
    <w:rsid w:val="001C42CE"/>
    <w:rsid w:val="001E7D25"/>
    <w:rsid w:val="001F2CFD"/>
    <w:rsid w:val="00221647"/>
    <w:rsid w:val="00221EA0"/>
    <w:rsid w:val="0022282F"/>
    <w:rsid w:val="0022477D"/>
    <w:rsid w:val="00224BFC"/>
    <w:rsid w:val="0024775F"/>
    <w:rsid w:val="00253251"/>
    <w:rsid w:val="00257CC9"/>
    <w:rsid w:val="00260FA5"/>
    <w:rsid w:val="002A0259"/>
    <w:rsid w:val="002C4DC0"/>
    <w:rsid w:val="002D16D8"/>
    <w:rsid w:val="002D6030"/>
    <w:rsid w:val="002E7504"/>
    <w:rsid w:val="00305637"/>
    <w:rsid w:val="00344A3A"/>
    <w:rsid w:val="00345DD4"/>
    <w:rsid w:val="0036068F"/>
    <w:rsid w:val="00362F97"/>
    <w:rsid w:val="003636BE"/>
    <w:rsid w:val="003A3918"/>
    <w:rsid w:val="003A3FCE"/>
    <w:rsid w:val="003B09AD"/>
    <w:rsid w:val="003C5BE8"/>
    <w:rsid w:val="003E6635"/>
    <w:rsid w:val="003F175F"/>
    <w:rsid w:val="003F5346"/>
    <w:rsid w:val="00401C62"/>
    <w:rsid w:val="0041160A"/>
    <w:rsid w:val="00413498"/>
    <w:rsid w:val="0042630B"/>
    <w:rsid w:val="0044264B"/>
    <w:rsid w:val="00467DA3"/>
    <w:rsid w:val="00480E46"/>
    <w:rsid w:val="00485B5E"/>
    <w:rsid w:val="00486A97"/>
    <w:rsid w:val="004923F7"/>
    <w:rsid w:val="004C47E3"/>
    <w:rsid w:val="004C6A7C"/>
    <w:rsid w:val="004D1FE4"/>
    <w:rsid w:val="004D2757"/>
    <w:rsid w:val="004D6F59"/>
    <w:rsid w:val="004E0972"/>
    <w:rsid w:val="004E21A1"/>
    <w:rsid w:val="005053CF"/>
    <w:rsid w:val="005151E6"/>
    <w:rsid w:val="0053194A"/>
    <w:rsid w:val="005413D1"/>
    <w:rsid w:val="005461B6"/>
    <w:rsid w:val="00546B0C"/>
    <w:rsid w:val="00547243"/>
    <w:rsid w:val="0056347B"/>
    <w:rsid w:val="00571017"/>
    <w:rsid w:val="0058245D"/>
    <w:rsid w:val="00582B36"/>
    <w:rsid w:val="0059506F"/>
    <w:rsid w:val="00595D08"/>
    <w:rsid w:val="005C0AC4"/>
    <w:rsid w:val="005C119C"/>
    <w:rsid w:val="005D3006"/>
    <w:rsid w:val="005E70F3"/>
    <w:rsid w:val="00603D19"/>
    <w:rsid w:val="006109CD"/>
    <w:rsid w:val="00626073"/>
    <w:rsid w:val="0063446B"/>
    <w:rsid w:val="00637B48"/>
    <w:rsid w:val="00650071"/>
    <w:rsid w:val="006659D6"/>
    <w:rsid w:val="00667ACD"/>
    <w:rsid w:val="00670045"/>
    <w:rsid w:val="006772CC"/>
    <w:rsid w:val="006A6307"/>
    <w:rsid w:val="006A6B85"/>
    <w:rsid w:val="006B3C72"/>
    <w:rsid w:val="006E7E5C"/>
    <w:rsid w:val="007175F4"/>
    <w:rsid w:val="00722904"/>
    <w:rsid w:val="00727187"/>
    <w:rsid w:val="00743A23"/>
    <w:rsid w:val="007472AC"/>
    <w:rsid w:val="007613D9"/>
    <w:rsid w:val="00763EE7"/>
    <w:rsid w:val="00764BE2"/>
    <w:rsid w:val="0078142B"/>
    <w:rsid w:val="00785AA6"/>
    <w:rsid w:val="007923B4"/>
    <w:rsid w:val="00792903"/>
    <w:rsid w:val="007D56F2"/>
    <w:rsid w:val="007E26C3"/>
    <w:rsid w:val="007F4A95"/>
    <w:rsid w:val="007F6A09"/>
    <w:rsid w:val="00805613"/>
    <w:rsid w:val="008338D4"/>
    <w:rsid w:val="008338F6"/>
    <w:rsid w:val="008345DF"/>
    <w:rsid w:val="008421EB"/>
    <w:rsid w:val="008447D3"/>
    <w:rsid w:val="00867B89"/>
    <w:rsid w:val="0088383A"/>
    <w:rsid w:val="008919A1"/>
    <w:rsid w:val="008A09C8"/>
    <w:rsid w:val="008B421F"/>
    <w:rsid w:val="008C3BAC"/>
    <w:rsid w:val="008E442E"/>
    <w:rsid w:val="008F0E12"/>
    <w:rsid w:val="00906364"/>
    <w:rsid w:val="00912E61"/>
    <w:rsid w:val="009171AC"/>
    <w:rsid w:val="009221F8"/>
    <w:rsid w:val="00943972"/>
    <w:rsid w:val="00947EC7"/>
    <w:rsid w:val="00950556"/>
    <w:rsid w:val="00955CB5"/>
    <w:rsid w:val="00956B83"/>
    <w:rsid w:val="0096191F"/>
    <w:rsid w:val="009670F6"/>
    <w:rsid w:val="00983D16"/>
    <w:rsid w:val="00990C42"/>
    <w:rsid w:val="00996E14"/>
    <w:rsid w:val="009A0424"/>
    <w:rsid w:val="009D68C6"/>
    <w:rsid w:val="009F33DB"/>
    <w:rsid w:val="00A207C4"/>
    <w:rsid w:val="00A2393F"/>
    <w:rsid w:val="00A50FD4"/>
    <w:rsid w:val="00A6064D"/>
    <w:rsid w:val="00A75EE6"/>
    <w:rsid w:val="00A773A3"/>
    <w:rsid w:val="00A776A8"/>
    <w:rsid w:val="00AA0BCF"/>
    <w:rsid w:val="00AA1BB6"/>
    <w:rsid w:val="00AB0472"/>
    <w:rsid w:val="00AB2716"/>
    <w:rsid w:val="00AB3D03"/>
    <w:rsid w:val="00AB5D2F"/>
    <w:rsid w:val="00AE19BB"/>
    <w:rsid w:val="00AE213D"/>
    <w:rsid w:val="00AE59D1"/>
    <w:rsid w:val="00AF356E"/>
    <w:rsid w:val="00B03708"/>
    <w:rsid w:val="00B07851"/>
    <w:rsid w:val="00B12968"/>
    <w:rsid w:val="00B23E42"/>
    <w:rsid w:val="00B23FB4"/>
    <w:rsid w:val="00B33392"/>
    <w:rsid w:val="00B35EBF"/>
    <w:rsid w:val="00B477FD"/>
    <w:rsid w:val="00B66254"/>
    <w:rsid w:val="00B74E9C"/>
    <w:rsid w:val="00B75096"/>
    <w:rsid w:val="00B82E6A"/>
    <w:rsid w:val="00BA1161"/>
    <w:rsid w:val="00BB37F3"/>
    <w:rsid w:val="00BB3FDB"/>
    <w:rsid w:val="00BC02DB"/>
    <w:rsid w:val="00BD201A"/>
    <w:rsid w:val="00BE06C4"/>
    <w:rsid w:val="00BE5392"/>
    <w:rsid w:val="00BF62E2"/>
    <w:rsid w:val="00C15C65"/>
    <w:rsid w:val="00C15DD7"/>
    <w:rsid w:val="00C269F0"/>
    <w:rsid w:val="00C31200"/>
    <w:rsid w:val="00C378C5"/>
    <w:rsid w:val="00C45F37"/>
    <w:rsid w:val="00C4780B"/>
    <w:rsid w:val="00C56A66"/>
    <w:rsid w:val="00C61C41"/>
    <w:rsid w:val="00C70353"/>
    <w:rsid w:val="00C719CB"/>
    <w:rsid w:val="00C71A59"/>
    <w:rsid w:val="00C86637"/>
    <w:rsid w:val="00CA130A"/>
    <w:rsid w:val="00CB20CE"/>
    <w:rsid w:val="00CC0594"/>
    <w:rsid w:val="00CC754A"/>
    <w:rsid w:val="00CD128E"/>
    <w:rsid w:val="00CD22AF"/>
    <w:rsid w:val="00CD6E35"/>
    <w:rsid w:val="00CF5D3B"/>
    <w:rsid w:val="00D0232F"/>
    <w:rsid w:val="00D17845"/>
    <w:rsid w:val="00D24D13"/>
    <w:rsid w:val="00D25DDD"/>
    <w:rsid w:val="00D3497E"/>
    <w:rsid w:val="00D472A6"/>
    <w:rsid w:val="00D71BB3"/>
    <w:rsid w:val="00D84ED6"/>
    <w:rsid w:val="00D924A5"/>
    <w:rsid w:val="00D97548"/>
    <w:rsid w:val="00DA0E0D"/>
    <w:rsid w:val="00DA561E"/>
    <w:rsid w:val="00DB230D"/>
    <w:rsid w:val="00DC27EE"/>
    <w:rsid w:val="00DD38B7"/>
    <w:rsid w:val="00DE201A"/>
    <w:rsid w:val="00DE2556"/>
    <w:rsid w:val="00E06599"/>
    <w:rsid w:val="00E6376B"/>
    <w:rsid w:val="00E72780"/>
    <w:rsid w:val="00E73EDB"/>
    <w:rsid w:val="00E75882"/>
    <w:rsid w:val="00E766EF"/>
    <w:rsid w:val="00EA5D6C"/>
    <w:rsid w:val="00EC01FE"/>
    <w:rsid w:val="00EC6EBD"/>
    <w:rsid w:val="00ED3D93"/>
    <w:rsid w:val="00EE2053"/>
    <w:rsid w:val="00EE2816"/>
    <w:rsid w:val="00EF2256"/>
    <w:rsid w:val="00F02564"/>
    <w:rsid w:val="00F0673E"/>
    <w:rsid w:val="00F3015F"/>
    <w:rsid w:val="00F34D3C"/>
    <w:rsid w:val="00F352CC"/>
    <w:rsid w:val="00F439D7"/>
    <w:rsid w:val="00F47A7B"/>
    <w:rsid w:val="00F723A2"/>
    <w:rsid w:val="00F72B85"/>
    <w:rsid w:val="00F84828"/>
    <w:rsid w:val="00F866BC"/>
    <w:rsid w:val="00F959B6"/>
    <w:rsid w:val="00F95A84"/>
    <w:rsid w:val="00F96821"/>
    <w:rsid w:val="00FB1B79"/>
    <w:rsid w:val="00FB6BD7"/>
    <w:rsid w:val="00FC2FB0"/>
    <w:rsid w:val="00FC4FF3"/>
    <w:rsid w:val="00FD3637"/>
    <w:rsid w:val="00FD640E"/>
    <w:rsid w:val="00FE1D01"/>
    <w:rsid w:val="00FE6BE5"/>
    <w:rsid w:val="00FF1D48"/>
    <w:rsid w:val="37384B14"/>
    <w:rsid w:val="60761C6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C06AC"/>
  <w15:chartTrackingRefBased/>
  <w15:docId w15:val="{2C7E4C46-AC97-4065-9E85-A0927264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9D6"/>
    <w:pPr>
      <w:spacing w:after="200"/>
      <w:ind w:left="851" w:firstLine="357"/>
      <w:jc w:val="both"/>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FD3637"/>
    <w:rPr>
      <w:b/>
      <w:bCs/>
    </w:rPr>
  </w:style>
  <w:style w:type="paragraph" w:styleId="NoSpacing">
    <w:name w:val="No Spacing"/>
    <w:uiPriority w:val="1"/>
    <w:qFormat/>
    <w:rsid w:val="00AE213D"/>
    <w:pPr>
      <w:ind w:left="851" w:firstLine="357"/>
      <w:jc w:val="both"/>
    </w:pPr>
    <w:rPr>
      <w:sz w:val="22"/>
      <w:szCs w:val="22"/>
      <w:lang w:eastAsia="en-US"/>
    </w:rPr>
  </w:style>
  <w:style w:type="paragraph" w:styleId="Header">
    <w:name w:val="header"/>
    <w:basedOn w:val="Normal"/>
    <w:link w:val="HeaderChar"/>
    <w:uiPriority w:val="99"/>
    <w:unhideWhenUsed/>
    <w:rsid w:val="009D68C6"/>
    <w:pPr>
      <w:tabs>
        <w:tab w:val="center" w:pos="4252"/>
        <w:tab w:val="right" w:pos="8504"/>
      </w:tabs>
    </w:pPr>
  </w:style>
  <w:style w:type="character" w:customStyle="1" w:styleId="HeaderChar">
    <w:name w:val="Header Char"/>
    <w:link w:val="Header"/>
    <w:uiPriority w:val="99"/>
    <w:rsid w:val="009D68C6"/>
    <w:rPr>
      <w:sz w:val="22"/>
      <w:szCs w:val="22"/>
      <w:lang w:val="es-ES" w:eastAsia="en-US"/>
    </w:rPr>
  </w:style>
  <w:style w:type="paragraph" w:styleId="Footer">
    <w:name w:val="footer"/>
    <w:basedOn w:val="Normal"/>
    <w:link w:val="FooterChar"/>
    <w:uiPriority w:val="99"/>
    <w:unhideWhenUsed/>
    <w:rsid w:val="009D68C6"/>
    <w:pPr>
      <w:tabs>
        <w:tab w:val="center" w:pos="4252"/>
        <w:tab w:val="right" w:pos="8504"/>
      </w:tabs>
    </w:pPr>
  </w:style>
  <w:style w:type="character" w:customStyle="1" w:styleId="FooterChar">
    <w:name w:val="Footer Char"/>
    <w:link w:val="Footer"/>
    <w:uiPriority w:val="99"/>
    <w:rsid w:val="009D68C6"/>
    <w:rPr>
      <w:sz w:val="22"/>
      <w:szCs w:val="22"/>
      <w:lang w:val="es-ES" w:eastAsia="en-US"/>
    </w:rPr>
  </w:style>
  <w:style w:type="paragraph" w:styleId="ListParagraph">
    <w:name w:val="List Paragraph"/>
    <w:basedOn w:val="Normal"/>
    <w:uiPriority w:val="34"/>
    <w:qFormat/>
    <w:rsid w:val="00142CCE"/>
    <w:pPr>
      <w:ind w:left="720"/>
      <w:contextualSpacing/>
    </w:pPr>
  </w:style>
  <w:style w:type="paragraph" w:styleId="FootnoteText">
    <w:name w:val="footnote text"/>
    <w:basedOn w:val="Normal"/>
    <w:link w:val="FootnoteTextChar"/>
    <w:uiPriority w:val="99"/>
    <w:semiHidden/>
    <w:unhideWhenUsed/>
    <w:rsid w:val="00FC4FF3"/>
    <w:pPr>
      <w:spacing w:after="0"/>
    </w:pPr>
    <w:rPr>
      <w:sz w:val="20"/>
      <w:szCs w:val="20"/>
    </w:rPr>
  </w:style>
  <w:style w:type="character" w:customStyle="1" w:styleId="FootnoteTextChar">
    <w:name w:val="Footnote Text Char"/>
    <w:basedOn w:val="DefaultParagraphFont"/>
    <w:link w:val="FootnoteText"/>
    <w:uiPriority w:val="99"/>
    <w:semiHidden/>
    <w:rsid w:val="00FC4FF3"/>
    <w:rPr>
      <w:lang w:eastAsia="en-US"/>
    </w:rPr>
  </w:style>
  <w:style w:type="character" w:styleId="FootnoteReference">
    <w:name w:val="footnote reference"/>
    <w:basedOn w:val="DefaultParagraphFont"/>
    <w:uiPriority w:val="99"/>
    <w:semiHidden/>
    <w:unhideWhenUsed/>
    <w:rsid w:val="00FC4FF3"/>
    <w:rPr>
      <w:vertAlign w:val="superscript"/>
    </w:rPr>
  </w:style>
  <w:style w:type="character" w:styleId="Hyperlink">
    <w:name w:val="Hyperlink"/>
    <w:basedOn w:val="DefaultParagraphFont"/>
    <w:uiPriority w:val="99"/>
    <w:unhideWhenUsed/>
    <w:rsid w:val="00FC4F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576177">
      <w:bodyDiv w:val="1"/>
      <w:marLeft w:val="0"/>
      <w:marRight w:val="0"/>
      <w:marTop w:val="0"/>
      <w:marBottom w:val="0"/>
      <w:divBdr>
        <w:top w:val="none" w:sz="0" w:space="0" w:color="auto"/>
        <w:left w:val="none" w:sz="0" w:space="0" w:color="auto"/>
        <w:bottom w:val="none" w:sz="0" w:space="0" w:color="auto"/>
        <w:right w:val="none" w:sz="0" w:space="0" w:color="auto"/>
      </w:divBdr>
    </w:div>
    <w:div w:id="169981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1AB7B-46E0-4463-9DAF-CA49B5CCE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77</Pages>
  <Words>29679</Words>
  <Characters>163236</Characters>
  <Application>Microsoft Office Word</Application>
  <DocSecurity>0</DocSecurity>
  <Lines>1360</Lines>
  <Paragraphs>385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UARM</Company>
  <LinksUpToDate>false</LinksUpToDate>
  <CharactersWithSpaces>192530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eruiz</dc:creator>
  <cp:keywords/>
  <dc:description/>
  <cp:lastModifiedBy>F. Garcìa Alcalà</cp:lastModifiedBy>
  <cp:revision>16</cp:revision>
  <dcterms:created xsi:type="dcterms:W3CDTF">2025-10-15T05:14:00Z</dcterms:created>
  <dcterms:modified xsi:type="dcterms:W3CDTF">2026-07-26T22:00:00Z</dcterms:modified>
</cp:coreProperties>
</file>