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53BAD9E6" w:rsidR="0053194A" w:rsidRPr="0053194A" w:rsidRDefault="000579A5"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Delimitación del concepto de “Libertad Externa” </w:t>
      </w:r>
      <w:r w:rsidR="00012D31">
        <w:rPr>
          <w:rFonts w:ascii="Times New Roman" w:hAnsi="Times New Roman"/>
          <w:b/>
          <w:bCs/>
          <w:sz w:val="24"/>
          <w:szCs w:val="24"/>
          <w:lang w:val="es-PE"/>
        </w:rPr>
        <w:t xml:space="preserve">en el pensamiento político </w:t>
      </w:r>
      <w:r>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14C36B88" w14:textId="028A1C1D" w:rsidR="00B35EBF" w:rsidRPr="009D68C6" w:rsidRDefault="00F866BC" w:rsidP="00FD640E">
      <w:pPr>
        <w:ind w:left="0" w:firstLine="0"/>
        <w:jc w:val="center"/>
        <w:rPr>
          <w:rFonts w:ascii="Times New Roman" w:hAnsi="Times New Roman"/>
          <w:b/>
          <w:color w:val="1F4E79"/>
          <w:sz w:val="24"/>
          <w:szCs w:val="24"/>
        </w:rPr>
      </w:pPr>
      <w:r w:rsidRPr="009D68C6">
        <w:rPr>
          <w:rFonts w:ascii="Times New Roman" w:hAnsi="Times New Roman"/>
          <w:b/>
          <w:sz w:val="24"/>
          <w:szCs w:val="24"/>
        </w:rPr>
        <w:t>Plan de Tesis</w:t>
      </w:r>
    </w:p>
    <w:p w14:paraId="0D0B940D" w14:textId="77777777" w:rsidR="00F866BC" w:rsidRPr="009D68C6" w:rsidRDefault="00F866BC"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Default="0053194A" w:rsidP="000579A5">
      <w:pPr>
        <w:spacing w:line="360" w:lineRule="auto"/>
        <w:ind w:left="0" w:firstLine="0"/>
        <w:jc w:val="center"/>
        <w:rPr>
          <w:rFonts w:ascii="Times New Roman" w:hAnsi="Times New Roman"/>
          <w:b/>
          <w:sz w:val="24"/>
          <w:szCs w:val="24"/>
          <w:u w:val="single"/>
        </w:rPr>
      </w:pPr>
      <w:r>
        <w:rPr>
          <w:rFonts w:ascii="Times New Roman" w:hAnsi="Times New Roman"/>
          <w:b/>
          <w:sz w:val="24"/>
          <w:szCs w:val="24"/>
          <w:u w:val="single"/>
        </w:rPr>
        <w:lastRenderedPageBreak/>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44A913F4"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36</w:t>
      </w:r>
    </w:p>
    <w:p w14:paraId="2C1D3811" w14:textId="4C345A68"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58</w:t>
      </w:r>
    </w:p>
    <w:p w14:paraId="28CC157C" w14:textId="75059AD1"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P.75</w:t>
      </w:r>
    </w:p>
    <w:p w14:paraId="5CA3ADCF" w14:textId="53F2C9BB"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3F194D">
        <w:rPr>
          <w:rFonts w:ascii="Times New Roman" w:hAnsi="Times New Roman"/>
          <w:sz w:val="24"/>
          <w:szCs w:val="24"/>
        </w:rPr>
        <w:t>77</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3E368E59"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delimitar </w:t>
      </w:r>
      <w:r w:rsidR="00E65BF8">
        <w:rPr>
          <w:rFonts w:ascii="Times New Roman" w:hAnsi="Times New Roman"/>
          <w:sz w:val="24"/>
          <w:szCs w:val="24"/>
        </w:rPr>
        <w:t>la idea</w:t>
      </w:r>
      <w:r w:rsidRPr="009666E0">
        <w:rPr>
          <w:rFonts w:ascii="Times New Roman" w:hAnsi="Times New Roman"/>
          <w:sz w:val="24"/>
          <w:szCs w:val="24"/>
        </w:rPr>
        <w:t xml:space="preserve"> de libertad externa en la filosofía política y del derecho de Kant. Para ello, 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3827C8B6"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En este sentido, la filosofía del derecho y política de Kant, corresponden a un esfuerzo de sistematizar principios normativos metafísicos mediante el uso práctico de la razón. </w:t>
      </w:r>
    </w:p>
    <w:p w14:paraId="3B1E5ABF" w14:textId="36830F38"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Esto equivale a decir que</w:t>
      </w:r>
      <w:r w:rsidR="00E65BF8">
        <w:rPr>
          <w:rFonts w:ascii="Times New Roman" w:hAnsi="Times New Roman"/>
          <w:sz w:val="24"/>
          <w:szCs w:val="24"/>
        </w:rPr>
        <w:t xml:space="preserve"> el nuevo tipo de metafísica crítica que propone Kant</w:t>
      </w:r>
      <w:r w:rsidRPr="009666E0">
        <w:rPr>
          <w:rFonts w:ascii="Times New Roman" w:hAnsi="Times New Roman"/>
          <w:sz w:val="24"/>
          <w:szCs w:val="24"/>
        </w:rPr>
        <w:t xml:space="preserve"> no es una descripción de la realidad, ni que se pued</w:t>
      </w:r>
      <w:r w:rsidR="005C45A0">
        <w:rPr>
          <w:rFonts w:ascii="Times New Roman" w:hAnsi="Times New Roman"/>
          <w:sz w:val="24"/>
          <w:szCs w:val="24"/>
        </w:rPr>
        <w:t>a</w:t>
      </w:r>
      <w:r w:rsidRPr="009666E0">
        <w:rPr>
          <w:rFonts w:ascii="Times New Roman" w:hAnsi="Times New Roman"/>
          <w:sz w:val="24"/>
          <w:szCs w:val="24"/>
        </w:rPr>
        <w:t>n encontrar tales principios normativos en la experiencia</w:t>
      </w:r>
      <w:r w:rsidR="005C45A0">
        <w:rPr>
          <w:rFonts w:ascii="Times New Roman" w:hAnsi="Times New Roman"/>
          <w:sz w:val="24"/>
          <w:szCs w:val="24"/>
        </w:rPr>
        <w:t xml:space="preserve"> antropológica</w:t>
      </w:r>
      <w:r w:rsidRPr="009666E0">
        <w:rPr>
          <w:rFonts w:ascii="Times New Roman" w:hAnsi="Times New Roman"/>
          <w:sz w:val="24"/>
          <w:szCs w:val="24"/>
        </w:rPr>
        <w:t>. La fuerza normativa de las ideas tiene un carácter distinto que la observación empírica, porque se funda en conceptos a priori que la razón formula en un esfuerzo, primero para cohesionar el sentido de la experiencia, y luego, orientada hacia la consecución práctica de los objetivos humanos.</w:t>
      </w:r>
    </w:p>
    <w:p w14:paraId="1801968D" w14:textId="77777777"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extensión 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se guía por máximas que la razón produce. </w:t>
      </w:r>
    </w:p>
    <w:p w14:paraId="168C1D38" w14:textId="26574CE4"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Podemos decir que, para Kant, el ser humano tiene dos dimensiones complementarias y coexistentes. Por un lado, su cuerpo físico está restringido por las leyes naturales, y, por lo tanto, tiene un grado de determinación. Por otro lado, el uso de su razón le hace pertenecer a un ámbito en que </w:t>
      </w:r>
      <w:r w:rsidR="000018E1">
        <w:rPr>
          <w:rFonts w:ascii="Times New Roman" w:hAnsi="Times New Roman"/>
          <w:sz w:val="24"/>
          <w:szCs w:val="24"/>
        </w:rPr>
        <w:t xml:space="preserve">se puede dirigir mediante ideas que regulen sus actos. En este sentido, el ser humano </w:t>
      </w:r>
      <w:r w:rsidRPr="009666E0">
        <w:rPr>
          <w:rFonts w:ascii="Times New Roman" w:hAnsi="Times New Roman"/>
          <w:sz w:val="24"/>
          <w:szCs w:val="24"/>
        </w:rPr>
        <w:t xml:space="preserve">tiene una libertad que trasciende lo físico, en la medida en que existe autodeterminación para actuar. Kant pone el énfasis en la dirección del arbitrio mediante las </w:t>
      </w:r>
      <w:r w:rsidRPr="009666E0">
        <w:rPr>
          <w:rFonts w:ascii="Times New Roman" w:hAnsi="Times New Roman"/>
          <w:sz w:val="24"/>
          <w:szCs w:val="24"/>
        </w:rPr>
        <w:lastRenderedPageBreak/>
        <w:t>máximas de la razón, y solo en este sentido moral, se entiende como libre.</w:t>
      </w:r>
      <w:r w:rsidR="00DE7576">
        <w:rPr>
          <w:rFonts w:ascii="Times New Roman" w:hAnsi="Times New Roman"/>
          <w:sz w:val="24"/>
          <w:szCs w:val="24"/>
        </w:rPr>
        <w:t xml:space="preserve"> Esto supone que la persona es libre en cuanto tiene la autodeterminación de su razón en la generación de las máximas por las cuales se guía en su conducta. </w:t>
      </w:r>
      <w:r w:rsidRPr="009666E0">
        <w:rPr>
          <w:rFonts w:ascii="Times New Roman" w:hAnsi="Times New Roman"/>
          <w:sz w:val="24"/>
          <w:szCs w:val="24"/>
        </w:rPr>
        <w:t xml:space="preserve"> </w:t>
      </w:r>
    </w:p>
    <w:p w14:paraId="184999EE" w14:textId="77777777"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 es interior, pero para entender el complejo fenómeno social en donde diversos individuos se encuentran y se influyen recíprocamente, y al considerar la necesidad de entrar en relaciones civiles, es que hace falta extender la idea de libertad interior o moral, hacia un concepto de libertad de los actos exteriores.</w:t>
      </w:r>
    </w:p>
    <w:p w14:paraId="5AA2F5DC" w14:textId="193D259B"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La necesidad de extender las leyes interiores hacia una racionalidad de las leyes exteriores, suponen un fundamento jurídico que establece la condición civil como tal y permite que se despliegue </w:t>
      </w:r>
      <w:r w:rsidR="000018E1">
        <w:rPr>
          <w:rFonts w:ascii="Times New Roman" w:hAnsi="Times New Roman"/>
          <w:sz w:val="24"/>
          <w:szCs w:val="24"/>
        </w:rPr>
        <w:t xml:space="preserve">en </w:t>
      </w:r>
      <w:r w:rsidRPr="009666E0">
        <w:rPr>
          <w:rFonts w:ascii="Times New Roman" w:hAnsi="Times New Roman"/>
          <w:sz w:val="24"/>
          <w:szCs w:val="24"/>
        </w:rPr>
        <w:t xml:space="preserve">un orden público. Para esta extensión, es fundamental el concepto de libertad externa.  </w:t>
      </w:r>
    </w:p>
    <w:p w14:paraId="38BECDD1" w14:textId="77777777"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tiene diversas dimensiones que habremos de revisar sobre 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equitativa, y cómo se asocia a la soberanía, el consentimiento y el uso legítimo de la fuerza pública. </w:t>
      </w:r>
    </w:p>
    <w:p w14:paraId="589B6AE5" w14:textId="128B26F8" w:rsidR="00670045" w:rsidRPr="009666E0" w:rsidRDefault="00670045" w:rsidP="00670045">
      <w:pPr>
        <w:spacing w:line="360" w:lineRule="auto"/>
        <w:ind w:firstLine="708"/>
        <w:rPr>
          <w:rFonts w:ascii="Times New Roman" w:hAnsi="Times New Roman"/>
          <w:sz w:val="24"/>
          <w:szCs w:val="24"/>
        </w:rPr>
      </w:pPr>
      <w:r>
        <w:rPr>
          <w:rFonts w:ascii="Times New Roman" w:hAnsi="Times New Roman"/>
          <w:sz w:val="24"/>
          <w:szCs w:val="24"/>
        </w:rPr>
        <w:t xml:space="preserve">Se propone el siguiente esquema de desarrollo. </w:t>
      </w:r>
    </w:p>
    <w:p w14:paraId="1693E9D5" w14:textId="77777777" w:rsidR="00670045" w:rsidRPr="00670045" w:rsidRDefault="00670045" w:rsidP="00670045">
      <w:pPr>
        <w:ind w:firstLine="708"/>
        <w:rPr>
          <w:rFonts w:ascii="Times New Roman" w:hAnsi="Times New Roman"/>
        </w:rPr>
      </w:pPr>
      <w:r w:rsidRPr="00670045">
        <w:rPr>
          <w:rFonts w:ascii="Times New Roman" w:hAnsi="Times New Roman"/>
        </w:rPr>
        <w:t>1.</w:t>
      </w:r>
      <w:r w:rsidRPr="00670045">
        <w:rPr>
          <w:rFonts w:ascii="Times New Roman" w:hAnsi="Times New Roman"/>
        </w:rPr>
        <w:tab/>
        <w:t>La libertad exterior en Kant</w:t>
      </w:r>
    </w:p>
    <w:p w14:paraId="437E3E16" w14:textId="0A6A713D" w:rsidR="00670045" w:rsidRPr="00670045" w:rsidRDefault="00670045" w:rsidP="00030023">
      <w:pPr>
        <w:ind w:left="1416" w:firstLine="708"/>
        <w:rPr>
          <w:rFonts w:ascii="Times New Roman" w:hAnsi="Times New Roman"/>
        </w:rPr>
      </w:pPr>
      <w:r w:rsidRPr="00670045">
        <w:rPr>
          <w:rFonts w:ascii="Times New Roman" w:hAnsi="Times New Roman"/>
        </w:rPr>
        <w:t>1.1.</w:t>
      </w:r>
      <w:r w:rsidRPr="00670045">
        <w:rPr>
          <w:rFonts w:ascii="Times New Roman" w:hAnsi="Times New Roman"/>
        </w:rPr>
        <w:tab/>
        <w:t>Distinción entre libertad interior y exterior</w:t>
      </w:r>
    </w:p>
    <w:p w14:paraId="5D20A430" w14:textId="77777777" w:rsidR="00670045" w:rsidRPr="00670045" w:rsidRDefault="00670045" w:rsidP="00030023">
      <w:pPr>
        <w:ind w:left="2124" w:firstLine="708"/>
        <w:rPr>
          <w:rFonts w:ascii="Times New Roman" w:hAnsi="Times New Roman"/>
        </w:rPr>
      </w:pPr>
      <w:r w:rsidRPr="00670045">
        <w:rPr>
          <w:rFonts w:ascii="Times New Roman" w:hAnsi="Times New Roman"/>
        </w:rPr>
        <w:t>1.1.1</w:t>
      </w:r>
      <w:r w:rsidRPr="00670045">
        <w:rPr>
          <w:rFonts w:ascii="Times New Roman" w:hAnsi="Times New Roman"/>
        </w:rPr>
        <w:tab/>
        <w:t>Relación entre las facultades del alma y las leyes morales</w:t>
      </w:r>
    </w:p>
    <w:p w14:paraId="00348745" w14:textId="77777777" w:rsidR="00670045" w:rsidRPr="00670045" w:rsidRDefault="00670045" w:rsidP="00030023">
      <w:pPr>
        <w:ind w:left="2124" w:firstLine="708"/>
        <w:rPr>
          <w:rFonts w:ascii="Times New Roman" w:hAnsi="Times New Roman"/>
        </w:rPr>
      </w:pPr>
      <w:r w:rsidRPr="00670045">
        <w:rPr>
          <w:rFonts w:ascii="Times New Roman" w:hAnsi="Times New Roman"/>
        </w:rPr>
        <w:t>1.1.2</w:t>
      </w:r>
      <w:r w:rsidRPr="00670045">
        <w:rPr>
          <w:rFonts w:ascii="Times New Roman" w:hAnsi="Times New Roman"/>
        </w:rPr>
        <w:tab/>
        <w:t>Sobre la necesidad de una metafísica de las costumbres</w:t>
      </w:r>
    </w:p>
    <w:p w14:paraId="062D7AF6" w14:textId="77777777" w:rsidR="00670045" w:rsidRPr="00670045" w:rsidRDefault="00670045" w:rsidP="00030023">
      <w:pPr>
        <w:ind w:left="2124" w:firstLine="708"/>
        <w:rPr>
          <w:rFonts w:ascii="Times New Roman" w:hAnsi="Times New Roman"/>
        </w:rPr>
      </w:pPr>
      <w:r w:rsidRPr="00670045">
        <w:rPr>
          <w:rFonts w:ascii="Times New Roman" w:hAnsi="Times New Roman"/>
        </w:rPr>
        <w:t>1.1.3</w:t>
      </w:r>
      <w:r w:rsidRPr="00670045">
        <w:rPr>
          <w:rFonts w:ascii="Times New Roman" w:hAnsi="Times New Roman"/>
        </w:rPr>
        <w:tab/>
        <w:t>División de la metafísica de las costumbres</w:t>
      </w:r>
    </w:p>
    <w:p w14:paraId="49301755" w14:textId="77777777" w:rsidR="00670045" w:rsidRPr="00670045" w:rsidRDefault="00670045" w:rsidP="00030023">
      <w:pPr>
        <w:ind w:left="2124" w:firstLine="708"/>
        <w:rPr>
          <w:rFonts w:ascii="Times New Roman" w:hAnsi="Times New Roman"/>
        </w:rPr>
      </w:pPr>
      <w:r w:rsidRPr="00670045">
        <w:rPr>
          <w:rFonts w:ascii="Times New Roman" w:hAnsi="Times New Roman"/>
        </w:rPr>
        <w:t>1.1.4</w:t>
      </w:r>
      <w:r w:rsidRPr="00670045">
        <w:rPr>
          <w:rFonts w:ascii="Times New Roman" w:hAnsi="Times New Roman"/>
        </w:rPr>
        <w:tab/>
        <w:t>Libertad interior y otras nociones previas a la teoría del derecho</w:t>
      </w:r>
    </w:p>
    <w:p w14:paraId="60247523" w14:textId="77777777" w:rsidR="00670045" w:rsidRPr="00670045" w:rsidRDefault="00670045" w:rsidP="00030023">
      <w:pPr>
        <w:ind w:left="2124" w:firstLine="708"/>
        <w:rPr>
          <w:rFonts w:ascii="Times New Roman" w:hAnsi="Times New Roman"/>
        </w:rPr>
      </w:pPr>
      <w:r w:rsidRPr="00670045">
        <w:rPr>
          <w:rFonts w:ascii="Times New Roman" w:hAnsi="Times New Roman"/>
        </w:rPr>
        <w:t>1.1.5</w:t>
      </w:r>
      <w:r w:rsidRPr="00670045">
        <w:rPr>
          <w:rFonts w:ascii="Times New Roman" w:hAnsi="Times New Roman"/>
        </w:rPr>
        <w:tab/>
        <w:t>El derecho como ciencia: La libertad exterior como libertad jurídica</w:t>
      </w:r>
    </w:p>
    <w:p w14:paraId="79AE1F95" w14:textId="77777777" w:rsidR="00670045" w:rsidRPr="00670045" w:rsidRDefault="00670045" w:rsidP="00030023">
      <w:pPr>
        <w:ind w:left="1416" w:firstLine="708"/>
        <w:rPr>
          <w:rFonts w:ascii="Times New Roman" w:hAnsi="Times New Roman"/>
        </w:rPr>
      </w:pPr>
      <w:r w:rsidRPr="00670045">
        <w:rPr>
          <w:rFonts w:ascii="Times New Roman" w:hAnsi="Times New Roman"/>
        </w:rPr>
        <w:t>1.2.</w:t>
      </w:r>
      <w:r w:rsidRPr="00670045">
        <w:rPr>
          <w:rFonts w:ascii="Times New Roman" w:hAnsi="Times New Roman"/>
        </w:rPr>
        <w:tab/>
        <w:t>Tres sentidos de libertad exterior</w:t>
      </w:r>
    </w:p>
    <w:p w14:paraId="6B261F09" w14:textId="77777777" w:rsidR="00670045" w:rsidRPr="00670045" w:rsidRDefault="00670045" w:rsidP="00030023">
      <w:pPr>
        <w:ind w:left="2124" w:firstLine="708"/>
        <w:rPr>
          <w:rFonts w:ascii="Times New Roman" w:hAnsi="Times New Roman"/>
        </w:rPr>
      </w:pPr>
      <w:r w:rsidRPr="00670045">
        <w:rPr>
          <w:rFonts w:ascii="Times New Roman" w:hAnsi="Times New Roman"/>
        </w:rPr>
        <w:t>1.2.1.</w:t>
      </w:r>
      <w:r w:rsidRPr="00670045">
        <w:rPr>
          <w:rFonts w:ascii="Times New Roman" w:hAnsi="Times New Roman"/>
        </w:rPr>
        <w:tab/>
        <w:t>Desde la Doctrina del derecho</w:t>
      </w:r>
    </w:p>
    <w:p w14:paraId="77CCBABB" w14:textId="77777777" w:rsidR="00670045" w:rsidRPr="00670045" w:rsidRDefault="00670045" w:rsidP="00030023">
      <w:pPr>
        <w:ind w:left="2124" w:firstLine="708"/>
        <w:rPr>
          <w:rFonts w:ascii="Times New Roman" w:hAnsi="Times New Roman"/>
        </w:rPr>
      </w:pPr>
      <w:r w:rsidRPr="00670045">
        <w:rPr>
          <w:rFonts w:ascii="Times New Roman" w:hAnsi="Times New Roman"/>
        </w:rPr>
        <w:t>1.2.2.</w:t>
      </w:r>
      <w:r w:rsidRPr="00670045">
        <w:rPr>
          <w:rFonts w:ascii="Times New Roman" w:hAnsi="Times New Roman"/>
        </w:rPr>
        <w:tab/>
        <w:t>Desde el ensayo sobre Teoría y Práctica</w:t>
      </w:r>
    </w:p>
    <w:p w14:paraId="0BDBDDCE" w14:textId="77777777" w:rsidR="00670045" w:rsidRPr="00670045" w:rsidRDefault="00670045" w:rsidP="00030023">
      <w:pPr>
        <w:ind w:left="2124" w:firstLine="708"/>
        <w:rPr>
          <w:rFonts w:ascii="Times New Roman" w:hAnsi="Times New Roman"/>
        </w:rPr>
      </w:pPr>
      <w:r w:rsidRPr="00670045">
        <w:rPr>
          <w:rFonts w:ascii="Times New Roman" w:hAnsi="Times New Roman"/>
        </w:rPr>
        <w:t>1.2.3.</w:t>
      </w:r>
      <w:r w:rsidRPr="00670045">
        <w:rPr>
          <w:rFonts w:ascii="Times New Roman" w:hAnsi="Times New Roman"/>
        </w:rPr>
        <w:tab/>
        <w:t>Desde la Paz perpetua</w:t>
      </w:r>
    </w:p>
    <w:p w14:paraId="78E360E4" w14:textId="77777777" w:rsidR="00670045" w:rsidRPr="00670045" w:rsidRDefault="00670045" w:rsidP="00670045">
      <w:pPr>
        <w:ind w:firstLine="708"/>
        <w:rPr>
          <w:rFonts w:ascii="Times New Roman" w:hAnsi="Times New Roman"/>
        </w:rPr>
      </w:pPr>
      <w:r w:rsidRPr="00670045">
        <w:rPr>
          <w:rFonts w:ascii="Times New Roman" w:hAnsi="Times New Roman"/>
        </w:rPr>
        <w:t>2: La Libertad externa y la doctrina del derecho desde K. Flikschuh</w:t>
      </w:r>
    </w:p>
    <w:p w14:paraId="35B8264C" w14:textId="77777777" w:rsidR="00670045" w:rsidRPr="00670045" w:rsidRDefault="00670045" w:rsidP="00670045">
      <w:pPr>
        <w:ind w:firstLine="708"/>
        <w:rPr>
          <w:rFonts w:ascii="Times New Roman" w:hAnsi="Times New Roman"/>
        </w:rPr>
      </w:pPr>
      <w:r w:rsidRPr="00670045">
        <w:rPr>
          <w:rFonts w:ascii="Times New Roman" w:hAnsi="Times New Roman"/>
        </w:rPr>
        <w:t>3: La doctrina del derecho y la libertad externa desde A. Ripstein</w:t>
      </w:r>
    </w:p>
    <w:p w14:paraId="06D4D581" w14:textId="77777777" w:rsidR="00670045" w:rsidRPr="00670045" w:rsidRDefault="00670045" w:rsidP="00030023">
      <w:pPr>
        <w:ind w:left="1416" w:firstLine="708"/>
        <w:rPr>
          <w:rFonts w:ascii="Times New Roman" w:hAnsi="Times New Roman"/>
        </w:rPr>
      </w:pPr>
      <w:r w:rsidRPr="00670045">
        <w:rPr>
          <w:rFonts w:ascii="Times New Roman" w:hAnsi="Times New Roman"/>
        </w:rPr>
        <w:lastRenderedPageBreak/>
        <w:t>3.1 El sentido normativo de la libertad externa</w:t>
      </w:r>
    </w:p>
    <w:p w14:paraId="23345EA8" w14:textId="77777777" w:rsidR="00670045" w:rsidRPr="00670045" w:rsidRDefault="00670045" w:rsidP="00030023">
      <w:pPr>
        <w:ind w:left="1416" w:firstLine="708"/>
        <w:rPr>
          <w:rFonts w:ascii="Times New Roman" w:hAnsi="Times New Roman"/>
        </w:rPr>
      </w:pPr>
      <w:r w:rsidRPr="00670045">
        <w:rPr>
          <w:rFonts w:ascii="Times New Roman" w:hAnsi="Times New Roman"/>
        </w:rPr>
        <w:t>3.2 Libertad externa como soberanía y consentimiento</w:t>
      </w:r>
    </w:p>
    <w:p w14:paraId="06FCB706" w14:textId="77777777" w:rsidR="00670045" w:rsidRPr="00670045" w:rsidRDefault="00670045" w:rsidP="00030023">
      <w:pPr>
        <w:ind w:left="1416" w:firstLine="708"/>
        <w:rPr>
          <w:rFonts w:ascii="Times New Roman" w:hAnsi="Times New Roman"/>
        </w:rPr>
      </w:pPr>
      <w:r w:rsidRPr="00670045">
        <w:rPr>
          <w:rFonts w:ascii="Times New Roman" w:hAnsi="Times New Roman"/>
        </w:rPr>
        <w:t>3.3 Libertad externa como extensión del derecho innato de la humanidad</w:t>
      </w:r>
    </w:p>
    <w:p w14:paraId="0AFA523A" w14:textId="77777777" w:rsidR="00670045" w:rsidRPr="00670045" w:rsidRDefault="00670045" w:rsidP="00030023">
      <w:pPr>
        <w:ind w:left="1416" w:firstLine="708"/>
        <w:rPr>
          <w:rFonts w:ascii="Times New Roman" w:hAnsi="Times New Roman"/>
        </w:rPr>
      </w:pPr>
      <w:r w:rsidRPr="00670045">
        <w:rPr>
          <w:rFonts w:ascii="Times New Roman" w:hAnsi="Times New Roman"/>
        </w:rPr>
        <w:t>3.4 Libertad externa como equidad</w:t>
      </w:r>
    </w:p>
    <w:p w14:paraId="39214A8D" w14:textId="77777777" w:rsidR="00670045" w:rsidRPr="00670045" w:rsidRDefault="00670045" w:rsidP="00030023">
      <w:pPr>
        <w:ind w:left="1416" w:firstLine="708"/>
        <w:rPr>
          <w:rFonts w:ascii="Times New Roman" w:hAnsi="Times New Roman"/>
        </w:rPr>
      </w:pPr>
      <w:r w:rsidRPr="00670045">
        <w:rPr>
          <w:rFonts w:ascii="Times New Roman" w:hAnsi="Times New Roman"/>
        </w:rPr>
        <w:t>3.5 Libertad externa como el uso legítimo de la fuerza</w:t>
      </w:r>
    </w:p>
    <w:p w14:paraId="6597B232" w14:textId="7897852A" w:rsidR="00670045" w:rsidRPr="009666E0" w:rsidRDefault="00670045" w:rsidP="00670045">
      <w:pPr>
        <w:ind w:firstLine="708"/>
        <w:rPr>
          <w:rFonts w:ascii="Times New Roman" w:hAnsi="Times New Roman"/>
          <w:sz w:val="24"/>
          <w:szCs w:val="24"/>
        </w:rPr>
      </w:pPr>
      <w:r w:rsidRPr="00670045">
        <w:rPr>
          <w:rFonts w:ascii="Times New Roman" w:hAnsi="Times New Roman"/>
        </w:rPr>
        <w:t xml:space="preserve">4: Conclusiones </w:t>
      </w:r>
      <w:r w:rsidRPr="009666E0">
        <w:rPr>
          <w:rFonts w:ascii="Times New Roman" w:hAnsi="Times New Roman"/>
          <w:sz w:val="24"/>
          <w:szCs w:val="24"/>
        </w:rPr>
        <w:br w:type="page"/>
      </w:r>
    </w:p>
    <w:p w14:paraId="079C0408" w14:textId="77777777"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 xml:space="preserve">Capítulo 1: La libertad exterior en Kant </w:t>
      </w:r>
    </w:p>
    <w:p w14:paraId="07534E8C" w14:textId="77777777" w:rsidR="00670045" w:rsidRPr="009666E0" w:rsidRDefault="00670045" w:rsidP="00670045">
      <w:pPr>
        <w:spacing w:line="360" w:lineRule="auto"/>
        <w:rPr>
          <w:rFonts w:ascii="Times New Roman" w:hAnsi="Times New Roman"/>
          <w:sz w:val="24"/>
          <w:szCs w:val="24"/>
          <w:lang w:val="es-PE"/>
        </w:rPr>
      </w:pPr>
    </w:p>
    <w:p w14:paraId="21F907B6" w14:textId="77777777" w:rsidR="00670045" w:rsidRPr="003F194D" w:rsidRDefault="00670045" w:rsidP="00670045">
      <w:pPr>
        <w:pStyle w:val="ListParagraph"/>
        <w:numPr>
          <w:ilvl w:val="0"/>
          <w:numId w:val="13"/>
        </w:numPr>
        <w:spacing w:after="160" w:line="360" w:lineRule="auto"/>
        <w:rPr>
          <w:rFonts w:ascii="Times New Roman" w:hAnsi="Times New Roman"/>
          <w:sz w:val="24"/>
          <w:szCs w:val="24"/>
          <w:lang w:val="es-MX"/>
        </w:rPr>
      </w:pPr>
      <w:bookmarkStart w:id="1" w:name="_Hlk220430276"/>
      <w:r w:rsidRPr="009666E0">
        <w:rPr>
          <w:rFonts w:ascii="Times New Roman" w:hAnsi="Times New Roman"/>
          <w:sz w:val="24"/>
          <w:szCs w:val="24"/>
        </w:rPr>
        <w:t>La libertad exterior en Kant</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0018E1">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3F0854B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xml:space="preserve">, en especial a la introducción de la primera de sus dos grandes partes, en donde se expone la doctrina del derecho de Kant, </w:t>
      </w:r>
      <w:r w:rsidRPr="009666E0">
        <w:rPr>
          <w:rFonts w:ascii="Times New Roman" w:hAnsi="Times New Roman"/>
          <w:sz w:val="24"/>
          <w:szCs w:val="24"/>
          <w:lang w:val="es-MX"/>
        </w:rPr>
        <w:lastRenderedPageBreak/>
        <w:t>para poder elaborar la distinción entre los sentidos de libertad, en cuanto interior y exterior</w:t>
      </w:r>
      <w:r w:rsidR="00CA5897">
        <w:rPr>
          <w:rFonts w:ascii="Times New Roman" w:hAnsi="Times New Roman"/>
          <w:sz w:val="24"/>
          <w:szCs w:val="24"/>
          <w:lang w:val="es-MX"/>
        </w:rPr>
        <w:t>, es decir, entre la libertad moral y la libertad jurídica, civil o política.</w:t>
      </w:r>
    </w:p>
    <w:p w14:paraId="0669C445" w14:textId="24A786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(RL AA 06;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w:t>
      </w:r>
      <w:r w:rsidRPr="009666E0">
        <w:rPr>
          <w:rFonts w:ascii="Times New Roman" w:hAnsi="Times New Roman"/>
          <w:sz w:val="24"/>
          <w:szCs w:val="24"/>
          <w:lang w:val="es-MX"/>
        </w:rPr>
        <w:lastRenderedPageBreak/>
        <w:t xml:space="preserve">de ningún modo una relación a un objeto que se trate de conocer, ni aún una relación al conocimiento de nuestro estado.” (RL AA 06;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7777777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(RL AA 06; 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CF02651" w14:textId="29CC50B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w:t>
      </w:r>
      <w:r w:rsidRPr="009666E0">
        <w:rPr>
          <w:rFonts w:ascii="Times New Roman" w:hAnsi="Times New Roman"/>
          <w:sz w:val="24"/>
          <w:szCs w:val="24"/>
          <w:lang w:val="es-MX"/>
        </w:rPr>
        <w:lastRenderedPageBreak/>
        <w:t xml:space="preserve">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(RL AA 06;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2472AD9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 ya que, de otro modo, hablamos de coerción</w:t>
      </w:r>
      <w:r w:rsidR="00EC4F8A">
        <w:rPr>
          <w:rFonts w:ascii="Times New Roman" w:hAnsi="Times New Roman"/>
          <w:sz w:val="24"/>
          <w:szCs w:val="24"/>
          <w:lang w:val="es-MX"/>
        </w:rPr>
        <w:t xml:space="preserve"> o imposición por la fuerza.</w:t>
      </w:r>
    </w:p>
    <w:p w14:paraId="47E8266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(RL AA 06; 2008, p. 16)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w:t>
      </w:r>
      <w:r w:rsidRPr="009666E0">
        <w:rPr>
          <w:rFonts w:ascii="Times New Roman" w:hAnsi="Times New Roman"/>
          <w:sz w:val="24"/>
          <w:szCs w:val="24"/>
          <w:lang w:val="es-MX"/>
        </w:rPr>
        <w:lastRenderedPageBreak/>
        <w:t xml:space="preserve">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4652AC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(RL AA 06; 2008, p. 17) 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1E93D8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748EA94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 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una metafísica de la virtud y del derecho.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las leyes naturales y las leyes morales. Mientras de las primeras podemos generalizar principios mediante la inducción empírica, las segundas se fundan en 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 Todo esto equivale a pensar que todos los seres racionales, sin distinción alguna, poseemos un sentido intrínseco del deber, aunque no siempre seamos testigos de su materialización en la práctica o la historia.</w:t>
      </w:r>
    </w:p>
    <w:p w14:paraId="04B42020" w14:textId="2EF044B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p>
    <w:p w14:paraId="0D413163" w14:textId="59328134"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es decir, una metafísica de la moral o de las costumbres, no puede fundarse en la experiencia, sino que su fundamento radica en la pura razón, y es en este sentido último que Kant agrega: “Una metafísica de las costumbres no puede fundarse en la antropología, pero puede aplicarse a la misma.” (RL AA 06; 2008, p. 22)</w:t>
      </w:r>
    </w:p>
    <w:p w14:paraId="19105A90" w14:textId="43CE8D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Para los actos internos, es decir, morales, se atribuye el apartado de la virtud. Para los actos externos o jurídicos, se refiere el ámbito del derecho y la </w:t>
      </w:r>
      <w:r w:rsidRPr="009666E0">
        <w:rPr>
          <w:rFonts w:ascii="Times New Roman" w:hAnsi="Times New Roman"/>
          <w:sz w:val="24"/>
          <w:szCs w:val="24"/>
          <w:lang w:val="es-MX"/>
        </w:rPr>
        <w:lastRenderedPageBreak/>
        <w:t>justicia. Nosotros nos habremos de centrar en lo último.</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Queda claro, por lo tanto, que el acento normativo de las ideas regulativas para una metafísica de las costumbres está en una clave deontológica, en lugar de ubicarse en algún utilitarismo o </w:t>
      </w:r>
      <w:proofErr w:type="spellStart"/>
      <w:r w:rsidR="00862B46">
        <w:rPr>
          <w:rFonts w:ascii="Times New Roman" w:hAnsi="Times New Roman"/>
          <w:sz w:val="24"/>
          <w:szCs w:val="24"/>
          <w:lang w:val="es-MX"/>
        </w:rPr>
        <w:t>eudaimonismo</w:t>
      </w:r>
      <w:proofErr w:type="spellEnd"/>
      <w:r w:rsidR="00862B46">
        <w:rPr>
          <w:rFonts w:ascii="Times New Roman" w:hAnsi="Times New Roman"/>
          <w:sz w:val="24"/>
          <w:szCs w:val="24"/>
          <w:lang w:val="es-MX"/>
        </w:rPr>
        <w:t xml:space="preserve">.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4A09D53" w14:textId="011674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habrá de distinguir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Nosotros apuntamos a profundizar en el marco externo</w:t>
      </w:r>
      <w:r w:rsidR="00862B46">
        <w:rPr>
          <w:rFonts w:ascii="Times New Roman" w:hAnsi="Times New Roman"/>
          <w:sz w:val="24"/>
          <w:szCs w:val="24"/>
          <w:lang w:val="es-MX"/>
        </w:rPr>
        <w:t xml:space="preserve"> de la libertad y sus leyes.</w:t>
      </w:r>
    </w:p>
    <w:p w14:paraId="10C0375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que: “Toda legislación se compone de dos partes (ya sea que prescriba actos internos o externos) (…) En primer lugar, de una </w:t>
      </w:r>
      <w:r w:rsidRPr="009666E0">
        <w:rPr>
          <w:rFonts w:ascii="Times New Roman" w:hAnsi="Times New Roman"/>
          <w:i/>
          <w:iCs/>
          <w:sz w:val="24"/>
          <w:szCs w:val="24"/>
          <w:lang w:val="es-MX"/>
        </w:rPr>
        <w:t>ley</w:t>
      </w:r>
      <w:r w:rsidRPr="009666E0">
        <w:rPr>
          <w:rFonts w:ascii="Times New Roman" w:hAnsi="Times New Roman"/>
          <w:sz w:val="24"/>
          <w:szCs w:val="24"/>
          <w:lang w:val="es-MX"/>
        </w:rPr>
        <w:t xml:space="preserve"> que presente como objetivamente necesaria la acción que debe ejecutarse, es decir, que hace de la acción un deber; En segundo lugar, de un </w:t>
      </w:r>
      <w:r w:rsidRPr="009666E0">
        <w:rPr>
          <w:rFonts w:ascii="Times New Roman" w:hAnsi="Times New Roman"/>
          <w:i/>
          <w:iCs/>
          <w:sz w:val="24"/>
          <w:szCs w:val="24"/>
          <w:lang w:val="es-MX"/>
        </w:rPr>
        <w:t>motivo</w:t>
      </w:r>
      <w:r w:rsidRPr="009666E0">
        <w:rPr>
          <w:rFonts w:ascii="Times New Roman" w:hAnsi="Times New Roman"/>
          <w:sz w:val="24"/>
          <w:szCs w:val="24"/>
          <w:lang w:val="es-MX"/>
        </w:rPr>
        <w:t xml:space="preserve"> que relacione con la representación de la ley el principio que determina subjetivamente el arbitrio a esta acción. Esta segunda parte equivale, pues, a que la ley haga del deber un motivo.” (RL AA 06; 2008, p. 24) De esta forma, ya sea una legislación interna o una externa, tenemos que en ambos casos se presentan los elementos de las leyes y los motivos de las leyes. </w:t>
      </w:r>
    </w:p>
    <w:p w14:paraId="3917FBAB" w14:textId="230595B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de separar entre las leyes y sus motivos, se introduce la distinción entre interno y externo, por lo cual resultan leyes internas y externas, así como motivos internos y externos, de lo cual se deriva la idea de un deber interno, moral, y de un deber externo, jurídico</w:t>
      </w:r>
      <w:r w:rsidR="00862B46">
        <w:rPr>
          <w:rFonts w:ascii="Times New Roman" w:hAnsi="Times New Roman"/>
          <w:sz w:val="24"/>
          <w:szCs w:val="24"/>
          <w:lang w:val="es-MX"/>
        </w:rPr>
        <w:t>, incluso cuando los motivos puedan ser los mismos.</w:t>
      </w:r>
    </w:p>
    <w:p w14:paraId="681E9AA6" w14:textId="011DB45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xml:space="preserve">,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w:t>
      </w:r>
      <w:r w:rsidRPr="009666E0">
        <w:rPr>
          <w:rFonts w:ascii="Times New Roman" w:hAnsi="Times New Roman"/>
          <w:sz w:val="24"/>
          <w:szCs w:val="24"/>
          <w:lang w:val="es-MX"/>
        </w:rPr>
        <w:lastRenderedPageBreak/>
        <w:t>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(RL AA 06; 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2798E1D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(RL AA 06;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p>
    <w:p w14:paraId="2F1C49CC" w14:textId="201276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721F386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w:t>
      </w:r>
      <w:r w:rsidR="00872E51">
        <w:rPr>
          <w:rFonts w:ascii="Times New Roman" w:hAnsi="Times New Roman"/>
          <w:sz w:val="24"/>
          <w:szCs w:val="24"/>
          <w:lang w:val="es-MX"/>
        </w:rPr>
        <w:t xml:space="preserve">Esto implica que el concepto de libertad queda en el ámbito de la razón práctica en lugar de la razón teórica.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2E35281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 xml:space="preserve">. </w:t>
      </w:r>
    </w:p>
    <w:p w14:paraId="4E5A80E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(RL AA 06;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(RL AA 06;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(RL AA 06; 2008, p. 32)</w:t>
      </w:r>
    </w:p>
    <w:p w14:paraId="5D3EB809" w14:textId="102189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xml:space="preserve">.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w:t>
      </w:r>
      <w:proofErr w:type="spellStart"/>
      <w:r w:rsidRPr="009666E0">
        <w:rPr>
          <w:rFonts w:ascii="Times New Roman" w:hAnsi="Times New Roman"/>
          <w:sz w:val="24"/>
          <w:szCs w:val="24"/>
          <w:lang w:val="es-MX"/>
        </w:rPr>
        <w:t>a sí</w:t>
      </w:r>
      <w:proofErr w:type="spellEnd"/>
      <w:r w:rsidRPr="009666E0">
        <w:rPr>
          <w:rFonts w:ascii="Times New Roman" w:hAnsi="Times New Roman"/>
          <w:sz w:val="24"/>
          <w:szCs w:val="24"/>
          <w:lang w:val="es-MX"/>
        </w:rPr>
        <w:t xml:space="preserve"> al mismo tiempo que a otros)” (RL AA 06;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6109A46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(RL AA 06;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En donde se 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42C7470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(RL AA 06;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 </w:t>
      </w:r>
      <w:r w:rsidRPr="009666E0">
        <w:rPr>
          <w:rFonts w:ascii="Times New Roman" w:hAnsi="Times New Roman"/>
          <w:sz w:val="24"/>
          <w:szCs w:val="24"/>
          <w:lang w:val="es-MX"/>
        </w:rPr>
        <w:t xml:space="preserve"> </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3E368A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(RL AA 06;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(RL AA 06; 2008, p. 36) </w:t>
      </w:r>
    </w:p>
    <w:p w14:paraId="33A6A100" w14:textId="3E4774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(RL AA 06;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(RL AA 06; 2008, p. 38) Esta legisladora suprema no es otra que la razón. La autoridad legislativa de lo interno o moral, es la razón, mediante la forma de un imperativo categórico.</w:t>
      </w:r>
    </w:p>
    <w:p w14:paraId="1A7B442F" w14:textId="0534FBD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revisado, tenemos que, en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Pr="009666E0">
        <w:rPr>
          <w:rFonts w:ascii="Times New Roman" w:hAnsi="Times New Roman"/>
          <w:sz w:val="24"/>
          <w:szCs w:val="24"/>
          <w:lang w:val="es-MX"/>
        </w:rPr>
        <w:t xml:space="preserve"> en la medida de lo posible. Nos resta encontrar un principio con motivos diferentes para el ámbito exterior, es decir, para </w:t>
      </w:r>
      <w:r w:rsidRPr="009666E0">
        <w:rPr>
          <w:rFonts w:ascii="Times New Roman" w:hAnsi="Times New Roman"/>
          <w:sz w:val="24"/>
          <w:szCs w:val="24"/>
          <w:lang w:val="es-MX"/>
        </w:rPr>
        <w:lastRenderedPageBreak/>
        <w:t>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finalmente, considerar otros aspectos de la distinción entre libertad interior y exterior. </w:t>
      </w:r>
    </w:p>
    <w:p w14:paraId="26FC2A5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 por la legislación formal de un imperativo categórico, 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(RL AA 06; 2008, p. 40) El derecho, por lo tanto, se entiende como una disciplina que aspira a la formalidad de una ciencia, en virtud de las leyes que regulan la libertad exterior, que, en este sentido, además de ser una libertad externa, podrá entenderse como una libertad jurídica</w:t>
      </w:r>
    </w:p>
    <w:p w14:paraId="32F14CC8"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desarrolla qué es el derecho en sí, estima tres consideraciones. En principio, señalará el escenario en donde se establece esa regulación de las relaciones de personas libres. El ámbito exterior a lo moral en la persona, encuentra a otra persona con ese contraste entre su interioridad y la exterioridad compartida; de esto se entiende que se encuentren en una relación de influencia recíproca. </w:t>
      </w:r>
    </w:p>
    <w:p w14:paraId="6E1B743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forma, Kant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2E4545F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(RL AA 06; 2008, p. 42) Al reconocer el contraste entre los arbitrios libres, se presupone una pluralidad en las relaciones marcadas por la insociable sociabilidad. Esto anticipa la necesidad categórica de entrar en relaciones civiles. </w:t>
      </w:r>
    </w:p>
    <w:p w14:paraId="329A816E" w14:textId="4C7393F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(RL AA 06;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033B7AE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Estas dos formulaciones del principio general metafísico del derecho apuntan a la regulación de los actos libres externos, es decir, los que se manifiestan en las relaciones humanas, de persona a persona o de Estado a Estado. El ámbito externo, reconociendo la </w:t>
      </w:r>
      <w:r w:rsidRPr="009666E0">
        <w:rPr>
          <w:rFonts w:ascii="Times New Roman" w:hAnsi="Times New Roman"/>
          <w:sz w:val="24"/>
          <w:szCs w:val="24"/>
          <w:lang w:val="es-MX"/>
        </w:rPr>
        <w:lastRenderedPageBreak/>
        <w:t>reciprocidad de influencia, pone como límite de la libertad propia, la libertad de otros. Esto se condice con la virtud moral interna, y por el peso del deber, nos demanda una obligación. Precisamente por ello Kant agrega que: “El derecho es inseparable de la facultad de obligar.” (RL AA 06; 2008, p. 44)</w:t>
      </w:r>
      <w:r w:rsidR="00060DDD">
        <w:rPr>
          <w:rFonts w:ascii="Times New Roman" w:hAnsi="Times New Roman"/>
          <w:sz w:val="24"/>
          <w:szCs w:val="24"/>
          <w:lang w:val="es-MX"/>
        </w:rPr>
        <w:t xml:space="preserve"> </w:t>
      </w:r>
    </w:p>
    <w:p w14:paraId="69B09CF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(RL AA 06; 2008, p. 44) Esta obligación mutua de obligarnos unos a otros a cumplir la ley es una de las dimensiones más resaltantes de la libertad jurídica, ya que acentúa no solo la igualdad ante la ley, sino el carácter recíproco de la libertad exterior. </w:t>
      </w:r>
    </w:p>
    <w:p w14:paraId="3783B4A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(RL AA 06;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 </w:t>
      </w:r>
    </w:p>
    <w:p w14:paraId="62D49608" w14:textId="6A33B70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(RL AA 06; 2008, p. 45) Esta </w:t>
      </w:r>
      <w:r w:rsidRPr="009666E0">
        <w:rPr>
          <w:rFonts w:ascii="Times New Roman" w:hAnsi="Times New Roman"/>
          <w:sz w:val="24"/>
          <w:szCs w:val="24"/>
          <w:lang w:val="es-MX"/>
        </w:rPr>
        <w:lastRenderedPageBreak/>
        <w:t>obligación mutua es como una semilla del horizonte civil que se propone en el republicanismo de Kant.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(RL AA 06; 2008, p. 46)</w:t>
      </w:r>
    </w:p>
    <w:p w14:paraId="7E9EC5EC" w14:textId="005875A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en el sentido del derecho, las leyes y la justicia. </w:t>
      </w:r>
    </w:p>
    <w:p w14:paraId="2C1BDBAF" w14:textId="168D09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43C7803F" w14:textId="771FEAD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 xml:space="preserve">dimensión </w:t>
      </w:r>
      <w:r w:rsidRPr="009666E0">
        <w:rPr>
          <w:rFonts w:ascii="Times New Roman" w:hAnsi="Times New Roman"/>
          <w:sz w:val="24"/>
          <w:szCs w:val="24"/>
          <w:lang w:val="es-MX"/>
        </w:rPr>
        <w:t xml:space="preserve">civil y política. En el siguiente apartado revisaremos tres instancias de estos alcances, aunque ya hemos revisado gran parte de uno de ellos, desde la doctrina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2F9B9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de Kant que son complementarios para establecer </w:t>
      </w:r>
      <w:r w:rsidR="00615BDB">
        <w:rPr>
          <w:rFonts w:ascii="Times New Roman" w:hAnsi="Times New Roman"/>
          <w:sz w:val="24"/>
          <w:szCs w:val="24"/>
          <w:lang w:val="es-MX"/>
        </w:rPr>
        <w:t>una delimitación de la idea de libertad exterior</w:t>
      </w:r>
      <w:r w:rsidR="00D904E6">
        <w:rPr>
          <w:rFonts w:ascii="Times New Roman" w:hAnsi="Times New Roman"/>
          <w:sz w:val="24"/>
          <w:szCs w:val="24"/>
          <w:lang w:val="es-MX"/>
        </w:rPr>
        <w:t xml:space="preserve"> en cuanto una dimensión jurídica, una civil y una política.</w:t>
      </w:r>
      <w:r w:rsidR="00615BDB">
        <w:rPr>
          <w:rFonts w:ascii="Times New Roman" w:hAnsi="Times New Roman"/>
          <w:sz w:val="24"/>
          <w:szCs w:val="24"/>
          <w:lang w:val="es-MX"/>
        </w:rPr>
        <w:t xml:space="preserve"> </w:t>
      </w:r>
    </w:p>
    <w:p w14:paraId="1057FBCE" w14:textId="79E96C4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Pr="009666E0">
        <w:rPr>
          <w:rFonts w:ascii="Times New Roman" w:hAnsi="Times New Roman"/>
          <w:sz w:val="24"/>
          <w:szCs w:val="24"/>
          <w:lang w:val="es-MX"/>
        </w:rPr>
        <w:t xml:space="preserve"> </w:t>
      </w:r>
    </w:p>
    <w:p w14:paraId="1A63BE5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(TP AA 02; </w:t>
      </w:r>
      <w:proofErr w:type="spellStart"/>
      <w:r w:rsidRPr="009666E0">
        <w:rPr>
          <w:rFonts w:ascii="Times New Roman" w:hAnsi="Times New Roman"/>
          <w:sz w:val="24"/>
          <w:szCs w:val="24"/>
        </w:rPr>
        <w:t>Untersuchung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die </w:t>
      </w:r>
      <w:proofErr w:type="spellStart"/>
      <w:r w:rsidRPr="009666E0">
        <w:rPr>
          <w:rFonts w:ascii="Times New Roman" w:hAnsi="Times New Roman"/>
          <w:sz w:val="24"/>
          <w:szCs w:val="24"/>
        </w:rPr>
        <w:t>Deutlichkeit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Grundsätze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natürlichen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Theologie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und</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Moral</w:t>
      </w:r>
      <w:r w:rsidRPr="009666E0">
        <w:rPr>
          <w:rFonts w:ascii="Times New Roman" w:hAnsi="Times New Roman"/>
          <w:sz w:val="24"/>
          <w:szCs w:val="24"/>
          <w:lang w:val="es-MX"/>
        </w:rPr>
        <w:t xml:space="preserve">) Kant define la pertenencia del estado civil en cuanto está constituida bajo las nociones de libertad, igualdad e independencia. En este sentido, se explica la libertad exterior como el ejercicio para </w:t>
      </w:r>
      <w:proofErr w:type="spellStart"/>
      <w:r w:rsidRPr="009666E0">
        <w:rPr>
          <w:rFonts w:ascii="Times New Roman" w:hAnsi="Times New Roman"/>
          <w:sz w:val="24"/>
          <w:szCs w:val="24"/>
          <w:lang w:val="es-MX"/>
        </w:rPr>
        <w:t>co-legislar</w:t>
      </w:r>
      <w:proofErr w:type="spellEnd"/>
      <w:r w:rsidRPr="009666E0">
        <w:rPr>
          <w:rFonts w:ascii="Times New Roman" w:hAnsi="Times New Roman"/>
          <w:sz w:val="24"/>
          <w:szCs w:val="24"/>
          <w:lang w:val="es-MX"/>
        </w:rPr>
        <w:t xml:space="preserve">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 De esta forma, la libertad exterior se entiende como una libertad política.</w:t>
      </w:r>
    </w:p>
    <w:p w14:paraId="5A29FA20" w14:textId="35BB3D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w:t>
      </w:r>
      <w:r w:rsidRPr="009666E0">
        <w:rPr>
          <w:rFonts w:ascii="Times New Roman" w:hAnsi="Times New Roman"/>
          <w:sz w:val="24"/>
          <w:szCs w:val="24"/>
          <w:lang w:val="es-MX"/>
        </w:rPr>
        <w:lastRenderedPageBreak/>
        <w:t xml:space="preserve">la que contiene más elaboradamente la distinción entre libertad interna y externa, lo que permite contextualizar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en la determinación de sus actos, se guía por máximas para la práctica, que buscan servir como 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387107B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 </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w:t>
      </w:r>
      <w:r w:rsidRPr="009666E0">
        <w:rPr>
          <w:rFonts w:ascii="Times New Roman" w:hAnsi="Times New Roman"/>
          <w:sz w:val="24"/>
          <w:szCs w:val="24"/>
          <w:lang w:val="es-MX"/>
        </w:rPr>
        <w:lastRenderedPageBreak/>
        <w:t>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 </w:t>
      </w:r>
    </w:p>
    <w:p w14:paraId="3C2889EB" w14:textId="77777777"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xml:space="preserve">,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 </w:t>
      </w:r>
    </w:p>
    <w:p w14:paraId="04FB4A7A" w14:textId="737281AF"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La libertad externa es la idea regulativa que permite entender al derecho como una ciencia y a la condición civil como una necesidad que nos compele a entrar en relaciones legales, de forma que nuestra libertad, el derecho privado y el derecho público se puedan articular. Sin 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especialmente porque su noción (como se verá más adelante) se relaciona con el concepto de una voluntad unificada, integrada o general, que busca establecerse de manera omnilateral el estado de derecho</w:t>
      </w:r>
      <w:r>
        <w:rPr>
          <w:rFonts w:ascii="Times New Roman" w:hAnsi="Times New Roman"/>
          <w:sz w:val="24"/>
          <w:szCs w:val="24"/>
          <w:lang w:val="es-MX"/>
        </w:rPr>
        <w:t>.</w:t>
      </w:r>
      <w:r w:rsidR="00043A58">
        <w:rPr>
          <w:rFonts w:ascii="Times New Roman" w:hAnsi="Times New Roman"/>
          <w:sz w:val="24"/>
          <w:szCs w:val="24"/>
          <w:lang w:val="es-MX"/>
        </w:rPr>
        <w:t xml:space="preserve"> Debemos atender a otros textos complementarios de Kant para extender la noción</w:t>
      </w:r>
      <w:r w:rsidR="003B0CE9">
        <w:rPr>
          <w:rFonts w:ascii="Times New Roman" w:hAnsi="Times New Roman"/>
          <w:sz w:val="24"/>
          <w:szCs w:val="24"/>
          <w:lang w:val="es-MX"/>
        </w:rPr>
        <w:t xml:space="preserve"> de libertad externa</w:t>
      </w:r>
      <w:r w:rsidR="00043A58">
        <w:rPr>
          <w:rFonts w:ascii="Times New Roman" w:hAnsi="Times New Roman"/>
          <w:sz w:val="24"/>
          <w:szCs w:val="24"/>
          <w:lang w:val="es-MX"/>
        </w:rPr>
        <w:t xml:space="preserve">.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texto se divide, respecto de la relación entre teoría y práctica, en tres apartados, primero en virtud de la moral, luego, en el derecho político y finalmente, en el derecho de gentes en </w:t>
      </w:r>
      <w:r w:rsidRPr="009666E0">
        <w:rPr>
          <w:rFonts w:ascii="Times New Roman" w:hAnsi="Times New Roman"/>
          <w:sz w:val="24"/>
          <w:szCs w:val="24"/>
          <w:lang w:val="es-MX"/>
        </w:rPr>
        <w:lastRenderedPageBreak/>
        <w:t>un sentido cosmopolita. Nosotros nos centraremos en la segunda parte, que desarrolla las ideas del derecho político.</w:t>
      </w:r>
    </w:p>
    <w:p w14:paraId="40FA9A2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primer lugar, en esta segunda parte del texto, Kant rechaza las ideas que defiende Hobbes respecto a la necesidad de un absolutismo monárquico, cohesionado en un estado total con el peso de un Leviathan. Este poder absoluto, de acuerdo a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0964CA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su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monarquía absoluta que defiende Hobbes es despótico y considera a sus miembros como súbditos. Esto supone, entre otros asuntos, una relación paternalista. </w:t>
      </w:r>
    </w:p>
    <w:p w14:paraId="77022BFD" w14:textId="7414485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En este escenario, los súbditos son como la propiedad del monarca absoluto, en una relación de dependencia y con una libertad anulada. Esto resulta en que la forma de vivir su propia vida, para cada uno, depende de la elección de su señor.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52502F2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de la ley por la fuerza</w:t>
      </w:r>
      <w:r w:rsidR="0081171E">
        <w:rPr>
          <w:rFonts w:ascii="Times New Roman" w:hAnsi="Times New Roman"/>
          <w:sz w:val="24"/>
          <w:szCs w:val="24"/>
          <w:lang w:val="es-MX"/>
        </w:rPr>
        <w:t xml:space="preserve"> ilegítima</w:t>
      </w:r>
      <w:r w:rsidRPr="009666E0">
        <w:rPr>
          <w:rFonts w:ascii="Times New Roman" w:hAnsi="Times New Roman"/>
          <w:sz w:val="24"/>
          <w:szCs w:val="24"/>
          <w:lang w:val="es-MX"/>
        </w:rPr>
        <w:t>, y, por otro lado, un tipo de ley que se acerca al consenso de ciudadanos deliberantes</w:t>
      </w:r>
      <w:r w:rsidR="0081171E">
        <w:rPr>
          <w:rFonts w:ascii="Times New Roman" w:hAnsi="Times New Roman"/>
          <w:sz w:val="24"/>
          <w:szCs w:val="24"/>
          <w:lang w:val="es-MX"/>
        </w:rPr>
        <w:t xml:space="preserve"> desde un punto de vista omnilateral</w:t>
      </w:r>
      <w:r w:rsidRPr="009666E0">
        <w:rPr>
          <w:rFonts w:ascii="Times New Roman" w:hAnsi="Times New Roman"/>
          <w:sz w:val="24"/>
          <w:szCs w:val="24"/>
          <w:lang w:val="es-MX"/>
        </w:rPr>
        <w:t>. Es por esta razón, que para un tipo de gobierno republicano y/o democrático</w:t>
      </w:r>
      <w:r w:rsidR="0081171E">
        <w:rPr>
          <w:rFonts w:ascii="Times New Roman" w:hAnsi="Times New Roman"/>
          <w:sz w:val="24"/>
          <w:szCs w:val="24"/>
          <w:lang w:val="es-MX"/>
        </w:rPr>
        <w:t xml:space="preserve"> (en sentido contemporáneo)</w:t>
      </w:r>
      <w:r w:rsidRPr="009666E0">
        <w:rPr>
          <w:rFonts w:ascii="Times New Roman" w:hAnsi="Times New Roman"/>
          <w:sz w:val="24"/>
          <w:szCs w:val="24"/>
          <w:lang w:val="es-MX"/>
        </w:rPr>
        <w:t xml:space="preserve"> es fundamental el derecho a la justificación, como refiere R. Forst. Para este tipo de legitimidad de la ley, en un sentido de interés público, son fundamentales el uso de la razón pública, la libertad de expresión o de pluma, el consentimiento civil y el horizonte de la co-legislación, elementos todos que se relacionan a la idea de una libertad externa. </w:t>
      </w:r>
    </w:p>
    <w:p w14:paraId="7C73D2F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1B3780" w14:textId="464BD2D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responsabilidad del gobernante para con su pueblo, especialmente a la hora de orientar las leyes públicas.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w:t>
      </w:r>
      <w:r w:rsidRPr="009666E0">
        <w:rPr>
          <w:rFonts w:ascii="Times New Roman" w:hAnsi="Times New Roman"/>
          <w:sz w:val="24"/>
          <w:szCs w:val="24"/>
          <w:lang w:val="es-MX"/>
        </w:rPr>
        <w:lastRenderedPageBreak/>
        <w:t xml:space="preserve">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501E864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p>
    <w:p w14:paraId="1D2338C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Kant propone la idea normativa de un contrato originario social que permite un estado jurídico de libertad externa, de justicia distributiva y de propiedad privada. </w:t>
      </w:r>
    </w:p>
    <w:p w14:paraId="6B4703D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 debemos dejar de tener en cuenta que el sentido de la ley, de acuerdo a la voluntad general, busca un horizonte civil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1E6A94B4" w14:textId="68CF40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xml:space="preserve">, coercibles y que reflejen a </w:t>
      </w:r>
      <w:r w:rsidRPr="009666E0">
        <w:rPr>
          <w:rFonts w:ascii="Times New Roman" w:hAnsi="Times New Roman"/>
          <w:sz w:val="24"/>
          <w:szCs w:val="24"/>
          <w:lang w:val="es-MX"/>
        </w:rPr>
        <w:lastRenderedPageBreak/>
        <w:t>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xml:space="preserve">.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9D76D9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facultad fundamental del ciudadano, en el ejercicio de su libertad exterior, es la co-legislación. Esta prerrogativa nace de su fundamental libertad para exigirse el cumplimiento de la ley los unos a los otros, y presupone la facultad 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569CEE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w:t>
      </w:r>
      <w:r w:rsidRPr="009666E0">
        <w:rPr>
          <w:rFonts w:ascii="Times New Roman" w:hAnsi="Times New Roman"/>
          <w:sz w:val="24"/>
          <w:szCs w:val="24"/>
          <w:lang w:val="es-MX"/>
        </w:rPr>
        <w:lastRenderedPageBreak/>
        <w:t xml:space="preserve">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7B8BBECF" w14:textId="23E64EF0" w:rsidR="00670045" w:rsidRPr="009666E0" w:rsidRDefault="0048417E" w:rsidP="00670045">
      <w:pPr>
        <w:spacing w:line="360" w:lineRule="auto"/>
        <w:ind w:left="708"/>
        <w:rPr>
          <w:rFonts w:ascii="Times New Roman" w:hAnsi="Times New Roman"/>
          <w:sz w:val="24"/>
          <w:szCs w:val="24"/>
        </w:rPr>
      </w:pPr>
      <w:r>
        <w:rPr>
          <w:rFonts w:ascii="Times New Roman" w:hAnsi="Times New Roman"/>
          <w:sz w:val="24"/>
          <w:szCs w:val="24"/>
        </w:rPr>
        <w:t>“</w:t>
      </w:r>
      <w:r w:rsidR="00670045" w:rsidRPr="009666E0">
        <w:rPr>
          <w:rFonts w:ascii="Times New Roman" w:hAnsi="Times New Roman"/>
          <w:sz w:val="24"/>
          <w:szCs w:val="24"/>
        </w:rPr>
        <w:t>El estado civil, por tanto, considerado meramente como estado jurídico, se funda en los siguientes principios a priori:</w:t>
      </w:r>
    </w:p>
    <w:p w14:paraId="3B24113F" w14:textId="77777777" w:rsidR="00670045" w:rsidRPr="009666E0" w:rsidRDefault="00670045" w:rsidP="00670045">
      <w:pPr>
        <w:numPr>
          <w:ilvl w:val="1"/>
          <w:numId w:val="11"/>
        </w:numPr>
        <w:spacing w:after="160" w:line="360" w:lineRule="auto"/>
        <w:rPr>
          <w:rFonts w:ascii="Times New Roman" w:hAnsi="Times New Roman"/>
          <w:sz w:val="24"/>
          <w:szCs w:val="24"/>
        </w:rPr>
      </w:pPr>
      <w:r w:rsidRPr="009666E0">
        <w:rPr>
          <w:rFonts w:ascii="Times New Roman" w:hAnsi="Times New Roman"/>
          <w:sz w:val="24"/>
          <w:szCs w:val="24"/>
        </w:rPr>
        <w:t>La libertad de cada miembro de la sociedad, en cuanto hombre.</w:t>
      </w:r>
    </w:p>
    <w:p w14:paraId="71B67613" w14:textId="77777777" w:rsidR="00670045" w:rsidRPr="009666E0" w:rsidRDefault="00670045" w:rsidP="00670045">
      <w:pPr>
        <w:numPr>
          <w:ilvl w:val="1"/>
          <w:numId w:val="11"/>
        </w:numPr>
        <w:spacing w:after="160" w:line="360" w:lineRule="auto"/>
        <w:rPr>
          <w:rFonts w:ascii="Times New Roman" w:hAnsi="Times New Roman"/>
          <w:sz w:val="24"/>
          <w:szCs w:val="24"/>
        </w:rPr>
      </w:pPr>
      <w:r w:rsidRPr="009666E0">
        <w:rPr>
          <w:rFonts w:ascii="Times New Roman" w:hAnsi="Times New Roman"/>
          <w:sz w:val="24"/>
          <w:szCs w:val="24"/>
        </w:rPr>
        <w:t>Su igualdad con los demás, en cuanto súbdito.</w:t>
      </w:r>
    </w:p>
    <w:p w14:paraId="7FDCAF15" w14:textId="77777777" w:rsidR="00670045" w:rsidRPr="009666E0" w:rsidRDefault="00670045" w:rsidP="00670045">
      <w:pPr>
        <w:numPr>
          <w:ilvl w:val="1"/>
          <w:numId w:val="11"/>
        </w:numPr>
        <w:spacing w:after="160" w:line="360" w:lineRule="auto"/>
        <w:rPr>
          <w:rFonts w:ascii="Times New Roman" w:hAnsi="Times New Roman"/>
          <w:sz w:val="24"/>
          <w:szCs w:val="24"/>
        </w:rPr>
      </w:pPr>
      <w:r w:rsidRPr="009666E0">
        <w:rPr>
          <w:rFonts w:ascii="Times New Roman" w:hAnsi="Times New Roman"/>
          <w:sz w:val="24"/>
          <w:szCs w:val="24"/>
        </w:rPr>
        <w:t xml:space="preserve">La independencia de cada miembro de una república, en cuanto ciudadano. </w:t>
      </w:r>
    </w:p>
    <w:p w14:paraId="5035C651" w14:textId="77777777" w:rsidR="00670045" w:rsidRPr="009666E0" w:rsidRDefault="00670045" w:rsidP="00670045">
      <w:pPr>
        <w:spacing w:line="360" w:lineRule="auto"/>
        <w:ind w:left="708"/>
        <w:rPr>
          <w:rFonts w:ascii="Times New Roman" w:hAnsi="Times New Roman"/>
          <w:sz w:val="24"/>
          <w:szCs w:val="24"/>
        </w:rPr>
      </w:pPr>
      <w:r w:rsidRPr="009666E0">
        <w:rPr>
          <w:rFonts w:ascii="Times New Roman" w:hAnsi="Times New Roman"/>
          <w:sz w:val="24"/>
          <w:szCs w:val="24"/>
        </w:rPr>
        <w:t>Estos principios no son leyes que dicta el Estado ya establecido, sino son las únicas conforme a las cuales es posible el establecimiento de un Estado según los puros principios racionales del derecho humano externo en general.” (TP; 1999, p. 260)</w:t>
      </w:r>
    </w:p>
    <w:p w14:paraId="12E8414E" w14:textId="658429A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en un sentido innato y en un sentido adquirido</w:t>
      </w:r>
      <w:r w:rsidRPr="009666E0">
        <w:rPr>
          <w:rFonts w:ascii="Times New Roman" w:hAnsi="Times New Roman"/>
          <w:sz w:val="24"/>
          <w:szCs w:val="24"/>
          <w:lang w:val="es-MX"/>
        </w:rPr>
        <w:t>, en cuanto 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xml:space="preserve">. Esto equivale a pensar en estos tres atributos como principios normativos de la condición de una persona en estado civil.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a excepción del soberano. Esta sujeción ante la ley resulta en la facultad que tenemos de coacción frente a los demás, para que se mantenga el orden civil de la libertad externa. </w:t>
      </w:r>
    </w:p>
    <w:p w14:paraId="372260BA" w14:textId="04143E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7B7CE71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último, además de la libertad para perseguir la propia felicidad y la igualdad ante la ley, Kant resalta un tercer atributo fundamental: “La independencia de un miembro de la república en cuanto ciudadano, es decir, en cuanto colegislador.”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Como se ha referido antes, para Kant, este contrato: “no es preciso en modo alguno suponer que se trata de un hecho (…) Por el contrario, se trata de una mera idea de la razón </w:t>
      </w:r>
      <w:r w:rsidRPr="009666E0">
        <w:rPr>
          <w:rFonts w:ascii="Times New Roman" w:hAnsi="Times New Roman"/>
          <w:sz w:val="24"/>
          <w:szCs w:val="24"/>
          <w:lang w:val="es-MX"/>
        </w:rPr>
        <w:lastRenderedPageBreak/>
        <w:t>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45225B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 cuerpo político legítimo es la preservación, extensión y seguridad de la libertad humana. </w:t>
      </w:r>
    </w:p>
    <w:p w14:paraId="768CAAC7" w14:textId="53F84A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se plantea la posibilidad de que el pueblo sintiera que el soberano no ha cumplido con su parte del contrato y no ha permitido una libertad civil, o bien, de que existiera injusticia, es decir, de que no hubiera realmente un estado de derecho. En tal caso, el 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w:t>
      </w:r>
      <w:r w:rsidRPr="009666E0">
        <w:rPr>
          <w:rFonts w:ascii="Times New Roman" w:hAnsi="Times New Roman"/>
          <w:sz w:val="24"/>
          <w:szCs w:val="24"/>
          <w:lang w:val="es-MX"/>
        </w:rPr>
        <w:lastRenderedPageBreak/>
        <w:t xml:space="preserve">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18924C6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02DBE75" w14:textId="3C9895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de gentes hacia el derecho cosmopolita.  La propuesta republicana de Kant es </w:t>
      </w:r>
      <w:r w:rsidRPr="009666E0">
        <w:rPr>
          <w:rFonts w:ascii="Times New Roman" w:hAnsi="Times New Roman"/>
          <w:sz w:val="24"/>
          <w:szCs w:val="24"/>
          <w:lang w:val="es-MX"/>
        </w:rPr>
        <w:lastRenderedPageBreak/>
        <w:t>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 ante las leyes y se puede pensar su concepto como la elevación a una dignidad política.  Por estas razones, se puede interpretar esta dimensión de la libertad externa en cuanto una libertad política.</w:t>
      </w:r>
    </w:p>
    <w:p w14:paraId="2E3DCBD5" w14:textId="155F37B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 La libertad externa es jurídica por cuanto se da en el horizonte de la sociedad civil de un estado de derecho. Es, además, civil, por cuanto supone un balance de razones públicas de </w:t>
      </w:r>
      <w:r w:rsidRPr="009666E0">
        <w:rPr>
          <w:rFonts w:ascii="Times New Roman" w:hAnsi="Times New Roman"/>
          <w:sz w:val="24"/>
          <w:szCs w:val="24"/>
          <w:lang w:val="es-MX"/>
        </w:rPr>
        <w:lastRenderedPageBreak/>
        <w:t>ciudadanos activos e independientes, para concretar la integración de una voluntad integral y unificada, mediante el ejercicio de la co-legislación. Finalmente, la libertad exterior se puede entender también como política, por cuanto involucra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5CEAE4EA" w:rsidR="00670045" w:rsidRPr="009666E0" w:rsidRDefault="00A00F07" w:rsidP="00670045">
      <w:pPr>
        <w:spacing w:line="360" w:lineRule="auto"/>
        <w:rPr>
          <w:rFonts w:ascii="Times New Roman" w:hAnsi="Times New Roman"/>
          <w:sz w:val="24"/>
          <w:szCs w:val="24"/>
          <w:lang w:val="es-MX"/>
        </w:rPr>
      </w:pPr>
      <w:r>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 xml:space="preserve">a revisión actualizada del concepto de libertad externa. </w:t>
      </w:r>
      <w:r w:rsidR="00670045" w:rsidRPr="009666E0">
        <w:rPr>
          <w:rFonts w:ascii="Times New Roman" w:hAnsi="Times New Roman"/>
          <w:sz w:val="24"/>
          <w:szCs w:val="24"/>
          <w:lang w:val="es-MX"/>
        </w:rPr>
        <w:br w:type="page"/>
      </w:r>
    </w:p>
    <w:p w14:paraId="4DA38D74" w14:textId="77777777"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Capítulo 2: La Libertad externa y la doctrina del derecho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62A7702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Una comprehensiva revisión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 en consideración con diversos textos,</w:t>
      </w:r>
      <w:r w:rsidR="00290825">
        <w:rPr>
          <w:rFonts w:ascii="Times New Roman" w:hAnsi="Times New Roman"/>
          <w:sz w:val="24"/>
          <w:szCs w:val="24"/>
        </w:rPr>
        <w:t xml:space="preserve"> </w:t>
      </w:r>
      <w:r w:rsidRPr="009666E0">
        <w:rPr>
          <w:rFonts w:ascii="Times New Roman" w:hAnsi="Times New Roman"/>
          <w:sz w:val="24"/>
          <w:szCs w:val="24"/>
        </w:rPr>
        <w:t>que permiten una comprensión panorámica de su pensamiento como una unidad articulada.</w:t>
      </w:r>
      <w:r w:rsidR="00290825">
        <w:rPr>
          <w:rFonts w:ascii="Times New Roman" w:hAnsi="Times New Roman"/>
          <w:sz w:val="24"/>
          <w:szCs w:val="24"/>
        </w:rPr>
        <w:t xml:space="preserve"> Este capítulo busca considerar algunos temas que desarrolla la autora para poder complementar la delimitación de la idea de libertad externa.</w:t>
      </w:r>
    </w:p>
    <w:p w14:paraId="33636BAD" w14:textId="52151FE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Su libro tiene por lo menos tres grandes tesis sobre el pensamiento político de Kant.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asuntos políticos, mientras que, ella busca reivindicar ese papel desde el pensamiento de Kant. Esto se encuentra dirigido principalmente en contra de la intención de alejar a Kant de conceptos metafísicos, tal como se puede apreciar en algunas obras de Habermas y Rawls. La línea que enfatiza Flikschuh, y busca rescatar este papel de la metafísica, proviene de Sellars y ha influenciado a autores como Ripstein, Forst y otros. De esta forma, Flikschuh nos recuerda que Kant no elimina la metafísica, sino que desarrolla una de perfil crítico y </w:t>
      </w:r>
      <w:proofErr w:type="spellStart"/>
      <w:r w:rsidRPr="009666E0">
        <w:rPr>
          <w:rFonts w:ascii="Times New Roman" w:hAnsi="Times New Roman"/>
          <w:sz w:val="24"/>
          <w:szCs w:val="24"/>
        </w:rPr>
        <w:t>antidogmático</w:t>
      </w:r>
      <w:proofErr w:type="spellEnd"/>
      <w:r w:rsidRPr="009666E0">
        <w:rPr>
          <w:rFonts w:ascii="Times New Roman" w:hAnsi="Times New Roman"/>
          <w:sz w:val="24"/>
          <w:szCs w:val="24"/>
        </w:rPr>
        <w:t>, no solo siendo útil su papel para el debate práctico político, sino que</w:t>
      </w:r>
      <w:r w:rsidR="00290825">
        <w:rPr>
          <w:rFonts w:ascii="Times New Roman" w:hAnsi="Times New Roman"/>
          <w:sz w:val="24"/>
          <w:szCs w:val="24"/>
        </w:rPr>
        <w:t>, para ella,</w:t>
      </w:r>
      <w:r w:rsidRPr="009666E0">
        <w:rPr>
          <w:rFonts w:ascii="Times New Roman" w:hAnsi="Times New Roman"/>
          <w:sz w:val="24"/>
          <w:szCs w:val="24"/>
        </w:rPr>
        <w:t xml:space="preserve"> es hasta indispensable e ineludible. </w:t>
      </w:r>
    </w:p>
    <w:p w14:paraId="769C789A"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En segundo lugar, según Flikschuh, de la idea de libertad externa</w:t>
      </w:r>
      <w:r w:rsidR="00290825">
        <w:rPr>
          <w:rFonts w:ascii="Times New Roman" w:hAnsi="Times New Roman"/>
          <w:sz w:val="24"/>
          <w:szCs w:val="24"/>
        </w:rPr>
        <w:t xml:space="preserve"> y su base sobre el principio universal del derecho, en cuanto una libertad recíproca,</w:t>
      </w:r>
      <w:r w:rsidRPr="009666E0">
        <w:rPr>
          <w:rFonts w:ascii="Times New Roman" w:hAnsi="Times New Roman"/>
          <w:sz w:val="24"/>
          <w:szCs w:val="24"/>
        </w:rPr>
        <w:t xml:space="preserve"> se deriva</w:t>
      </w:r>
      <w:r w:rsidR="00290825">
        <w:rPr>
          <w:rFonts w:ascii="Times New Roman" w:hAnsi="Times New Roman"/>
          <w:sz w:val="24"/>
          <w:szCs w:val="24"/>
        </w:rPr>
        <w:t xml:space="preserve"> la necesidad de</w:t>
      </w:r>
      <w:r w:rsidRPr="009666E0">
        <w:rPr>
          <w:rFonts w:ascii="Times New Roman" w:hAnsi="Times New Roman"/>
          <w:sz w:val="24"/>
          <w:szCs w:val="24"/>
        </w:rPr>
        <w:t xml:space="preserve"> una noción de la propiedad privada, lo cual resulta en una obligación política mutua en un estado civil, resaltando así el carácter isométrico de la libertad jurídica. La raíz de esta obligación política recíproca radica en la idea de una voluntad unificada. Esto incluye el reconocimiento por parte de la autora de los legítimos intereses económicos o de propiedad a la hora de pensar en la voluntad de la libertad externa y el contexto civil. Sin embargo, la libertad externa no se limita a los intereses económicos, sino que la obligación mutua supone una estructura deducida de la libertad, de sus alcances civiles, cuando son pensados como una voluntad unificada y en la posibilidad de la propiedad privada, todo lo cual compete a la idea de un contrato originario y con-formador de la sociedad en cuanto civil. Para la autora, este concepto de la obligación mutua, (que se extiende al análisis de la ley permisiva y considera </w:t>
      </w:r>
      <w:r w:rsidRPr="009666E0">
        <w:rPr>
          <w:rFonts w:ascii="Times New Roman" w:hAnsi="Times New Roman"/>
          <w:sz w:val="24"/>
          <w:szCs w:val="24"/>
        </w:rPr>
        <w:lastRenderedPageBreak/>
        <w:t xml:space="preserve">los alcances cosmopolitas implícitos), constituye lo principal de la doctrina del derecho de Kant y en ese sentido, de su pensamiento político. </w:t>
      </w:r>
    </w:p>
    <w:p w14:paraId="67E52FA5"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Por ello, para Flikschuh, la obligación mutua no se limita al asunto de la propiedad privada, sino que resalta el hecho de que la libertad externa requiere una institucionalización en un estado civil</w:t>
      </w:r>
      <w:r w:rsidR="004B1037">
        <w:rPr>
          <w:rFonts w:ascii="Times New Roman" w:hAnsi="Times New Roman"/>
          <w:sz w:val="24"/>
          <w:szCs w:val="24"/>
        </w:rPr>
        <w:t xml:space="preserve"> </w:t>
      </w:r>
      <w:r w:rsidRPr="009666E0">
        <w:rPr>
          <w:rFonts w:ascii="Times New Roman" w:hAnsi="Times New Roman"/>
          <w:sz w:val="24"/>
          <w:szCs w:val="24"/>
        </w:rPr>
        <w:t xml:space="preserve">y se prolonga de ese modo, hasta las implicaciones que fundamentan el derecho público. </w:t>
      </w:r>
      <w:r w:rsidR="004B1037">
        <w:rPr>
          <w:rFonts w:ascii="Times New Roman" w:hAnsi="Times New Roman"/>
          <w:sz w:val="24"/>
          <w:szCs w:val="24"/>
        </w:rPr>
        <w:t>L</w:t>
      </w:r>
      <w:r w:rsidRPr="009666E0">
        <w:rPr>
          <w:rFonts w:ascii="Times New Roman" w:hAnsi="Times New Roman"/>
          <w:sz w:val="24"/>
          <w:szCs w:val="24"/>
        </w:rPr>
        <w:t>a libertad externa debe regularse para alcanzar un estado civil, y de ello se despliega el concepto de una obligación mutua</w:t>
      </w:r>
      <w:r w:rsidR="004B1037">
        <w:rPr>
          <w:rFonts w:ascii="Times New Roman" w:hAnsi="Times New Roman"/>
          <w:sz w:val="24"/>
          <w:szCs w:val="24"/>
        </w:rPr>
        <w:t xml:space="preserve"> de todos quienes participan de un acuerdo originario</w:t>
      </w:r>
      <w:r w:rsidRPr="009666E0">
        <w:rPr>
          <w:rFonts w:ascii="Times New Roman" w:hAnsi="Times New Roman"/>
          <w:sz w:val="24"/>
          <w:szCs w:val="24"/>
        </w:rPr>
        <w:t>.</w:t>
      </w:r>
    </w:p>
    <w:p w14:paraId="4EDA1529" w14:textId="3A0D6167" w:rsidR="00670045" w:rsidRPr="009666E0" w:rsidRDefault="004B1037" w:rsidP="00670045">
      <w:pPr>
        <w:spacing w:line="360" w:lineRule="auto"/>
        <w:rPr>
          <w:rFonts w:ascii="Times New Roman" w:hAnsi="Times New Roman"/>
          <w:sz w:val="24"/>
          <w:szCs w:val="24"/>
        </w:rPr>
      </w:pPr>
      <w:r>
        <w:rPr>
          <w:rFonts w:ascii="Times New Roman" w:hAnsi="Times New Roman"/>
          <w:sz w:val="24"/>
          <w:szCs w:val="24"/>
        </w:rPr>
        <w:t>Es interesante tener en cuenta que a Kant no se le traduce el concepto como un contrato original, que tiene un matiz distinto en la perspectiva de otros autores. Algo original, en este caso, parece apuntar al origen teórico de algo.</w:t>
      </w:r>
      <w:r w:rsidR="00670045" w:rsidRPr="009666E0">
        <w:rPr>
          <w:rFonts w:ascii="Times New Roman" w:hAnsi="Times New Roman"/>
          <w:sz w:val="24"/>
          <w:szCs w:val="24"/>
        </w:rPr>
        <w:t xml:space="preserve"> </w:t>
      </w:r>
      <w:r>
        <w:rPr>
          <w:rFonts w:ascii="Times New Roman" w:hAnsi="Times New Roman"/>
          <w:sz w:val="24"/>
          <w:szCs w:val="24"/>
        </w:rPr>
        <w:t xml:space="preserve">En la situación del pensamiento de Kant, se traduce como “contrato originario”, por cuanto es fundador y propulsor de una idea normativa para la práctica concreta. </w:t>
      </w:r>
    </w:p>
    <w:p w14:paraId="7BFDDBE3"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para Flikschuh, la libertad externa representa una obligación mutua que se encuentra regulada por la idea de una voz unificada del pueblo, de acuerdo a un contrato originario y de interés republicano en cuanto forma de gobierno que se oponga a todo despotismo e instaure un estado civil. Solo en dicho horizonte sería posible una propiedad perenne y no una provisional. </w:t>
      </w:r>
    </w:p>
    <w:p w14:paraId="1F6A98B1" w14:textId="4D19C8E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fuerza de esta idea no se limita al entorno doméstico, sino que alcanza una dimensión general, que trasciende las naciones particulares. Solo podrían existir plena justicia y paz en un marco global y no limitadamente regional. Lo mismo ocurre con la propiedad privada que está implicada en el concepto de libertad externa, ya que presupone un marco jurídico y civil para poder tener garantías</w:t>
      </w:r>
      <w:r w:rsidR="004B1037">
        <w:rPr>
          <w:rFonts w:ascii="Times New Roman" w:hAnsi="Times New Roman"/>
          <w:sz w:val="24"/>
          <w:szCs w:val="24"/>
        </w:rPr>
        <w:t xml:space="preserve"> </w:t>
      </w:r>
      <w:proofErr w:type="spellStart"/>
      <w:r w:rsidR="004B1037">
        <w:rPr>
          <w:rFonts w:ascii="Times New Roman" w:hAnsi="Times New Roman"/>
          <w:sz w:val="24"/>
          <w:szCs w:val="24"/>
        </w:rPr>
        <w:t>omnilaterales</w:t>
      </w:r>
      <w:proofErr w:type="spellEnd"/>
      <w:r w:rsidRPr="009666E0">
        <w:rPr>
          <w:rFonts w:ascii="Times New Roman" w:hAnsi="Times New Roman"/>
          <w:sz w:val="24"/>
          <w:szCs w:val="24"/>
        </w:rPr>
        <w:t xml:space="preserve">. </w:t>
      </w:r>
    </w:p>
    <w:p w14:paraId="483B18D1" w14:textId="77777777" w:rsidR="004B1037"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Una tercera tesis complementaria a las anteriores supone el papel del pensamiento cosmopolita y cómo </w:t>
      </w:r>
      <w:r w:rsidR="004B1037">
        <w:rPr>
          <w:rFonts w:ascii="Times New Roman" w:hAnsi="Times New Roman"/>
          <w:sz w:val="24"/>
          <w:szCs w:val="24"/>
        </w:rPr>
        <w:t>é</w:t>
      </w:r>
      <w:r w:rsidRPr="009666E0">
        <w:rPr>
          <w:rFonts w:ascii="Times New Roman" w:hAnsi="Times New Roman"/>
          <w:sz w:val="24"/>
          <w:szCs w:val="24"/>
        </w:rPr>
        <w:t xml:space="preserve">ste se encuentra enraizado en toda la propuesta de su pensamiento político, que se estructura alrededor de la idea de una libertad externa, en cuanto condición jurídica y civil de cada persona, no a un nivel de naciones, sino a uno de miras de alcance mundial. </w:t>
      </w:r>
    </w:p>
    <w:p w14:paraId="57708D20" w14:textId="0EF771B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Para Flikschuh, la obligación mutua que contiene la libertad externa, y que nos compele a entrar en relaciones de cooperación es</w:t>
      </w:r>
      <w:r w:rsidR="004B1037">
        <w:rPr>
          <w:rFonts w:ascii="Times New Roman" w:hAnsi="Times New Roman"/>
          <w:sz w:val="24"/>
          <w:szCs w:val="24"/>
        </w:rPr>
        <w:t>,</w:t>
      </w:r>
      <w:r w:rsidRPr="009666E0">
        <w:rPr>
          <w:rFonts w:ascii="Times New Roman" w:hAnsi="Times New Roman"/>
          <w:sz w:val="24"/>
          <w:szCs w:val="24"/>
        </w:rPr>
        <w:t xml:space="preserve"> </w:t>
      </w:r>
      <w:r w:rsidR="004B1037">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del pensamiento político de Kant, no es un agregado final, o un resultado </w:t>
      </w:r>
      <w:r w:rsidRPr="009666E0">
        <w:rPr>
          <w:rFonts w:ascii="Times New Roman" w:hAnsi="Times New Roman"/>
          <w:sz w:val="24"/>
          <w:szCs w:val="24"/>
        </w:rPr>
        <w:lastRenderedPageBreak/>
        <w:t xml:space="preserve">lineal de lo anterior, sino que su propuesta tiene precisamente por base un carácter de alcance general y de interés </w:t>
      </w:r>
      <w:r w:rsidR="00605106">
        <w:rPr>
          <w:rFonts w:ascii="Times New Roman" w:hAnsi="Times New Roman"/>
          <w:sz w:val="24"/>
          <w:szCs w:val="24"/>
        </w:rPr>
        <w:t>universal</w:t>
      </w:r>
      <w:r w:rsidRPr="009666E0">
        <w:rPr>
          <w:rFonts w:ascii="Times New Roman" w:hAnsi="Times New Roman"/>
          <w:sz w:val="24"/>
          <w:szCs w:val="24"/>
        </w:rPr>
        <w:t xml:space="preserve">. </w:t>
      </w:r>
    </w:p>
    <w:p w14:paraId="13E2E1C4" w14:textId="4D70FDD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consideración de Flikschuh en estas principales tesis supone, por lo tanto, una lectura del pensamiento político de Kant en virtud de resaltar el papel de la metafísica, del derecho como basado en una metafísica de la libertad</w:t>
      </w:r>
      <w:r w:rsidR="00605106">
        <w:rPr>
          <w:rFonts w:ascii="Times New Roman" w:hAnsi="Times New Roman"/>
          <w:sz w:val="24"/>
          <w:szCs w:val="24"/>
        </w:rPr>
        <w:t xml:space="preserve"> y, por lo tanto, </w:t>
      </w:r>
      <w:r w:rsidRPr="009666E0">
        <w:rPr>
          <w:rFonts w:ascii="Times New Roman" w:hAnsi="Times New Roman"/>
          <w:sz w:val="24"/>
          <w:szCs w:val="24"/>
        </w:rPr>
        <w:t>de la libertad externa en cuanto una obligación mutua y del cosmopolitismo como un elemento fundamental desde un inicio. En este capítulo, vamos a seguir</w:t>
      </w:r>
      <w:r w:rsidR="00605106">
        <w:rPr>
          <w:rFonts w:ascii="Times New Roman" w:hAnsi="Times New Roman"/>
          <w:sz w:val="24"/>
          <w:szCs w:val="24"/>
        </w:rPr>
        <w:t xml:space="preserve"> de cerca</w:t>
      </w:r>
      <w:r w:rsidRPr="009666E0">
        <w:rPr>
          <w:rFonts w:ascii="Times New Roman" w:hAnsi="Times New Roman"/>
          <w:sz w:val="24"/>
          <w:szCs w:val="24"/>
        </w:rPr>
        <w:t xml:space="preserve"> la argumentación de Flikschuh, para extraer una precisión del contexto y naturaleza del concepto de la libertad externa.</w:t>
      </w:r>
    </w:p>
    <w:p w14:paraId="01FBC737" w14:textId="1829488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Hay cuatro aspectos que perfilan la lectura de la doctrina del derecho para la autora, tal y como lo señala en la introducción. Ella </w:t>
      </w:r>
      <w:r w:rsidR="00605106">
        <w:rPr>
          <w:rFonts w:ascii="Times New Roman" w:hAnsi="Times New Roman"/>
          <w:sz w:val="24"/>
          <w:szCs w:val="24"/>
        </w:rPr>
        <w:t>refiere</w:t>
      </w:r>
      <w:r w:rsidRPr="009666E0">
        <w:rPr>
          <w:rFonts w:ascii="Times New Roman" w:hAnsi="Times New Roman"/>
          <w:sz w:val="24"/>
          <w:szCs w:val="24"/>
        </w:rPr>
        <w:t xml:space="preserve"> sobre estas cuatro características que: “La primera se refiere a la importancia de las restricciones naturales en relación a la agencia humana. La segunda es acerca de la noción de la finitud humana y la inevitable interdependencia entre sus agentes. El tercer aspecto es menos tangible y se refiere al concepto de la metafísica en el pensamiento político. (…) Debo agregar un cuarto elemento con la idea de libertad. Es poco sorprendente que la libertad sea central en la filosofía Política de Kant.” (</w:t>
      </w:r>
      <w:bookmarkStart w:id="4" w:name="_Hlk222313910"/>
      <w:r w:rsidRPr="009666E0">
        <w:rPr>
          <w:rFonts w:ascii="Times New Roman" w:hAnsi="Times New Roman"/>
          <w:sz w:val="24"/>
          <w:szCs w:val="24"/>
        </w:rPr>
        <w:t xml:space="preserve">2000; </w:t>
      </w:r>
      <w:bookmarkEnd w:id="4"/>
      <w:r w:rsidRPr="009666E0">
        <w:rPr>
          <w:rFonts w:ascii="Times New Roman" w:hAnsi="Times New Roman"/>
          <w:sz w:val="24"/>
          <w:szCs w:val="24"/>
        </w:rPr>
        <w:t xml:space="preserve">p.2) </w:t>
      </w:r>
    </w:p>
    <w:p w14:paraId="3316467F" w14:textId="3820BE8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Respecto a los temas centrales que ella considera en su libro, para interpretar la doctrina del derecho, es importante resaltar que deja de lado el apartado sobre el derecho público, y se centra en la primera parte de la doctrina del derecho, designada al derecho privado (referido, dentro de otras cosas, como el ámbito de la propiedad privada</w:t>
      </w:r>
      <w:r w:rsidR="00605106">
        <w:rPr>
          <w:rFonts w:ascii="Times New Roman" w:hAnsi="Times New Roman"/>
          <w:sz w:val="24"/>
          <w:szCs w:val="24"/>
        </w:rPr>
        <w:t xml:space="preserve"> y los contratos</w:t>
      </w:r>
      <w:r w:rsidRPr="009666E0">
        <w:rPr>
          <w:rFonts w:ascii="Times New Roman" w:hAnsi="Times New Roman"/>
          <w:sz w:val="24"/>
          <w:szCs w:val="24"/>
        </w:rPr>
        <w:t xml:space="preserve">) y en la parte que se designa al derecho cosmopolita. Ella señala que: “Mi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 </w:t>
      </w:r>
    </w:p>
    <w:p w14:paraId="789B54D8" w14:textId="2530436E" w:rsidR="00670045" w:rsidRPr="009666E0" w:rsidRDefault="00670045" w:rsidP="00670045">
      <w:pPr>
        <w:spacing w:line="360" w:lineRule="auto"/>
        <w:rPr>
          <w:rFonts w:ascii="Times New Roman" w:hAnsi="Times New Roman"/>
          <w:sz w:val="24"/>
          <w:szCs w:val="24"/>
        </w:rPr>
      </w:pPr>
      <w:r w:rsidRPr="001B2AD1">
        <w:rPr>
          <w:rFonts w:ascii="Times New Roman" w:hAnsi="Times New Roman"/>
          <w:color w:val="000000" w:themeColor="text1"/>
          <w:sz w:val="24"/>
          <w:szCs w:val="24"/>
        </w:rPr>
        <w:t>Esta puntualización define la lectura de la doctrina del derecho que hace Flikschuh</w:t>
      </w:r>
      <w:r w:rsidR="00605106" w:rsidRPr="001B2AD1">
        <w:rPr>
          <w:rFonts w:ascii="Times New Roman" w:hAnsi="Times New Roman"/>
          <w:color w:val="000000" w:themeColor="text1"/>
          <w:sz w:val="24"/>
          <w:szCs w:val="24"/>
        </w:rPr>
        <w:t xml:space="preserve"> </w:t>
      </w:r>
      <w:r w:rsidRPr="001B2AD1">
        <w:rPr>
          <w:rFonts w:ascii="Times New Roman" w:hAnsi="Times New Roman"/>
          <w:color w:val="000000" w:themeColor="text1"/>
          <w:sz w:val="24"/>
          <w:szCs w:val="24"/>
        </w:rPr>
        <w:t xml:space="preserve">y se centrará a lo largo de su libro en por lo menos dos elementos constitutivos y fundacionales para interpretar el pensamiento político de Kant. Estos elementos son la idea del deseo de propiedad privada como la raíz de un orden civil y la idea de una ley permisiva antes del estado de derecho. Estos dos aspectos apuntan al origen y razón de ser de una sociedad con leyes y en donde se despliega una libertad externa. Los elementos en que Flikschuh </w:t>
      </w:r>
      <w:r w:rsidRPr="009666E0">
        <w:rPr>
          <w:rFonts w:ascii="Times New Roman" w:hAnsi="Times New Roman"/>
          <w:sz w:val="24"/>
          <w:szCs w:val="24"/>
        </w:rPr>
        <w:t xml:space="preserve">se </w:t>
      </w:r>
      <w:r w:rsidRPr="009666E0">
        <w:rPr>
          <w:rFonts w:ascii="Times New Roman" w:hAnsi="Times New Roman"/>
          <w:sz w:val="24"/>
          <w:szCs w:val="24"/>
        </w:rPr>
        <w:lastRenderedPageBreak/>
        <w:t xml:space="preserve">enfocará representan condiciones de posibilidad para la existencia de un orden político de acuerdo a la forma de gobierno republicana que delinea Kant en la sección que se refiere a la administración del gobierno de los estados, es decir, sobre el derecho público.  </w:t>
      </w:r>
    </w:p>
    <w:p w14:paraId="7A12EA16"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Sobre la recepción de la doctrina del derecho, la autora indica que: “El texto originalmente publicado ha impactado a una generación de escolares de Kant no solo como oscura, sino como directamente confundida. (…) La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 Sin embargo, de acuerdo a B. Ludwig, ella atribuye el efecto posible de confusión a problemas editoriales, cuando señala que: “Una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 (2000; p.9)</w:t>
      </w:r>
    </w:p>
    <w:p w14:paraId="42AB4581"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Consideradas estas ideas introductorias sobre el libro de Flikschuh, podemos pasar a analizar los primeros capítulos. En la introducción se había anticipado lo siguiente respecto al tema central del primer capítulo: “Es un postulado central de este libro que la absorción del pensamiento político de Kant en el liberalismo contemporáneo es a lo mucho parcial.” (2000; p.2) y había agregado en seguida que: “Los escritos políticos de Kant, especialmente la doctrina del derecho, continúan siendo vistos negligentemente por los contemporáneos liberales.” (2000; p.3)</w:t>
      </w:r>
    </w:p>
    <w:p w14:paraId="3F9634E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primer capítulo, llamado: “La metafísica kantiana en el liberalismo contemporáneo” la autora sostiene la primera tesis del libro. 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 Una de las características que define el pensamiento político filosófico de Kant, apartado de las del liberalismo contemporáneo, es su soporte explícito hacia la metafísica.” (2000; p.5)</w:t>
      </w:r>
    </w:p>
    <w:p w14:paraId="0078C0B1"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marco categorial o encuadre metafísico, lo que da forma al pensamiento político de Kant y lo deja últimamente en una perspectiva muy diferente de aquella de los liberalistas contemporáneos.” (2000; p.6) </w:t>
      </w:r>
    </w:p>
    <w:p w14:paraId="3384E4F3"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primer capítulo, la autora se remite a lo que S. Körner se refiere como un marco categorial. Ella señala que: “Al desarrollar una noción de un marco categorial (…) espero conseguir un delineado de una posible aproximación a la metafísica de Kant. Esto proveería una estructura unificante para los argumentos exegéticos presentados en los capítulos subsecuentes. Sin anticipar mucho,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 (2000; p.13)</w:t>
      </w:r>
    </w:p>
    <w:p w14:paraId="0C4FFCE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lo comprensivo, se considera, que incluye el compromiso público a unas presuposiciones de una metafísica particular que soportan la perspectiva del bien en cuestión.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(2000; p.13) Como una posibilidad </w:t>
      </w:r>
      <w:r w:rsidRPr="009666E0">
        <w:rPr>
          <w:rFonts w:ascii="Times New Roman" w:hAnsi="Times New Roman"/>
          <w:sz w:val="24"/>
          <w:szCs w:val="24"/>
        </w:rPr>
        <w:lastRenderedPageBreak/>
        <w:t xml:space="preserve">contraria, la autora propone que la tesis podría tener la carga 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73A6A30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Flikschuh separa varios bandos en la controversia, para analizar el impacto de Kant y resaltar la repetida negligencia de la dimensión metafísica. Ella señala a los liberales clásicos, los liberales críticos y los comunitaristas, aunque se centra en los dos primeros. La autora, de esta forma, sobre los primeros, refiere que: “Dibujo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 (2000; p.14)</w:t>
      </w:r>
    </w:p>
    <w:p w14:paraId="5AC8B84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Luego, Flikschuh, retrata a los comunitaristas como críticos de los liberales, pero no como propulsores de propuestas. Así, ella refiere que: “El trasfondo intelectual del comunitarismo es más diverso. Los autores comunitaristas toman de las filosofías de Aristóteles, Hegel y el segundo Wittgenstein. Lo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 (2000; p.14)</w:t>
      </w:r>
    </w:p>
    <w:p w14:paraId="6151E8D6"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último, Flikschuh señala que: “Finalmente está el liberalismo crítico. A pesar de ser más influyente en la Europa continental, ofrece una contraparte interesante al liberalismo clásico. Respecto de la recepción de la metafísica kantiana, como su nombre sugiere, el </w:t>
      </w:r>
      <w:r w:rsidRPr="009666E0">
        <w:rPr>
          <w:rFonts w:ascii="Times New Roman" w:hAnsi="Times New Roman"/>
          <w:sz w:val="24"/>
          <w:szCs w:val="24"/>
        </w:rPr>
        <w:lastRenderedPageBreak/>
        <w:t xml:space="preserve">liberalismo crítico fue desarrollado desde la teoría crítica, sacando ideas de Marx, Weber, Adorno y Horkheimer, entre otros. Para ellos, el liberalismo crítico agrega la idea de estado de derecho, lo que </w:t>
      </w:r>
      <w:proofErr w:type="gramStart"/>
      <w:r w:rsidRPr="009666E0">
        <w:rPr>
          <w:rFonts w:ascii="Times New Roman" w:hAnsi="Times New Roman"/>
          <w:sz w:val="24"/>
          <w:szCs w:val="24"/>
        </w:rPr>
        <w:t>les</w:t>
      </w:r>
      <w:proofErr w:type="gramEnd"/>
      <w:r w:rsidRPr="009666E0">
        <w:rPr>
          <w:rFonts w:ascii="Times New Roman" w:hAnsi="Times New Roman"/>
          <w:sz w:val="24"/>
          <w:szCs w:val="24"/>
        </w:rPr>
        <w:t xml:space="preserve"> vincula a la filosofía política de Kant.” (2000; p.15)</w:t>
      </w:r>
    </w:p>
    <w:p w14:paraId="1E5E354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la consideración de estos tres amplios bandos, la autora considera que difícilmente se puede tomar la etiqueta como una categoría cerrada y restrictiva, por cuanto: “Esta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 (2000; p.15) Para la autora, esto último es lo fundamental, por cuanto, por lo general, estos bandos conceden el despliegue de lo metafísico a nivel personal, pero no en un sentido público. </w:t>
      </w:r>
    </w:p>
    <w:p w14:paraId="1F2FC9D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este mismo último sentido, ella refiere que: “A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 (2000; p.20) Esto refuerza la idea que discute la autora, respecto a que la metafísica, por lo general, en las discusiones contemporáneas, ha sido relegada en todo esfuerzo teórico de filosofía política.</w:t>
      </w:r>
    </w:p>
    <w:p w14:paraId="075E915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Esto resulta en el corazón de la primera tesis de Flikschuh.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 (2000; p.20) En este sentido, la tesis central de la autora se encuentra dirigida a esos dos frentes, representados por Rawls y Habermas, en donde se sostiene que el papel de la metafísica en debates políticos no debería entenderse como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es normativo y apunta a concretar algo en la realidad, que muchas veces todavía no existe en lo concreto de la práctica, pero si en la fuerza de su idea regulativa. </w:t>
      </w:r>
    </w:p>
    <w:p w14:paraId="51FADA2C" w14:textId="7146128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En el panorama de los tres bandos descritos, todos parecen sostener una idea en común, a pesar de sus diferencias. Flikschuh señala que: “La contención es directa, que las creencias metafísicas no son de importancia en el contexto de la justificación política.” (2000; p.21)</w:t>
      </w:r>
      <w:r w:rsidR="000C264A">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p>
    <w:p w14:paraId="1F90B7D5" w14:textId="2840D62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rescata cuatro elementos que deriva de la idea de marco categorial de Körner. Ella indica que: “El marco categorial de una persona tiene una evidente orientación epistemológica, reflejando asunciones particulares acerca de la condición de la experiencia cognitiva que no puedo discutir aquí. Sin embargo, cuatro características de la exposición de Korner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(2000; p.33) </w:t>
      </w:r>
    </w:p>
    <w:p w14:paraId="0DE924C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Estos cuatro elementos del marco categorial son el fundamento para interpretarle como la estructura de un trasfondo metafísico necesario e inevitable para toda persona, sin que se desentienda de la experiencia real. Flikschuh concluye que: “En suma, el pensamiento metafísico, entendido en términos de un marco categorial, constituye la reconstrucción reflectiva de una persona de su experiencia cognitiva del mundo público accesible a la estructura válida intersubjetiva de la cual el marco categorial apunta a identificar y elucidar para el propósito de guiar el pensamiento y la acción.” (2000; p.35)</w:t>
      </w:r>
    </w:p>
    <w:p w14:paraId="4435655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esta forma, la autora afirma que: “Ciertamente Korner explícitamente estipula que el marco categorial de una persona define su metafísica inmanente.” (2000; p.36) Y precisamente, en este sentido, Flikschuh aboga por “Defender la función pública de la metafísica en el pensamiento político.” (2000; p.47) </w:t>
      </w:r>
    </w:p>
    <w:p w14:paraId="4F7DECD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uso de la metafísica en la reflexión política, entendido de esta manera, no se desentiende del resto del sistema crítico del pensamiento de Kant. Flikschuh, en esta línea, estipula que: “La metafísica inmanente de Kant - la organización e integración de sus supremos principios teóricos y prácticos - está articulada en términos de su doctrina filosófica de idealismo trascendental.” (2000; p.48) </w:t>
      </w:r>
    </w:p>
    <w:p w14:paraId="2CF4927C" w14:textId="5B46D68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Flikschuh señala el encuadre de la doctrina del derecho, como parte de los esfuerzos de la razón práctica, en el escenario del contraste entre las leyes naturales y las leyes de la libertad. Este tema es desarrollado por Kant en la </w:t>
      </w:r>
      <w:r w:rsidRPr="000C264A">
        <w:rPr>
          <w:rFonts w:ascii="Times New Roman" w:hAnsi="Times New Roman"/>
          <w:i/>
          <w:iCs/>
          <w:sz w:val="24"/>
          <w:szCs w:val="24"/>
        </w:rPr>
        <w:t>C</w:t>
      </w:r>
      <w:r w:rsidR="000C264A" w:rsidRPr="000C264A">
        <w:rPr>
          <w:rFonts w:ascii="Times New Roman" w:hAnsi="Times New Roman"/>
          <w:i/>
          <w:iCs/>
          <w:sz w:val="24"/>
          <w:szCs w:val="24"/>
        </w:rPr>
        <w:t xml:space="preserve">rítica de la </w:t>
      </w:r>
      <w:r w:rsidRPr="000C264A">
        <w:rPr>
          <w:rFonts w:ascii="Times New Roman" w:hAnsi="Times New Roman"/>
          <w:i/>
          <w:iCs/>
          <w:sz w:val="24"/>
          <w:szCs w:val="24"/>
        </w:rPr>
        <w:t>R</w:t>
      </w:r>
      <w:r w:rsidR="000C264A" w:rsidRPr="000C264A">
        <w:rPr>
          <w:rFonts w:ascii="Times New Roman" w:hAnsi="Times New Roman"/>
          <w:i/>
          <w:iCs/>
          <w:sz w:val="24"/>
          <w:szCs w:val="24"/>
        </w:rPr>
        <w:t xml:space="preserve">azón </w:t>
      </w:r>
      <w:r w:rsidRPr="000C264A">
        <w:rPr>
          <w:rFonts w:ascii="Times New Roman" w:hAnsi="Times New Roman"/>
          <w:i/>
          <w:iCs/>
          <w:sz w:val="24"/>
          <w:szCs w:val="24"/>
        </w:rPr>
        <w:t>P</w:t>
      </w:r>
      <w:r w:rsidR="000C264A" w:rsidRPr="000C264A">
        <w:rPr>
          <w:rFonts w:ascii="Times New Roman" w:hAnsi="Times New Roman"/>
          <w:i/>
          <w:iCs/>
          <w:sz w:val="24"/>
          <w:szCs w:val="24"/>
        </w:rPr>
        <w:t>ura</w:t>
      </w:r>
      <w:r w:rsidRPr="009666E0">
        <w:rPr>
          <w:rFonts w:ascii="Times New Roman" w:hAnsi="Times New Roman"/>
          <w:sz w:val="24"/>
          <w:szCs w:val="24"/>
        </w:rPr>
        <w:t xml:space="preserve"> en la tercera antinomia de la razón, en donde se confronta la idea racional de causalidad</w:t>
      </w:r>
      <w:r w:rsidR="000C264A">
        <w:rPr>
          <w:rFonts w:ascii="Times New Roman" w:hAnsi="Times New Roman"/>
          <w:sz w:val="24"/>
          <w:szCs w:val="24"/>
        </w:rPr>
        <w:t xml:space="preserve"> material</w:t>
      </w:r>
      <w:r w:rsidRPr="009666E0">
        <w:rPr>
          <w:rFonts w:ascii="Times New Roman" w:hAnsi="Times New Roman"/>
          <w:sz w:val="24"/>
          <w:szCs w:val="24"/>
        </w:rPr>
        <w:t xml:space="preserve"> con la idea de libertad</w:t>
      </w:r>
      <w:r w:rsidR="000C264A">
        <w:rPr>
          <w:rFonts w:ascii="Times New Roman" w:hAnsi="Times New Roman"/>
          <w:sz w:val="24"/>
          <w:szCs w:val="24"/>
        </w:rPr>
        <w:t xml:space="preserve"> de la voluntad.</w:t>
      </w:r>
      <w:r w:rsidRPr="009666E0">
        <w:rPr>
          <w:rFonts w:ascii="Times New Roman" w:hAnsi="Times New Roman"/>
          <w:sz w:val="24"/>
          <w:szCs w:val="24"/>
        </w:rPr>
        <w:t xml:space="preserve"> Esta antigua controversia entre determinismo y libertad es resuelta de tal modo, que resulta fundamental para el ámbito del pensamiento político. Este tema se encuentra desarrollado más precisamente en el siguiente capítulo del libro de Flikschuh. </w:t>
      </w:r>
    </w:p>
    <w:p w14:paraId="3DA45B5D"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constricciones de la realidad empírica.” (2000; p.48)</w:t>
      </w:r>
    </w:p>
    <w:p w14:paraId="6551E11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primer capítulo del libro de Flikschuh concluye habiendo establecido la tesis de la importancia de la metafísica para la reflexión política, y abriendo paso a los elementos que constituyen los pilares de la metafísica particular que soporta el pensamiento político de Kant. En este sentido, ella refiere que: “La reconciliación entre la causalidad y la libertad en la doctrina del derecho puede ser concedida solo en términos prácticos, y esto presupone un reconocimiento de la finitud del conocimiento humano. En los siguientes capítulos, el tratamiento del concepto de causalidad, la idea de libertad y la noción de finitud humana se consideran como tres categorías centrales metafísicas que dan forma a la aproximación de Kant al problema del derecho en su doctrina.” (2000; p.48)</w:t>
      </w:r>
    </w:p>
    <w:p w14:paraId="11351530" w14:textId="2D6BEDC0" w:rsidR="00670045" w:rsidRPr="009666E0" w:rsidRDefault="00C3561F" w:rsidP="00670045">
      <w:pPr>
        <w:spacing w:line="360" w:lineRule="auto"/>
        <w:rPr>
          <w:rFonts w:ascii="Times New Roman" w:hAnsi="Times New Roman"/>
          <w:sz w:val="24"/>
          <w:szCs w:val="24"/>
        </w:rPr>
      </w:pPr>
      <w:r>
        <w:rPr>
          <w:rFonts w:ascii="Times New Roman" w:hAnsi="Times New Roman"/>
          <w:sz w:val="24"/>
          <w:szCs w:val="24"/>
        </w:rPr>
        <w:t>La autora realizará un</w:t>
      </w:r>
      <w:r w:rsidR="009323C5">
        <w:rPr>
          <w:rFonts w:ascii="Times New Roman" w:hAnsi="Times New Roman"/>
          <w:sz w:val="24"/>
          <w:szCs w:val="24"/>
        </w:rPr>
        <w:t xml:space="preserve"> desarrollo de la idea de</w:t>
      </w:r>
      <w:r w:rsidR="00670045" w:rsidRPr="009666E0">
        <w:rPr>
          <w:rFonts w:ascii="Times New Roman" w:hAnsi="Times New Roman"/>
          <w:sz w:val="24"/>
          <w:szCs w:val="24"/>
        </w:rPr>
        <w:t xml:space="preserve">: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00670045" w:rsidRPr="009666E0">
        <w:rPr>
          <w:rFonts w:ascii="Times New Roman" w:hAnsi="Times New Roman"/>
          <w:i/>
          <w:iCs/>
          <w:sz w:val="24"/>
          <w:szCs w:val="24"/>
        </w:rPr>
        <w:t>lawlikeness</w:t>
      </w:r>
      <w:proofErr w:type="spellEnd"/>
      <w:r w:rsidR="00670045" w:rsidRPr="009666E0">
        <w:rPr>
          <w:rFonts w:ascii="Times New Roman" w:hAnsi="Times New Roman"/>
          <w:sz w:val="24"/>
          <w:szCs w:val="24"/>
        </w:rPr>
        <w:t xml:space="preserve">). Además, la autora enfatiza el hecho de que la idea de libertad es una idea “compartida”. </w:t>
      </w:r>
    </w:p>
    <w:p w14:paraId="3C7A8025" w14:textId="7B1F75C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w:t>
      </w:r>
      <w:r w:rsidRPr="009666E0">
        <w:rPr>
          <w:rFonts w:ascii="Times New Roman" w:hAnsi="Times New Roman"/>
          <w:sz w:val="24"/>
          <w:szCs w:val="24"/>
        </w:rPr>
        <w:lastRenderedPageBreak/>
        <w:t>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(2000; p.50)</w:t>
      </w:r>
    </w:p>
    <w:p w14:paraId="4292DDA3" w14:textId="6A9F5BD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a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(2000; p.51) </w:t>
      </w:r>
      <w:r w:rsidR="008B4E13">
        <w:rPr>
          <w:rFonts w:ascii="Times New Roman" w:hAnsi="Times New Roman"/>
          <w:sz w:val="24"/>
          <w:szCs w:val="24"/>
        </w:rPr>
        <w:t>(</w:t>
      </w:r>
      <w:r w:rsidRPr="009666E0">
        <w:rPr>
          <w:rFonts w:ascii="Times New Roman" w:hAnsi="Times New Roman"/>
          <w:sz w:val="24"/>
          <w:szCs w:val="24"/>
        </w:rPr>
        <w:t>Esta controversia, en Kant,</w:t>
      </w:r>
      <w:r w:rsidR="008B4E13">
        <w:rPr>
          <w:rFonts w:ascii="Times New Roman" w:hAnsi="Times New Roman"/>
          <w:sz w:val="24"/>
          <w:szCs w:val="24"/>
        </w:rPr>
        <w:t xml:space="preserve"> como se ha comentado antes,</w:t>
      </w:r>
      <w:r w:rsidRPr="009666E0">
        <w:rPr>
          <w:rFonts w:ascii="Times New Roman" w:hAnsi="Times New Roman"/>
          <w:sz w:val="24"/>
          <w:szCs w:val="24"/>
        </w:rPr>
        <w:t xml:space="preserve"> se puede pensar bajo la consideración de que el ser humano parece pertenecer a dos ámbitos al mismo tiempo, a la causalidad natural y a la libertad moral.</w:t>
      </w:r>
      <w:r w:rsidR="008B4E13">
        <w:rPr>
          <w:rFonts w:ascii="Times New Roman" w:hAnsi="Times New Roman"/>
          <w:sz w:val="24"/>
          <w:szCs w:val="24"/>
        </w:rPr>
        <w:t>)</w:t>
      </w:r>
      <w:r w:rsidRPr="009666E0">
        <w:rPr>
          <w:rFonts w:ascii="Times New Roman" w:hAnsi="Times New Roman"/>
          <w:sz w:val="24"/>
          <w:szCs w:val="24"/>
        </w:rPr>
        <w:t xml:space="preserve"> Flikschuh defiende una lectura que no hace de Kant un compatibilista, ni un incompatibilista, sino algo distinto. </w:t>
      </w:r>
    </w:p>
    <w:p w14:paraId="174D9A06" w14:textId="17EF2B93"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sidR="008B4E13">
        <w:rPr>
          <w:rFonts w:ascii="Times New Roman" w:hAnsi="Times New Roman"/>
          <w:sz w:val="24"/>
          <w:szCs w:val="24"/>
        </w:rPr>
        <w:t>,</w:t>
      </w:r>
      <w:r w:rsidRPr="009666E0">
        <w:rPr>
          <w:rFonts w:ascii="Times New Roman" w:hAnsi="Times New Roman"/>
          <w:sz w:val="24"/>
          <w:szCs w:val="24"/>
        </w:rPr>
        <w:t xml:space="preserve"> por lo tanto</w:t>
      </w:r>
      <w:r w:rsidR="008B4E13">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(2000; p.51) </w:t>
      </w:r>
    </w:p>
    <w:p w14:paraId="171A898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(2000; p.53) </w:t>
      </w:r>
    </w:p>
    <w:p w14:paraId="5DF5A128" w14:textId="77777777" w:rsidR="008B4E13"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w:t>
      </w:r>
      <w:r w:rsidR="008B4E13" w:rsidRPr="008B4E13">
        <w:rPr>
          <w:rFonts w:ascii="Times New Roman" w:hAnsi="Times New Roman"/>
          <w:i/>
          <w:iCs/>
          <w:sz w:val="24"/>
          <w:szCs w:val="24"/>
        </w:rPr>
        <w:t xml:space="preserve">rítica de la </w:t>
      </w:r>
      <w:r w:rsidRPr="008B4E13">
        <w:rPr>
          <w:rFonts w:ascii="Times New Roman" w:hAnsi="Times New Roman"/>
          <w:i/>
          <w:iCs/>
          <w:sz w:val="24"/>
          <w:szCs w:val="24"/>
        </w:rPr>
        <w:t>R</w:t>
      </w:r>
      <w:r w:rsidR="008B4E13" w:rsidRPr="008B4E13">
        <w:rPr>
          <w:rFonts w:ascii="Times New Roman" w:hAnsi="Times New Roman"/>
          <w:i/>
          <w:iCs/>
          <w:sz w:val="24"/>
          <w:szCs w:val="24"/>
        </w:rPr>
        <w:t xml:space="preserve">azón </w:t>
      </w:r>
      <w:r w:rsidRPr="008B4E13">
        <w:rPr>
          <w:rFonts w:ascii="Times New Roman" w:hAnsi="Times New Roman"/>
          <w:i/>
          <w:iCs/>
          <w:sz w:val="24"/>
          <w:szCs w:val="24"/>
        </w:rPr>
        <w:t>P</w:t>
      </w:r>
      <w:r w:rsidR="008B4E13" w:rsidRPr="008B4E13">
        <w:rPr>
          <w:rFonts w:ascii="Times New Roman" w:hAnsi="Times New Roman"/>
          <w:i/>
          <w:iCs/>
          <w:sz w:val="24"/>
          <w:szCs w:val="24"/>
        </w:rPr>
        <w:t>ura</w:t>
      </w:r>
      <w:r w:rsidRPr="009666E0">
        <w:rPr>
          <w:rFonts w:ascii="Times New Roman" w:hAnsi="Times New Roman"/>
          <w:sz w:val="24"/>
          <w:szCs w:val="24"/>
        </w:rPr>
        <w:t xml:space="preserve">. Bajo su interpretación de la epistemología, con el giro copernicano que realiza, es posible distinguir una metafísica dogmática de una metafísica crítica. La primera puede entenderse como trascendente y la segunda como trascendental. </w:t>
      </w:r>
    </w:p>
    <w:p w14:paraId="701C0152" w14:textId="5E64D96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7D6BA6D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25EC704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Flikschuh habrá de girar su atención hacia 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(2000; p.54)</w:t>
      </w:r>
    </w:p>
    <w:p w14:paraId="7A62A7AE" w14:textId="77777777" w:rsidR="008B4E13"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señala al respecto que: “Kant define una antinomia como un conflicto de la razón. Más específicamente, es un conflicto de la razón consigo misma.” (2000; p.58) </w:t>
      </w:r>
    </w:p>
    <w:p w14:paraId="7A9C3C77" w14:textId="333459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determinista y sin libertad. En el campo nouménico, sin embargo, más allá de la experiencia posible, la razón puede pensar en la libertad como algo que tiene una causalidad en sí misma y es propia de los seres racionales. </w:t>
      </w:r>
      <w:r w:rsidRPr="009666E0">
        <w:rPr>
          <w:rFonts w:ascii="Times New Roman" w:hAnsi="Times New Roman"/>
          <w:sz w:val="24"/>
          <w:szCs w:val="24"/>
        </w:rPr>
        <w:lastRenderedPageBreak/>
        <w:t xml:space="preserve">La libertad moral no contradice el mundo determinado, porque se encuentra en otro ámbito distinto del de los fenómenos de leyes naturales. </w:t>
      </w:r>
    </w:p>
    <w:p w14:paraId="56C897EA" w14:textId="55C8F3B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sidR="00BB4933">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p>
    <w:p w14:paraId="6878E16B" w14:textId="77777777"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(2000; p.54) Y por lo anteriormente discutido, ella concluye que: “Si Kant no es un incompatibilista, tampoco es un compatibilista. Como Wood lo expresa, la búsqueda de Kant por una tercera alternativa le hace un “incompatibilista compatibilista”, o lo que yo llamo un no-compatibilista. (2000; p.54) </w:t>
      </w:r>
    </w:p>
    <w:p w14:paraId="196BBFEF" w14:textId="72D37EC9" w:rsidR="00BB4933" w:rsidRPr="009666E0" w:rsidRDefault="00BB4933" w:rsidP="00670045">
      <w:pPr>
        <w:spacing w:line="360" w:lineRule="auto"/>
        <w:rPr>
          <w:rFonts w:ascii="Times New Roman" w:hAnsi="Times New Roman"/>
          <w:sz w:val="24"/>
          <w:szCs w:val="24"/>
        </w:rPr>
      </w:pPr>
      <w:r>
        <w:rPr>
          <w:rFonts w:ascii="Times New Roman" w:hAnsi="Times New Roman"/>
          <w:sz w:val="24"/>
          <w:szCs w:val="24"/>
        </w:rPr>
        <w:t xml:space="preserve">Esto refuerza la idea de que Kant no cae en la vieja discusión de la libertad,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precisamente, una idea de libertad en cuanto algo jurídico, civil y político, al nivel racional que nos exhorta a un acuerdo civil por la mera gravedad de la noción. </w:t>
      </w:r>
    </w:p>
    <w:p w14:paraId="5D318E6F" w14:textId="6818F665" w:rsidR="00572FD8" w:rsidRDefault="00BB4933" w:rsidP="00572FD8">
      <w:pPr>
        <w:spacing w:line="360" w:lineRule="auto"/>
        <w:rPr>
          <w:rFonts w:ascii="Times New Roman" w:hAnsi="Times New Roman"/>
          <w:sz w:val="24"/>
          <w:szCs w:val="24"/>
        </w:rPr>
      </w:pPr>
      <w:r>
        <w:rPr>
          <w:rFonts w:ascii="Times New Roman" w:hAnsi="Times New Roman"/>
          <w:sz w:val="24"/>
          <w:szCs w:val="24"/>
        </w:rPr>
        <w:t>La diferencia entre un modelo y otro es de suma importancia, ya que enriquece la idea de una libertad externa en cuanto obligación política. En el modelo determinista, uno puede caer en lo que Leibniz llamaba “el silogismo del hombre vago”</w:t>
      </w:r>
      <w:r w:rsidR="00572FD8">
        <w:rPr>
          <w:rFonts w:ascii="Times New Roman" w:hAnsi="Times New Roman"/>
          <w:sz w:val="24"/>
          <w:szCs w:val="24"/>
        </w:rPr>
        <w:t xml:space="preserve">, es decir, un argumento que defiende el nihilismo, o el fatalismo “árabe”, como él le refiere en su </w:t>
      </w:r>
      <w:r w:rsidR="00572FD8" w:rsidRPr="00572FD8">
        <w:rPr>
          <w:rFonts w:ascii="Times New Roman" w:hAnsi="Times New Roman"/>
          <w:i/>
          <w:iCs/>
          <w:sz w:val="24"/>
          <w:szCs w:val="24"/>
        </w:rPr>
        <w:t>Teodicea</w:t>
      </w:r>
      <w:r w:rsidR="00572FD8">
        <w:rPr>
          <w:rFonts w:ascii="Times New Roman" w:hAnsi="Times New Roman"/>
          <w:i/>
          <w:iCs/>
          <w:sz w:val="24"/>
          <w:szCs w:val="24"/>
        </w:rPr>
        <w:t>.</w:t>
      </w:r>
      <w:r w:rsidR="00572FD8">
        <w:rPr>
          <w:rFonts w:ascii="Times New Roman" w:hAnsi="Times New Roman"/>
          <w:sz w:val="24"/>
          <w:szCs w:val="24"/>
        </w:rPr>
        <w:t xml:space="preserve"> El argumento supone que no debemos hacer nada, porque ya todo está determinado. Esto, desde Leibniz, supone entregarnos al fatalismo, o a una dejadez, como si no pudiéramos hacer nada para </w:t>
      </w:r>
      <w:r w:rsidR="00572FD8">
        <w:rPr>
          <w:rFonts w:ascii="Times New Roman" w:hAnsi="Times New Roman"/>
          <w:sz w:val="24"/>
          <w:szCs w:val="24"/>
        </w:rPr>
        <w:lastRenderedPageBreak/>
        <w:t>cambiar algunas pocas significativas cosas. En el caso de Kant, la reflexión de una libertad como una idea regulativa para la acción, en cuanto mutua, es una obligación moral y externa</w:t>
      </w:r>
      <w:r w:rsidR="009D11EC">
        <w:rPr>
          <w:rFonts w:ascii="Times New Roman" w:hAnsi="Times New Roman"/>
          <w:sz w:val="24"/>
          <w:szCs w:val="24"/>
        </w:rPr>
        <w:t>, por lo tanto, no un asunto metafísico dogmático, sino uno de metafísica crítica de práctica jurídica, civil, política y cosmopolítica</w:t>
      </w:r>
      <w:r w:rsidR="00572FD8">
        <w:rPr>
          <w:rFonts w:ascii="Times New Roman" w:hAnsi="Times New Roman"/>
          <w:sz w:val="24"/>
          <w:szCs w:val="24"/>
        </w:rPr>
        <w:t xml:space="preserve">. </w:t>
      </w:r>
    </w:p>
    <w:p w14:paraId="65D85104" w14:textId="20B167A5" w:rsidR="00670045" w:rsidRPr="009666E0" w:rsidRDefault="00572FD8" w:rsidP="00670045">
      <w:pPr>
        <w:spacing w:line="360" w:lineRule="auto"/>
        <w:rPr>
          <w:rFonts w:ascii="Times New Roman" w:hAnsi="Times New Roman"/>
          <w:sz w:val="24"/>
          <w:szCs w:val="24"/>
        </w:rPr>
      </w:pPr>
      <w:r>
        <w:rPr>
          <w:rFonts w:ascii="Times New Roman" w:hAnsi="Times New Roman"/>
          <w:sz w:val="24"/>
          <w:szCs w:val="24"/>
        </w:rPr>
        <w:t xml:space="preserve">En el caso de Leibniz, se puede caer en el problema de la libertad entendida desde Lutero, que exime a las personas de una responsabilidad moral, en virtud de que la salvación depende de la voluntad divina, y no de los actos libres. En el caso de Kant, se enfatiza el sentido del deber, </w:t>
      </w:r>
      <w:r w:rsidR="009D11EC">
        <w:rPr>
          <w:rFonts w:ascii="Times New Roman" w:hAnsi="Times New Roman"/>
          <w:sz w:val="24"/>
          <w:szCs w:val="24"/>
        </w:rPr>
        <w:t>y,</w:t>
      </w:r>
      <w:r>
        <w:rPr>
          <w:rFonts w:ascii="Times New Roman" w:hAnsi="Times New Roman"/>
          <w:sz w:val="24"/>
          <w:szCs w:val="24"/>
        </w:rPr>
        <w:t xml:space="preserve"> por lo tanto, la misma idea de libertad considera una necesidad de que todos colaboren con la libertad de otros, </w:t>
      </w:r>
      <w:r w:rsidR="009D11EC">
        <w:rPr>
          <w:rFonts w:ascii="Times New Roman" w:hAnsi="Times New Roman"/>
          <w:sz w:val="24"/>
          <w:szCs w:val="24"/>
        </w:rPr>
        <w:t>y por ello</w:t>
      </w:r>
      <w:r>
        <w:rPr>
          <w:rFonts w:ascii="Times New Roman" w:hAnsi="Times New Roman"/>
          <w:sz w:val="24"/>
          <w:szCs w:val="24"/>
        </w:rPr>
        <w:t xml:space="preserve">, que la libertad supone una obligación necesaria de convivencia mutua. </w:t>
      </w:r>
      <w:r w:rsidR="00670045"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 (2000; p.64)</w:t>
      </w:r>
    </w:p>
    <w:p w14:paraId="36A8EB7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En este marco que engloba lo propuesto por Kant, la libertad humana se entiende de un modo muy preciso, y de esta forma: “Lo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(2000; p.73) Y es precisamente en este sentido, que ella defiende: “El concepto de Kant de la libertad como algo semejante a la ley, en cuanto idea de la razón.” (2000; p.74)</w:t>
      </w:r>
    </w:p>
    <w:p w14:paraId="095DC71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(2000; p.75) Ella habrá de proponer las leyes de la libertad como unas que toman de un modelo a las ciencias. En este horizonte, ella afirma que: “Tal como las leyes de la causalidad gobiernan nuestro ordenamiento sistemático de los eventos en la naturaleza, así las leyes de la razón, en su capacidad práctica, regulan las acciones libremente determinadas de los agentes humanos.” (2000; p.75)</w:t>
      </w:r>
    </w:p>
    <w:p w14:paraId="6DAC74AE" w14:textId="47A9935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sidR="000F1E6A">
        <w:rPr>
          <w:rFonts w:ascii="Times New Roman" w:hAnsi="Times New Roman"/>
          <w:sz w:val="24"/>
          <w:szCs w:val="24"/>
        </w:rPr>
        <w:t>“</w:t>
      </w:r>
      <w:r w:rsidRPr="009666E0">
        <w:rPr>
          <w:rFonts w:ascii="Times New Roman" w:hAnsi="Times New Roman"/>
          <w:sz w:val="24"/>
          <w:szCs w:val="24"/>
        </w:rPr>
        <w:t>finitud humana</w:t>
      </w:r>
      <w:r w:rsidR="000F1E6A">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w:t>
      </w:r>
      <w:r w:rsidRPr="009666E0">
        <w:rPr>
          <w:rFonts w:ascii="Times New Roman" w:hAnsi="Times New Roman"/>
          <w:sz w:val="24"/>
          <w:szCs w:val="24"/>
        </w:rPr>
        <w:lastRenderedPageBreak/>
        <w:t>libertad. Para considerar esto, considérese la forma en que la noción humana de finitud media entre la causalidad y la idea de libertad. (2000; p.76) En esta línea, 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(2000; p.77)</w:t>
      </w:r>
    </w:p>
    <w:p w14:paraId="0C052C8D"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(2000; p.77)</w:t>
      </w:r>
    </w:p>
    <w:p w14:paraId="3D8AE21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(2000; p.77)</w:t>
      </w:r>
    </w:p>
    <w:p w14:paraId="141016B3" w14:textId="55E90780" w:rsidR="00670045" w:rsidRPr="009666E0" w:rsidRDefault="00670045" w:rsidP="00670045">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ámbito, el natural y el moral. 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(2000; p.78) Esto relaciona los actos de la libertad exterior con las máximas o principios que gobiernan los actos razonados, y, por lo tanto, libres</w:t>
      </w:r>
      <w:r w:rsidR="00C3561F">
        <w:rPr>
          <w:rFonts w:ascii="Times New Roman" w:hAnsi="Times New Roman"/>
          <w:sz w:val="24"/>
          <w:szCs w:val="24"/>
        </w:rPr>
        <w:t>, dejando así el énfasis en la justificación de los actos externos, y con ello, en la obligación moral de la libertad externa</w:t>
      </w:r>
      <w:r w:rsidRPr="009666E0">
        <w:rPr>
          <w:rFonts w:ascii="Times New Roman" w:hAnsi="Times New Roman"/>
          <w:sz w:val="24"/>
          <w:szCs w:val="24"/>
        </w:rPr>
        <w:t>.</w:t>
      </w:r>
    </w:p>
    <w:p w14:paraId="4843870D" w14:textId="3302514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w:t>
      </w:r>
      <w:r w:rsidRPr="009666E0">
        <w:rPr>
          <w:rFonts w:ascii="Times New Roman" w:hAnsi="Times New Roman"/>
          <w:sz w:val="24"/>
          <w:szCs w:val="24"/>
        </w:rPr>
        <w:lastRenderedPageBreak/>
        <w:t>para la experimentación y el entendimiento. En este sentido, Flikschuh apunta que: “El reconocimiento de las constricciones de la naturaleza debe formar parte integral de la deliberación de los agentes acerca de sus actos.” (2000; p.78) Y luego agrega que: “El conocer las constricciones de la naturaleza en relación a los actos propios es simplemente tomar esas limitaciones en cuenta en las deliberaciones prácticas de uno mismo.” (2000; p.79) Es por esta razón que la autora señalaba el papel de los límites humanos del entendimiento a la hora de reconciliar a las leyes naturales con la libertad</w:t>
      </w:r>
      <w:r w:rsidR="00C3561F">
        <w:rPr>
          <w:rFonts w:ascii="Times New Roman" w:hAnsi="Times New Roman"/>
          <w:sz w:val="24"/>
          <w:szCs w:val="24"/>
        </w:rPr>
        <w:t>, en lugar de contraponerlas como se hacía tradicionalmente</w:t>
      </w:r>
      <w:r w:rsidRPr="009666E0">
        <w:rPr>
          <w:rFonts w:ascii="Times New Roman" w:hAnsi="Times New Roman"/>
          <w:sz w:val="24"/>
          <w:szCs w:val="24"/>
        </w:rPr>
        <w:t xml:space="preserve">. Este elemento de limitación humana que se busca reconciliar, se convierte en la base de su consideración de la libertad, en lugar de tener un fundamento dogmático. </w:t>
      </w:r>
    </w:p>
    <w:p w14:paraId="61A0D623" w14:textId="1A5C3DA3" w:rsidR="00670045" w:rsidRDefault="00C3561F" w:rsidP="00670045">
      <w:pPr>
        <w:spacing w:line="360" w:lineRule="auto"/>
        <w:rPr>
          <w:rFonts w:ascii="Times New Roman" w:hAnsi="Times New Roman"/>
          <w:sz w:val="24"/>
          <w:szCs w:val="24"/>
        </w:rPr>
      </w:pPr>
      <w:r>
        <w:rPr>
          <w:rFonts w:ascii="Times New Roman" w:hAnsi="Times New Roman"/>
          <w:sz w:val="24"/>
          <w:szCs w:val="24"/>
        </w:rPr>
        <w:t xml:space="preserve">La autora </w:t>
      </w:r>
      <w:r w:rsidR="00670045" w:rsidRPr="009666E0">
        <w:rPr>
          <w:rFonts w:ascii="Times New Roman" w:hAnsi="Times New Roman"/>
          <w:sz w:val="24"/>
          <w:szCs w:val="24"/>
        </w:rPr>
        <w:t xml:space="preserve">asienta su concepto de </w:t>
      </w:r>
      <w:r>
        <w:rPr>
          <w:rFonts w:ascii="Times New Roman" w:hAnsi="Times New Roman"/>
          <w:sz w:val="24"/>
          <w:szCs w:val="24"/>
        </w:rPr>
        <w:t xml:space="preserve">la libertad práctica y externa como </w:t>
      </w:r>
      <w:r w:rsidR="00670045" w:rsidRPr="009666E0">
        <w:rPr>
          <w:rFonts w:ascii="Times New Roman" w:hAnsi="Times New Roman"/>
          <w:sz w:val="24"/>
          <w:szCs w:val="24"/>
        </w:rPr>
        <w:t>algo semejante-a-la-ley</w:t>
      </w:r>
      <w:r>
        <w:rPr>
          <w:rFonts w:ascii="Times New Roman" w:hAnsi="Times New Roman"/>
          <w:sz w:val="24"/>
          <w:szCs w:val="24"/>
        </w:rPr>
        <w:t xml:space="preserve"> cuando señala que</w:t>
      </w:r>
      <w:r w:rsidR="00670045" w:rsidRPr="009666E0">
        <w:rPr>
          <w:rFonts w:ascii="Times New Roman" w:hAnsi="Times New Roman"/>
          <w:sz w:val="24"/>
          <w:szCs w:val="24"/>
        </w:rPr>
        <w:t>: “Estos dos aspectos: la semejanza-a-la-ley de la libertad práctica y la capacidad humana de enmarcar un concepto de un posible futuro gobernado por leyes que es conocedor de sus constricciones naturales en la agencia humana, sin encontrarse determinados por los mismos, son cruciales para la concepción de Kant sobre libertad política en la doctrina del derecho. (2000; p.79) En términos de S. Körner, Flikschuh había referido que estos elementos representan el marco categorial que fundamenta el pensamiento político de Kant.</w:t>
      </w:r>
      <w:r w:rsidR="00993B8A">
        <w:rPr>
          <w:rFonts w:ascii="Times New Roman" w:hAnsi="Times New Roman"/>
          <w:sz w:val="24"/>
          <w:szCs w:val="24"/>
        </w:rPr>
        <w:t xml:space="preserve"> </w:t>
      </w:r>
    </w:p>
    <w:p w14:paraId="49DE7134" w14:textId="4ED657B5" w:rsidR="00993B8A" w:rsidRDefault="00993B8A" w:rsidP="00670045">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 en una necesidad, e involucra el beneficio público, en cuanto es una libertad compartida.</w:t>
      </w:r>
    </w:p>
    <w:p w14:paraId="2F0923A1" w14:textId="44AF44C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Este alcance permite que, lejos de entender la libertad como algo exclusivamente individual, en realidad, es un fundamento para pensar el encuentro a un nivel mucho más extenso, como lo es el hecho de constatar 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w:t>
      </w:r>
      <w:proofErr w:type="spellStart"/>
      <w:r w:rsidRPr="009666E0">
        <w:rPr>
          <w:rFonts w:ascii="Times New Roman" w:hAnsi="Times New Roman"/>
          <w:sz w:val="24"/>
          <w:szCs w:val="24"/>
        </w:rPr>
        <w:t>cosmopolitanismo</w:t>
      </w:r>
      <w:proofErr w:type="spellEnd"/>
      <w:r w:rsidRPr="009666E0">
        <w:rPr>
          <w:rFonts w:ascii="Times New Roman" w:hAnsi="Times New Roman"/>
          <w:sz w:val="24"/>
          <w:szCs w:val="24"/>
        </w:rPr>
        <w:t>.” (2000; p.83)</w:t>
      </w:r>
    </w:p>
    <w:p w14:paraId="3E1DBB65" w14:textId="0F7C9EAE" w:rsidR="00670045" w:rsidRPr="009666E0" w:rsidRDefault="001904BB" w:rsidP="00670045">
      <w:pPr>
        <w:spacing w:line="360" w:lineRule="auto"/>
        <w:rPr>
          <w:rFonts w:ascii="Times New Roman" w:hAnsi="Times New Roman"/>
          <w:sz w:val="24"/>
          <w:szCs w:val="24"/>
        </w:rPr>
      </w:pPr>
      <w:r>
        <w:rPr>
          <w:rFonts w:ascii="Times New Roman" w:hAnsi="Times New Roman"/>
          <w:sz w:val="24"/>
          <w:szCs w:val="24"/>
        </w:rPr>
        <w:lastRenderedPageBreak/>
        <w:t>C</w:t>
      </w:r>
      <w:r w:rsidR="00670045" w:rsidRPr="009666E0">
        <w:rPr>
          <w:rFonts w:ascii="Times New Roman" w:hAnsi="Times New Roman"/>
          <w:sz w:val="24"/>
          <w:szCs w:val="24"/>
        </w:rPr>
        <w:t xml:space="preserve">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(2000; p.83) </w:t>
      </w:r>
    </w:p>
    <w:p w14:paraId="43E5DBB5" w14:textId="3BCC1724" w:rsidR="001904BB"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role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(2000; p.84) </w:t>
      </w:r>
    </w:p>
    <w:p w14:paraId="6E746718" w14:textId="33EB811A" w:rsidR="001904BB" w:rsidRDefault="001904BB" w:rsidP="00670045">
      <w:pPr>
        <w:spacing w:line="360" w:lineRule="auto"/>
        <w:rPr>
          <w:rFonts w:ascii="Times New Roman" w:hAnsi="Times New Roman"/>
          <w:sz w:val="24"/>
          <w:szCs w:val="24"/>
        </w:rPr>
      </w:pPr>
      <w:r>
        <w:rPr>
          <w:rFonts w:ascii="Times New Roman" w:hAnsi="Times New Roman"/>
          <w:sz w:val="24"/>
          <w:szCs w:val="24"/>
        </w:rPr>
        <w:t>En la libertad interna, la relación entre la libertad y las facultades del alma era el deseo</w:t>
      </w:r>
      <w:r w:rsidR="002448F8">
        <w:rPr>
          <w:rFonts w:ascii="Times New Roman" w:hAnsi="Times New Roman"/>
          <w:sz w:val="24"/>
          <w:szCs w:val="24"/>
        </w:rPr>
        <w:t xml:space="preserve"> que se orienta hacia una inclinación gobernada por máximas, y sólo así el arbitrio se entiende como una voluntad libre</w:t>
      </w:r>
      <w:r>
        <w:rPr>
          <w:rFonts w:ascii="Times New Roman" w:hAnsi="Times New Roman"/>
          <w:sz w:val="24"/>
          <w:szCs w:val="24"/>
        </w:rPr>
        <w:t xml:space="preserve">, pero en la libertad externa, la relación no era sino entre la libertad de uno contra la libertad de otros. En este sentido, lo que inaugura la idea de libertad externa radica en los reclamos legítimos que pueda tener alguien sobre la posesión de algo, ya que permite un horizonte en que se reconoce públicamente el derecho que </w:t>
      </w:r>
      <w:r w:rsidR="002448F8">
        <w:rPr>
          <w:rFonts w:ascii="Times New Roman" w:hAnsi="Times New Roman"/>
          <w:sz w:val="24"/>
          <w:szCs w:val="24"/>
        </w:rPr>
        <w:t xml:space="preserve">se </w:t>
      </w:r>
      <w:r>
        <w:rPr>
          <w:rFonts w:ascii="Times New Roman" w:hAnsi="Times New Roman"/>
          <w:sz w:val="24"/>
          <w:szCs w:val="24"/>
        </w:rPr>
        <w:t>tiene sobre algo o alguien. El énfasis que hace la autora, lejos de los asuntos del derecho público, se enfocan en este punto, sobre el derecho privado, ya que las obligaciones de justicia que se tiene</w:t>
      </w:r>
      <w:r w:rsidR="002448F8">
        <w:rPr>
          <w:rFonts w:ascii="Times New Roman" w:hAnsi="Times New Roman"/>
          <w:sz w:val="24"/>
          <w:szCs w:val="24"/>
        </w:rPr>
        <w:t>n</w:t>
      </w:r>
      <w:r>
        <w:rPr>
          <w:rFonts w:ascii="Times New Roman" w:hAnsi="Times New Roman"/>
          <w:sz w:val="24"/>
          <w:szCs w:val="24"/>
        </w:rPr>
        <w:t xml:space="preserve"> recíprocamente, </w:t>
      </w:r>
      <w:r w:rsidR="002448F8">
        <w:rPr>
          <w:rFonts w:ascii="Times New Roman" w:hAnsi="Times New Roman"/>
          <w:sz w:val="24"/>
          <w:szCs w:val="24"/>
        </w:rPr>
        <w:t>(</w:t>
      </w:r>
      <w:r>
        <w:rPr>
          <w:rFonts w:ascii="Times New Roman" w:hAnsi="Times New Roman"/>
          <w:sz w:val="24"/>
          <w:szCs w:val="24"/>
        </w:rPr>
        <w:t>los que poseen una libertad externa y civil</w:t>
      </w:r>
      <w:r w:rsidR="002448F8">
        <w:rPr>
          <w:rFonts w:ascii="Times New Roman" w:hAnsi="Times New Roman"/>
          <w:sz w:val="24"/>
          <w:szCs w:val="24"/>
        </w:rPr>
        <w:t>)</w:t>
      </w:r>
      <w:r>
        <w:rPr>
          <w:rFonts w:ascii="Times New Roman" w:hAnsi="Times New Roman"/>
          <w:sz w:val="24"/>
          <w:szCs w:val="24"/>
        </w:rPr>
        <w:t xml:space="preserve">, es un tipo de exhortación racional política y mutua. </w:t>
      </w:r>
    </w:p>
    <w:p w14:paraId="15AAF114" w14:textId="02F1740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sidR="002448F8">
        <w:rPr>
          <w:rFonts w:ascii="Times New Roman" w:hAnsi="Times New Roman"/>
          <w:sz w:val="24"/>
          <w:szCs w:val="24"/>
        </w:rPr>
        <w:t xml:space="preserve">y beneficia </w:t>
      </w:r>
      <w:r w:rsidRPr="009666E0">
        <w:rPr>
          <w:rFonts w:ascii="Times New Roman" w:hAnsi="Times New Roman"/>
          <w:sz w:val="24"/>
          <w:szCs w:val="24"/>
        </w:rPr>
        <w:t xml:space="preserve">a todos tener las garantías implícitas en la propiedad privada, se puede decir que la idea de contrato originario </w:t>
      </w:r>
      <w:r w:rsidRPr="009666E0">
        <w:rPr>
          <w:rFonts w:ascii="Times New Roman" w:hAnsi="Times New Roman"/>
          <w:sz w:val="24"/>
          <w:szCs w:val="24"/>
        </w:rPr>
        <w:lastRenderedPageBreak/>
        <w:t>responde a esta exigencia de la libertad externa de las personas, como una idea compartida de la razón.</w:t>
      </w:r>
    </w:p>
    <w:p w14:paraId="59EF4882" w14:textId="657D093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sidR="00104779">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constricciones de la razón en general. Son, por lo tanto, también susceptibles, al menos por implicación, a las constricciones de la razón pura práctica, por ejemplo, a las leyes de la libertad.” (2000; p.84) </w:t>
      </w:r>
    </w:p>
    <w:p w14:paraId="3A3248E8" w14:textId="77777777" w:rsidR="00104779" w:rsidRDefault="00670045" w:rsidP="00670045">
      <w:pPr>
        <w:spacing w:line="360" w:lineRule="auto"/>
        <w:rPr>
          <w:rFonts w:ascii="Times New Roman" w:hAnsi="Times New Roman"/>
          <w:sz w:val="24"/>
          <w:szCs w:val="24"/>
        </w:rPr>
      </w:pPr>
      <w:r w:rsidRPr="009666E0">
        <w:rPr>
          <w:rFonts w:ascii="Times New Roman" w:hAnsi="Times New Roman"/>
          <w:sz w:val="24"/>
          <w:szCs w:val="24"/>
        </w:rPr>
        <w:t>Flikschuh agrega, en esta interpretación suya, a la relación de los conceptos de libertad y razón, el elemento del deseo. Para Kant, las elecciones razonadas son libres; para Flikschuh la formulación de deseos presupone a la razón en su facultad para producir representaciones.</w:t>
      </w:r>
      <w:r w:rsidR="00104779">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4BBD7E90" w14:textId="6D7B9C9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constricciones de las leyes de la libertad.” (2000; p.85) </w:t>
      </w:r>
    </w:p>
    <w:p w14:paraId="3FAD4443" w14:textId="6D11D24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 tanto en Hobbes, como Locke</w:t>
      </w:r>
      <w:r w:rsidR="0037522B">
        <w:rPr>
          <w:rFonts w:ascii="Times New Roman" w:hAnsi="Times New Roman"/>
          <w:sz w:val="24"/>
          <w:szCs w:val="24"/>
        </w:rPr>
        <w:t>, Rousseau</w:t>
      </w:r>
      <w:r w:rsidRPr="009666E0">
        <w:rPr>
          <w:rFonts w:ascii="Times New Roman" w:hAnsi="Times New Roman"/>
          <w:sz w:val="24"/>
          <w:szCs w:val="24"/>
        </w:rPr>
        <w:t xml:space="preserve"> y Kant, en el estado natural existe una libertad sin marco legal. Con el aparecimiento de la sociedad civil, la libertad tiene un despliegue distinto al natural.</w:t>
      </w:r>
      <w:r w:rsidR="00104779">
        <w:rPr>
          <w:rFonts w:ascii="Times New Roman" w:hAnsi="Times New Roman"/>
          <w:sz w:val="24"/>
          <w:szCs w:val="24"/>
        </w:rPr>
        <w:t xml:space="preserve"> Ripstein entiende esto como una “extensión” del concepto de libertad, desde uno natural, hasta uno adquirido o público. </w:t>
      </w:r>
      <w:r w:rsidRPr="009666E0">
        <w:rPr>
          <w:rFonts w:ascii="Times New Roman" w:hAnsi="Times New Roman"/>
          <w:sz w:val="24"/>
          <w:szCs w:val="24"/>
        </w:rPr>
        <w:t xml:space="preserve"> </w:t>
      </w:r>
    </w:p>
    <w:p w14:paraId="75209208" w14:textId="72D0D49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w:t>
      </w:r>
      <w:r w:rsidRPr="009666E0">
        <w:rPr>
          <w:rFonts w:ascii="Times New Roman" w:hAnsi="Times New Roman"/>
          <w:sz w:val="24"/>
          <w:szCs w:val="24"/>
        </w:rPr>
        <w:lastRenderedPageBreak/>
        <w:t>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(2000; p.88)</w:t>
      </w:r>
      <w:r w:rsidR="00800971">
        <w:rPr>
          <w:rFonts w:ascii="Times New Roman" w:hAnsi="Times New Roman"/>
          <w:sz w:val="24"/>
          <w:szCs w:val="24"/>
        </w:rPr>
        <w:t xml:space="preserve"> Esta consideración es la que se encuentra en la base de la libertad que es externa. </w:t>
      </w:r>
    </w:p>
    <w:p w14:paraId="5EB1F96E" w14:textId="77777777" w:rsidR="00800971"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autora hace la precisión de la relación que tiene la idea de una libertad externa con el concepto y principio general del derecho, que pone los límites de toda libertad, en la libertad de los otros. Así, ella señala que: “Esta definición preliminar de la libertad externa como afirmando los derechos individuales de libertad de elección y acción, se encuentra substanciada en la subsecuente definición de Kant del concepto del derecho, que regula la forma de las relaciones externas entre agentes, en virtud de sus elecciones.” (2000; p.88) </w:t>
      </w:r>
    </w:p>
    <w:p w14:paraId="7D8F38FC" w14:textId="5079760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(2000; p.89)</w:t>
      </w:r>
    </w:p>
    <w:p w14:paraId="1AE19E29" w14:textId="77777777" w:rsidR="00B82DEF" w:rsidRDefault="00670045" w:rsidP="00670045">
      <w:pPr>
        <w:spacing w:line="360" w:lineRule="auto"/>
        <w:rPr>
          <w:rFonts w:ascii="Times New Roman" w:hAnsi="Times New Roman"/>
          <w:sz w:val="24"/>
          <w:szCs w:val="24"/>
        </w:rPr>
      </w:pPr>
      <w:r w:rsidRPr="009666E0">
        <w:rPr>
          <w:rFonts w:ascii="Times New Roman" w:hAnsi="Times New Roman"/>
          <w:sz w:val="24"/>
          <w:szCs w:val="24"/>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w:t>
      </w:r>
      <w:r w:rsidR="00B82DEF">
        <w:rPr>
          <w:rFonts w:ascii="Times New Roman" w:hAnsi="Times New Roman"/>
          <w:sz w:val="24"/>
          <w:szCs w:val="24"/>
        </w:rPr>
        <w:t xml:space="preserve"> en un lugar distinto del de la razón compartida</w:t>
      </w:r>
      <w:r w:rsidRPr="009666E0">
        <w:rPr>
          <w:rFonts w:ascii="Times New Roman" w:hAnsi="Times New Roman"/>
          <w:sz w:val="24"/>
          <w:szCs w:val="24"/>
        </w:rPr>
        <w:t>.</w:t>
      </w:r>
    </w:p>
    <w:p w14:paraId="7A8A13F4" w14:textId="02B2A7F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 En este sentido, Flikschuh refiere que: “Kant distingue entre ley y ética en términos de sus respectivas esferas de competencia moral. Desde que todas las leyes de la libertad son leyes de </w:t>
      </w:r>
      <w:proofErr w:type="spellStart"/>
      <w:r w:rsidRPr="009666E0">
        <w:rPr>
          <w:rFonts w:ascii="Times New Roman" w:hAnsi="Times New Roman"/>
          <w:sz w:val="24"/>
          <w:szCs w:val="24"/>
        </w:rPr>
        <w:t>auto-legislación</w:t>
      </w:r>
      <w:proofErr w:type="spellEnd"/>
      <w:r w:rsidRPr="009666E0">
        <w:rPr>
          <w:rFonts w:ascii="Times New Roman" w:hAnsi="Times New Roman"/>
          <w:sz w:val="24"/>
          <w:szCs w:val="24"/>
        </w:rPr>
        <w:t xml:space="preserve"> moral, las leyes jurídicas pueden ser </w:t>
      </w:r>
      <w:proofErr w:type="spellStart"/>
      <w:r w:rsidRPr="009666E0">
        <w:rPr>
          <w:rFonts w:ascii="Times New Roman" w:hAnsi="Times New Roman"/>
          <w:sz w:val="24"/>
          <w:szCs w:val="24"/>
        </w:rPr>
        <w:t>auto-legisladas</w:t>
      </w:r>
      <w:proofErr w:type="spellEnd"/>
      <w:r w:rsidRPr="009666E0">
        <w:rPr>
          <w:rFonts w:ascii="Times New Roman" w:hAnsi="Times New Roman"/>
          <w:sz w:val="24"/>
          <w:szCs w:val="24"/>
        </w:rPr>
        <w:t xml:space="preserve">, aunque en contraste con las leyes éticas, estas también pueden hacerse cumplir externamente. Por ello, el campo normativo de las leyes jurídicas de la libertad yace en la capacidad para </w:t>
      </w:r>
      <w:proofErr w:type="spellStart"/>
      <w:r w:rsidRPr="009666E0">
        <w:rPr>
          <w:rFonts w:ascii="Times New Roman" w:hAnsi="Times New Roman"/>
          <w:sz w:val="24"/>
          <w:szCs w:val="24"/>
        </w:rPr>
        <w:t>auto-</w:t>
      </w:r>
      <w:r w:rsidRPr="009666E0">
        <w:rPr>
          <w:rFonts w:ascii="Times New Roman" w:hAnsi="Times New Roman"/>
          <w:sz w:val="24"/>
          <w:szCs w:val="24"/>
        </w:rPr>
        <w:lastRenderedPageBreak/>
        <w:t>legistación</w:t>
      </w:r>
      <w:proofErr w:type="spellEnd"/>
      <w:r w:rsidRPr="009666E0">
        <w:rPr>
          <w:rFonts w:ascii="Times New Roman" w:hAnsi="Times New Roman"/>
          <w:sz w:val="24"/>
          <w:szCs w:val="24"/>
        </w:rPr>
        <w:t xml:space="preserve"> de los sujetos, no en una apelación a sus propios intereses prudenciales.” (2000; p.91) Por esto último, es que se puede considerar que la ley exterior no responde al deseo privado de nadie, sino que se establece en la línea de la autonomía de la razón compartida. </w:t>
      </w:r>
    </w:p>
    <w:p w14:paraId="1E2C73F3" w14:textId="2D3524C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 acuerdo con esta postura, según Flikschuh, se encuentra C. Koorsgard. Según nuestra autora: “</w:t>
      </w:r>
      <w:proofErr w:type="spellStart"/>
      <w:r w:rsidRPr="009666E0">
        <w:rPr>
          <w:rFonts w:ascii="Times New Roman" w:hAnsi="Times New Roman"/>
          <w:sz w:val="24"/>
          <w:szCs w:val="24"/>
        </w:rPr>
        <w:t>Koorsgard</w:t>
      </w:r>
      <w:proofErr w:type="spellEnd"/>
      <w:r w:rsidRPr="009666E0">
        <w:rPr>
          <w:rFonts w:ascii="Times New Roman" w:hAnsi="Times New Roman"/>
          <w:sz w:val="24"/>
          <w:szCs w:val="24"/>
        </w:rPr>
        <w:t>, rechaza lecturas de la doctrina del derecho que hacen que el propio interés sea central a la justificación normativa del principio universal del derecho.” (2000; p.95) El corazón de la doctrina del derecho, tiene en realidad, un interés público y general de acuerdo al marco de la razón compartida.</w:t>
      </w:r>
      <w:r w:rsidR="00DE318C">
        <w:rPr>
          <w:rFonts w:ascii="Times New Roman" w:hAnsi="Times New Roman"/>
          <w:sz w:val="24"/>
          <w:szCs w:val="24"/>
        </w:rPr>
        <w:t xml:space="preserve"> No es individualista, sino que la libertad externa, entendida como una obligación política mutua, se entiende con un alcance universal y cosmopolita. </w:t>
      </w:r>
    </w:p>
    <w:p w14:paraId="620950D2" w14:textId="5ECA27A4" w:rsidR="00DE318C"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 (2000; p.99) Lo que surge como efecto, de acuerdo a esta lectura que </w:t>
      </w:r>
      <w:r w:rsidR="00805278">
        <w:rPr>
          <w:rFonts w:ascii="Times New Roman" w:hAnsi="Times New Roman"/>
          <w:sz w:val="24"/>
          <w:szCs w:val="24"/>
        </w:rPr>
        <w:t xml:space="preserve">se </w:t>
      </w:r>
      <w:r w:rsidRPr="009666E0">
        <w:rPr>
          <w:rFonts w:ascii="Times New Roman" w:hAnsi="Times New Roman"/>
          <w:sz w:val="24"/>
          <w:szCs w:val="24"/>
        </w:rPr>
        <w:t>centra el énfasis en los intereses económicos de la libertad, es el panorama de una necesidad de un horizonte civil que admita, garantice y proteja la propiedad privada perentoria.</w:t>
      </w:r>
      <w:r w:rsidR="00805278">
        <w:rPr>
          <w:rFonts w:ascii="Times New Roman" w:hAnsi="Times New Roman"/>
          <w:sz w:val="24"/>
          <w:szCs w:val="24"/>
        </w:rPr>
        <w:t xml:space="preserve"> Si esto se cumple, se podría inferir que funcionará igualmente</w:t>
      </w:r>
      <w:r w:rsidR="00833B69">
        <w:rPr>
          <w:rFonts w:ascii="Times New Roman" w:hAnsi="Times New Roman"/>
          <w:sz w:val="24"/>
          <w:szCs w:val="24"/>
        </w:rPr>
        <w:t>, cuando menos hasta cierto punto,</w:t>
      </w:r>
      <w:r w:rsidR="00805278">
        <w:rPr>
          <w:rFonts w:ascii="Times New Roman" w:hAnsi="Times New Roman"/>
          <w:sz w:val="24"/>
          <w:szCs w:val="24"/>
        </w:rPr>
        <w:t xml:space="preserve"> en lo que se sigue del derecho público. </w:t>
      </w:r>
      <w:r w:rsidRPr="009666E0">
        <w:rPr>
          <w:rFonts w:ascii="Times New Roman" w:hAnsi="Times New Roman"/>
          <w:sz w:val="24"/>
          <w:szCs w:val="24"/>
        </w:rPr>
        <w:t xml:space="preserve"> </w:t>
      </w:r>
    </w:p>
    <w:p w14:paraId="63ACD647" w14:textId="77777777" w:rsidR="00833B69" w:rsidRDefault="00670045" w:rsidP="00DE318C">
      <w:pPr>
        <w:spacing w:line="360" w:lineRule="auto"/>
        <w:rPr>
          <w:rFonts w:ascii="Times New Roman" w:hAnsi="Times New Roman"/>
          <w:sz w:val="24"/>
          <w:szCs w:val="24"/>
        </w:rPr>
      </w:pPr>
      <w:r w:rsidRPr="009666E0">
        <w:rPr>
          <w:rFonts w:ascii="Times New Roman" w:hAnsi="Times New Roman"/>
          <w:sz w:val="24"/>
          <w:szCs w:val="24"/>
        </w:rPr>
        <w:t>Para la autora, este</w:t>
      </w:r>
      <w:r w:rsidR="00833B69">
        <w:rPr>
          <w:rFonts w:ascii="Times New Roman" w:hAnsi="Times New Roman"/>
          <w:sz w:val="24"/>
          <w:szCs w:val="24"/>
        </w:rPr>
        <w:t xml:space="preserve"> punto del derecho privado a la propiedad, basado en el deseo económico,</w:t>
      </w:r>
      <w:r w:rsidRPr="009666E0">
        <w:rPr>
          <w:rFonts w:ascii="Times New Roman" w:hAnsi="Times New Roman"/>
          <w:sz w:val="24"/>
          <w:szCs w:val="24"/>
        </w:rPr>
        <w:t xml:space="preserve"> es el núcleo principal de la doctrina del derecho. Desde que es necesario regular institucionalmente a la libertad externa, con la instauración de un estado civil, luego de la libertad externa se desprende una conminación recíproca para atender a lo que se convierte en una obligación política mutua. </w:t>
      </w:r>
      <w:r w:rsidR="00DE318C">
        <w:rPr>
          <w:rFonts w:ascii="Times New Roman" w:hAnsi="Times New Roman"/>
          <w:sz w:val="24"/>
          <w:szCs w:val="24"/>
        </w:rPr>
        <w:t xml:space="preserve">Ella señala que: </w:t>
      </w:r>
      <w:r w:rsidRPr="009666E0">
        <w:rPr>
          <w:rFonts w:ascii="Times New Roman" w:hAnsi="Times New Roman"/>
          <w:sz w:val="24"/>
          <w:szCs w:val="24"/>
        </w:rPr>
        <w:t xml:space="preserve">“El objetivo </w:t>
      </w:r>
      <w:r w:rsidR="00DE318C">
        <w:rPr>
          <w:rFonts w:ascii="Times New Roman" w:hAnsi="Times New Roman"/>
          <w:sz w:val="24"/>
          <w:szCs w:val="24"/>
        </w:rPr>
        <w:t>(…)</w:t>
      </w:r>
      <w:r w:rsidRPr="009666E0">
        <w:rPr>
          <w:rFonts w:ascii="Times New Roman" w:hAnsi="Times New Roman"/>
          <w:sz w:val="24"/>
          <w:szCs w:val="24"/>
        </w:rPr>
        <w:t xml:space="preserve"> ha sido esbozar una posible interpretación de la libertad externa como basada en elecciones y actos autónomos sin reducirlo al concepto de la libertad interna de Kant. Este objetivo fue motivado por la </w:t>
      </w:r>
      <w:r w:rsidRPr="009666E0">
        <w:rPr>
          <w:rFonts w:ascii="Times New Roman" w:hAnsi="Times New Roman"/>
          <w:sz w:val="24"/>
          <w:szCs w:val="24"/>
        </w:rPr>
        <w:lastRenderedPageBreak/>
        <w:t xml:space="preserve">necesidad de reconocer el distintivo y legítimo rol de los deseos económicos en relación a la agencia política mientras se resiste la conclusión de que la agencia política debe, por lo tanto, basarse en el propio interés prudencial”. (2000; p.110) Flikschuh agrega que: “Desde que el deseo económico es inevitablemente orientado a objetos, entonces es imposible para los agentes abstraer las consideraciones materiales en sus elecciones y acciones económicas.” (2000; p.111) Luego, finaliza diciendo que: “Esto nos lleva al corazón de la doctrina del derecho, es decir, a la justificación de Kant de los derechos a la propiedad individual y de su resultante obligación de justicia de los unos con los otros.” (2000; p.112) </w:t>
      </w:r>
    </w:p>
    <w:p w14:paraId="17167B07" w14:textId="1F5D91BE" w:rsidR="00670045" w:rsidRPr="009666E0" w:rsidRDefault="00670045" w:rsidP="00DE318C">
      <w:pPr>
        <w:spacing w:line="360" w:lineRule="auto"/>
        <w:rPr>
          <w:rFonts w:ascii="Times New Roman" w:hAnsi="Times New Roman"/>
          <w:sz w:val="24"/>
          <w:szCs w:val="24"/>
        </w:rPr>
      </w:pPr>
      <w:r w:rsidRPr="009666E0">
        <w:rPr>
          <w:rFonts w:ascii="Times New Roman" w:hAnsi="Times New Roman"/>
          <w:sz w:val="24"/>
          <w:szCs w:val="24"/>
        </w:rPr>
        <w:t>En este sentido, para Flikschuh, la libertad externa entendida como una obligación política mutua representa el centro de la doctrina del derecho y da pie a los contenidos del derecho público que han sido dejados de lado, pero que parten del derecho privado, en reconocimiento al derecho innato de la humanidad, es decir, en nombre de su libertad, lo que se extiende hacia su independencia e igualdad.</w:t>
      </w:r>
    </w:p>
    <w:p w14:paraId="338927E8" w14:textId="77777777"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w:t>
      </w:r>
      <w:proofErr w:type="spellStart"/>
      <w:r w:rsidRPr="009666E0">
        <w:rPr>
          <w:rFonts w:ascii="Times New Roman" w:hAnsi="Times New Roman"/>
          <w:sz w:val="24"/>
          <w:szCs w:val="24"/>
        </w:rPr>
        <w:t>auto-legislar</w:t>
      </w:r>
      <w:proofErr w:type="spellEnd"/>
      <w:r w:rsidRPr="009666E0">
        <w:rPr>
          <w:rFonts w:ascii="Times New Roman" w:hAnsi="Times New Roman"/>
          <w:sz w:val="24"/>
          <w:szCs w:val="24"/>
        </w:rPr>
        <w:t xml:space="preserve"> del agente en la formulación de deseos. </w:t>
      </w:r>
    </w:p>
    <w:p w14:paraId="5EBC96E3" w14:textId="77777777"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w:t>
      </w:r>
    </w:p>
    <w:p w14:paraId="787A9F0E" w14:textId="03F57AF4"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tesis de Flikschuh asocia la libertad externa a esta obligación recíproca de carácter político, fundándose en los intereses legítimos de los individuos para desarrollar un tipo de libertad compartida que encuentra un límite personal en la libertad exterior ajena. Flikschuh se habrá de preguntar retrospectivamente cómo se implanta un horizonte civil, ya que, si son la ley y la propiedad privada lo que se busca establecer, se presupone que no se puede valer de estos medios y nociones para instaurarse, pues, en la idea de un estado natural, estos conceptos no se encuentran presentes. Por ello, la ley, al menos en un principio, y por única vez, debe ser instaurado por un tipo de fuerza. Esto permite a la autora desarrollar la idea kantiana de una ley permisiva (</w:t>
      </w:r>
      <w:r w:rsidRPr="009666E0">
        <w:rPr>
          <w:rFonts w:ascii="Times New Roman" w:hAnsi="Times New Roman"/>
          <w:i/>
          <w:iCs/>
          <w:sz w:val="24"/>
          <w:szCs w:val="24"/>
        </w:rPr>
        <w:t xml:space="preserve">lex </w:t>
      </w:r>
      <w:proofErr w:type="spellStart"/>
      <w:r w:rsidRPr="009666E0">
        <w:rPr>
          <w:rFonts w:ascii="Times New Roman" w:hAnsi="Times New Roman"/>
          <w:i/>
          <w:iCs/>
          <w:sz w:val="24"/>
          <w:szCs w:val="24"/>
        </w:rPr>
        <w:t>permissiva</w:t>
      </w:r>
      <w:proofErr w:type="spellEnd"/>
      <w:r w:rsidRPr="009666E0">
        <w:rPr>
          <w:rFonts w:ascii="Times New Roman" w:hAnsi="Times New Roman"/>
          <w:sz w:val="24"/>
          <w:szCs w:val="24"/>
        </w:rPr>
        <w:t xml:space="preserve">) a la hora de pensar en el problema de la propiedad en el transcurso de un orden natural a uno legal. </w:t>
      </w:r>
    </w:p>
    <w:p w14:paraId="1334C836"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La noción de obligación política mutua supone, para la autora que: “mis obligaciones de justicia hacia ti se siguen como un corolario directo de mi ejercicio de la libertad de elección y acción.” (2000; p.142) Y luego agrega que: “Este reconocimiento de los agentes sobre los deberes de justicia imponen restricciones en sus reclamos de la libertad, lo que hace posible la construcción práctica del concepto del derecho en la forma de una sociedad civil.” (2000; p.143) De esta manera, la idea de obligación política recíproca se deriva del concepto de la libertad jurídica, de acuerdo al principio universal del derecho y a la apelación al único derecho innato que poseemos: la libertad. </w:t>
      </w:r>
    </w:p>
    <w:p w14:paraId="4C7A2A26" w14:textId="7C141C12" w:rsidR="00670045" w:rsidRPr="009666E0" w:rsidRDefault="00670045" w:rsidP="007C3B89">
      <w:pPr>
        <w:spacing w:line="360" w:lineRule="auto"/>
        <w:rPr>
          <w:rFonts w:ascii="Times New Roman" w:hAnsi="Times New Roman"/>
          <w:sz w:val="24"/>
          <w:szCs w:val="24"/>
        </w:rPr>
      </w:pPr>
      <w:r w:rsidRPr="009666E0">
        <w:rPr>
          <w:rFonts w:ascii="Times New Roman" w:hAnsi="Times New Roman"/>
          <w:sz w:val="24"/>
          <w:szCs w:val="24"/>
        </w:rPr>
        <w:t>Este capítulo ha buscado esbozar las tesis principales del libro de Flikschuh en su lectura de la doctrina del derecho.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 En tercer lugar, </w:t>
      </w:r>
      <w:r w:rsidRPr="009666E0">
        <w:rPr>
          <w:rFonts w:ascii="Times New Roman" w:hAnsi="Times New Roman"/>
          <w:sz w:val="24"/>
          <w:szCs w:val="24"/>
        </w:rPr>
        <w:t>se ha establecido</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 así como el alcance cosmopolita de toda la propuesta del pensamiento filosófico y político de Kant.</w:t>
      </w:r>
      <w:r w:rsidR="007C3B89">
        <w:rPr>
          <w:rFonts w:ascii="Times New Roman" w:hAnsi="Times New Roman"/>
          <w:sz w:val="24"/>
          <w:szCs w:val="24"/>
        </w:rPr>
        <w:t xml:space="preserve"> Todos estos elementos ayudan a delimitar una noción de la libertad externa. </w:t>
      </w:r>
    </w:p>
    <w:p w14:paraId="05AFCCC0" w14:textId="77777777" w:rsidR="00670045" w:rsidRPr="009666E0" w:rsidRDefault="00670045" w:rsidP="00670045">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77777777" w:rsidR="00670045" w:rsidRPr="00670045" w:rsidRDefault="00670045" w:rsidP="00670045">
      <w:pPr>
        <w:spacing w:line="360" w:lineRule="auto"/>
        <w:jc w:val="center"/>
        <w:rPr>
          <w:rFonts w:ascii="Times New Roman" w:hAnsi="Times New Roman"/>
          <w:b/>
          <w:bCs/>
          <w:sz w:val="24"/>
          <w:szCs w:val="24"/>
          <w:u w:val="single"/>
        </w:rPr>
      </w:pPr>
      <w:r w:rsidRPr="00670045">
        <w:rPr>
          <w:rFonts w:ascii="Times New Roman" w:hAnsi="Times New Roman"/>
          <w:b/>
          <w:bCs/>
          <w:sz w:val="24"/>
          <w:szCs w:val="24"/>
          <w:u w:val="single"/>
        </w:rPr>
        <w:lastRenderedPageBreak/>
        <w:t>Capítulo 3: La doctrina del derecho y la libertad externa 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Una revisión bastante completa de la doctrina del derecho de Kant se puede encontrar en el libro de Arthur Ripstein titulado </w:t>
      </w:r>
      <w:r w:rsidRPr="009666E0">
        <w:rPr>
          <w:rFonts w:ascii="Times New Roman" w:hAnsi="Times New Roman"/>
          <w:i/>
          <w:iCs/>
          <w:sz w:val="24"/>
          <w:szCs w:val="24"/>
          <w:lang w:val="es-MX"/>
        </w:rPr>
        <w:t xml:space="preserve">Force and Freedom: </w:t>
      </w:r>
      <w:proofErr w:type="spellStart"/>
      <w:r w:rsidRPr="009666E0">
        <w:rPr>
          <w:rFonts w:ascii="Times New Roman" w:hAnsi="Times New Roman"/>
          <w:i/>
          <w:iCs/>
          <w:sz w:val="24"/>
          <w:szCs w:val="24"/>
          <w:lang w:val="es-MX"/>
        </w:rPr>
        <w:t>Kant’s</w:t>
      </w:r>
      <w:proofErr w:type="spellEnd"/>
      <w:r w:rsidRPr="009666E0">
        <w:rPr>
          <w:rFonts w:ascii="Times New Roman" w:hAnsi="Times New Roman"/>
          <w:i/>
          <w:iCs/>
          <w:sz w:val="24"/>
          <w:szCs w:val="24"/>
          <w:lang w:val="es-MX"/>
        </w:rPr>
        <w:t xml:space="preserve"> legal and </w:t>
      </w:r>
      <w:proofErr w:type="spellStart"/>
      <w:r w:rsidRPr="009666E0">
        <w:rPr>
          <w:rFonts w:ascii="Times New Roman" w:hAnsi="Times New Roman"/>
          <w:i/>
          <w:iCs/>
          <w:sz w:val="24"/>
          <w:szCs w:val="24"/>
          <w:lang w:val="es-MX"/>
        </w:rPr>
        <w:t>political</w:t>
      </w:r>
      <w:proofErr w:type="spellEnd"/>
      <w:r w:rsidRPr="009666E0">
        <w:rPr>
          <w:rFonts w:ascii="Times New Roman" w:hAnsi="Times New Roman"/>
          <w:i/>
          <w:iCs/>
          <w:sz w:val="24"/>
          <w:szCs w:val="24"/>
          <w:lang w:val="es-MX"/>
        </w:rPr>
        <w:t xml:space="preserve"> </w:t>
      </w:r>
      <w:proofErr w:type="spellStart"/>
      <w:r w:rsidRPr="009666E0">
        <w:rPr>
          <w:rFonts w:ascii="Times New Roman" w:hAnsi="Times New Roman"/>
          <w:i/>
          <w:iCs/>
          <w:sz w:val="24"/>
          <w:szCs w:val="24"/>
          <w:lang w:val="es-MX"/>
        </w:rPr>
        <w:t>philosophy</w:t>
      </w:r>
      <w:proofErr w:type="spellEnd"/>
      <w:r w:rsidRPr="009666E0">
        <w:rPr>
          <w:rFonts w:ascii="Times New Roman" w:hAnsi="Times New Roman"/>
          <w:i/>
          <w:iCs/>
          <w:sz w:val="24"/>
          <w:szCs w:val="24"/>
          <w:lang w:val="es-MX"/>
        </w:rPr>
        <w:t xml:space="preserve"> </w:t>
      </w:r>
      <w:r w:rsidRPr="009666E0">
        <w:rPr>
          <w:rFonts w:ascii="Times New Roman" w:hAnsi="Times New Roman"/>
          <w:sz w:val="24"/>
          <w:szCs w:val="24"/>
          <w:lang w:val="es-MX"/>
        </w:rPr>
        <w:t>(2009), en donde se ofrece una visión sistemática y organizada de los principios y contenidos principales del pensamiento político y jurídico de Kant.</w:t>
      </w:r>
    </w:p>
    <w:p w14:paraId="027D5FE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revisaremos algunas dimensiones de la libertad externa (a la que Ripstein se remite como libertad equitativa o libertad igual), en virtud de estar relacionada a las ideas del (3.1) uso normativo de los principios metafísicos para el derecho, (3.2) la soberanía y el consentimiento, de (3.3) una condición innata, (3.4) de equidad y finalmente, relacionada al concepto de la (3.5) fuerza en su uso legítimo.</w:t>
      </w:r>
    </w:p>
    <w:p w14:paraId="1ED42B8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dimensiones de la libertad externa se dan a lo largo de la revisión de la doctrina del derecho de Kant e involucran distintas consideraciones complementarias. Ripstein comienza por establecer el sentido de la libertad en cuanto derecho innato, y prosigue a definir el marco del derecho privado. Luego de analizar tres defectos del estado natural, propondrá las bases de lo que corresponde al derecho público, enfocándose ulteriormente en el sentido del uso de la fuerza legítima. Ripstein también habrá de notar la implicancia de la idea de lo cosmopolita desde los fundamentos mismos de la doctrina del derecho de Kant. Para establecer un marco de la libertad externa,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06F312E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Ripstein subscribe la idea de K. Flikschuh y otros, cuando refieren la relevancia de la dimensión metafísica en el pensamiento político de Kant. De esta forma, se resalta la fuerza normativa que representa la idea de libertad externa. Este es un primer modo de entender la libertad externa como un principio normativo de la razón. </w:t>
      </w:r>
    </w:p>
    <w:p w14:paraId="3627D9A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primer capítulo, el autor presentará una idea fundamental referida al derecho kantiano como fundado en la idea normativa de la libertad externa bajo leyes universales, en donde Ripstein señala que: “La presentación de Kant de sus argumentos, sus fundamentos para rechazar puntos de partida empíricos y antropológicos en la filosofía política descansan </w:t>
      </w:r>
      <w:r w:rsidRPr="009666E0">
        <w:rPr>
          <w:rFonts w:ascii="Times New Roman" w:hAnsi="Times New Roman"/>
          <w:sz w:val="24"/>
          <w:szCs w:val="24"/>
          <w:lang w:val="es-MX"/>
        </w:rPr>
        <w:lastRenderedPageBreak/>
        <w:t xml:space="preserve">en la simple pero atractiva idea normativa que, en cuanto materia de derecho, cada persona tiene el derecho a ser su propia maestra, no en relación de gozar de una forma especial de relación consigo misma, sino en el sentido contrastante de no verse subordinado a la elección de ninguna otra persona particular.” (2009; p.4) Esta idea normativa corresponde a una dimensión de la noción de libertad externa comprendida en cuanto se trata de una libertad en que no existe interferencia externa. Esto equivale a entender la libertad como no interferencia o como no dominación. Otras dimensiones habrán de perfilar alcances complementarios en cuanto la libertad externa tiene límites efectivos en las libertades de otros.  </w:t>
      </w:r>
    </w:p>
    <w:p w14:paraId="31D5403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plantea que la libertad se convierte en un principio rector del derecho, ya que éste se plantea normativamente como una idea de la razón práctica con la finalidad de garantizar una libertad exterior o recíproca. En este sentido, se demarca la autonomía del derecho frente a la moral, ya que lo jurídico y exterior no dependen de las virtudes internas, sino de reglas para la conducta externa y que pueden ser coercibles por el horizonte civil, de acuerdo a una voluntad unificada o integrada. </w:t>
      </w:r>
    </w:p>
    <w:p w14:paraId="5D0E784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 El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justicia. </w:t>
      </w:r>
    </w:p>
    <w:p w14:paraId="0F29B30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su propia maestra impuesta a la conducta de los otros.” (2009; p.6) De acuerdo a Ripstein, la libertad </w:t>
      </w:r>
      <w:r w:rsidRPr="009666E0">
        <w:rPr>
          <w:rFonts w:ascii="Times New Roman" w:hAnsi="Times New Roman"/>
          <w:sz w:val="24"/>
          <w:szCs w:val="24"/>
          <w:lang w:val="es-MX"/>
        </w:rPr>
        <w:lastRenderedPageBreak/>
        <w:t xml:space="preserve">externa opera como un principio normativo para establecer un tipo de libertad recíproca que se ajusta al principio universal del derecho. </w:t>
      </w:r>
    </w:p>
    <w:p w14:paraId="4DC709C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derecho. (…) Los principios del derecho que Kant presenta son altamente abstractos, y requieren del ejercicio del juicio para aplicarle a casos particulares.” (2009; p.10)</w:t>
      </w:r>
    </w:p>
    <w:p w14:paraId="67D02F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apéndice final del libro, titulado “Un postulado incapaz de subsecuente prueba”,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p>
    <w:p w14:paraId="38B571C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Se puede interpretar, en un segundo sentido, la idea de libertad externa en cuanto soberanía. Ripstein habrá de hacer constante énfasis en la idea del derecho como un sistema de principios que posibilita pensar en la persona como señor, o dueño, de sí mismo sin la interferencia de otros. </w:t>
      </w:r>
    </w:p>
    <w:p w14:paraId="7E64177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 su propio señor.” (2009; p.4)</w:t>
      </w:r>
    </w:p>
    <w:p w14:paraId="60E5D41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final hacia el uso legítimo de la fuerza, en un sentido de restricciones jurídicas y civiles, (ante las cuales los individuos modelan las máximas de sus acciones exteriores) que permitan precisamente que cada uno cuente con una libertad externa. De esta forma, el autor refiere que: “La explicación completa de Kant sobre lo que es para cada persona ser su propia maestra, en lugar de ser el sirviente de otro, es lo que habrá de ocupar la mayor parte de este libro.” (2009; p.5)</w:t>
      </w:r>
    </w:p>
    <w:p w14:paraId="6C05C99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(2009; p.5)</w:t>
      </w:r>
    </w:p>
    <w:p w14:paraId="3514C81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w:t>
      </w:r>
      <w:r w:rsidRPr="009666E0">
        <w:rPr>
          <w:rFonts w:ascii="Times New Roman" w:hAnsi="Times New Roman"/>
          <w:sz w:val="24"/>
          <w:szCs w:val="24"/>
          <w:lang w:val="es-MX"/>
        </w:rPr>
        <w:lastRenderedPageBreak/>
        <w:t xml:space="preserve">externa, como un principio normativo, orienta el sentido del derecho en el sentido privado, público y cosmopolita. Ripstein enfatiza que: “La autoridad de cualquier persona o mandato institucional para balancear valores en competencia debe por sí mismo ser reconciliado con el derecho de cada persona para ser su propio maestro/a.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(2009; p.5) Esto equivale a señalar que la libertad externa, pensada fundamentalmente como soberanía, es uno de los sentidos últimos y razones de ser del derecho. Toda ley e institución debe actuar con este derecho innato en mente, a la hora de desplegarse. Esto equivale a subrayar la necesidad de un horizonte civil en las relaciones externas. </w:t>
      </w:r>
    </w:p>
    <w:p w14:paraId="794D8AA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Ello se complementa con el siguiente pasaje, en donde Ripstein enfatiza que: “Kant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(2009; p.11)</w:t>
      </w:r>
    </w:p>
    <w:p w14:paraId="2ECCF027"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representa un derecho innato (incluso en un estado natural), pero su sentido externo sólo puede darse plenamente en un horizonte civil con autoridades e instituciones legítimas. En este puntual sentido, Ripstein refiere que Kant tiene la idea: “que cada derecho de la persona a ser su propia maestra es solo consistente con el derecho de otros si las instituciones legales públicas están vigentes.” (2009; p.9) La libertad precisa a la que se hace referencia, es aquella en que confluyen los actos de unos sobre otros, es decir, que podemos interpretar que Ripstein apunta en este pasaje a la libertad externa como presente únicamente en el marco jurídico de una sociedad que ha integrado su voluntad. </w:t>
      </w:r>
    </w:p>
    <w:p w14:paraId="0725C6B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(2009; p.9) Esto nos permite distinguir entre una libertad ilimitada, sin restricciones, o salvaje (en el sentido del estado natural), de una libertad civilizada o externa, en donde la </w:t>
      </w:r>
      <w:r w:rsidRPr="009666E0">
        <w:rPr>
          <w:rFonts w:ascii="Times New Roman" w:hAnsi="Times New Roman"/>
          <w:sz w:val="24"/>
          <w:szCs w:val="24"/>
          <w:lang w:val="es-MX"/>
        </w:rPr>
        <w:lastRenderedPageBreak/>
        <w:t xml:space="preserve">soberanía de una libertad externa únicamente es concebible bajo el trasfondo de un marco civil. Esto se hará patente en los siguientes capítulos del libro. </w:t>
      </w:r>
    </w:p>
    <w:p w14:paraId="4F45E77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también distingue de los derechos que son innatos, y aquellos que son adquiridos. En el marco de su interpretación de Kant, la libertad por sí sola es un derecho innato, mientras que la libertad externa o jurídica, que requiere un horizonte civil, es un tipo de derecho adquirido. </w:t>
      </w:r>
    </w:p>
    <w:p w14:paraId="47CDEA3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cuarto capítulo,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(2009; p.106)</w:t>
      </w:r>
    </w:p>
    <w:p w14:paraId="38BE6604"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(2009; p.144)</w:t>
      </w:r>
    </w:p>
    <w:p w14:paraId="7B5C86E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 “Tan austera perspectiva de la libertad no permite ninguna evaluación sobre diferentes elecciones sobre la base de un índice público de su </w:t>
      </w:r>
      <w:r w:rsidRPr="009666E0">
        <w:rPr>
          <w:rFonts w:ascii="Times New Roman" w:hAnsi="Times New Roman"/>
          <w:sz w:val="24"/>
          <w:szCs w:val="24"/>
        </w:rPr>
        <w:lastRenderedPageBreak/>
        <w:t>importancia. En su lugar, requiere solamente que las personas libres sean moralmente capaces de juntarse para cambiar sus respectivos derechos y obligaciones.” (2009; p.144)</w:t>
      </w:r>
    </w:p>
    <w:p w14:paraId="27B082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la soberanía no se trata meramente de la autonomía para dirigir los propios actos, sino que se extiende hasta la necesidad de una aprobación consentida de la ley pública, ante la cual todos nos sometemos para permitir una libertad exterior, compartida, equitativa y recíproca. </w:t>
      </w:r>
    </w:p>
    <w:p w14:paraId="398075A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segunda gran parte del libro de Ripstein se ocupa del derecho público. El séptimo capítulo tiene por título “dándonos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suele ser encarnada por constituciones que adoptan una forma de gobierno y política republicanas.</w:t>
      </w:r>
    </w:p>
    <w:p w14:paraId="102DB92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Ripstein explica en el capítulo sexto, estos tres defectos en el estado de naturaleza, considerando que en el estado natural podemos tener 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coercer. Pero los derechos adquiridos no pueden hacerse cumplir en un estado natural. Tercero, en cuanto aspectos de un sistema de libertad equitativa, la aplicación de los derechos privados a particulares solo puede determinarse de acuerdo con estándares que no sean ejercicios unilaterales del juicio de una de las partes en disputa.” (2009; p.146)</w:t>
      </w:r>
    </w:p>
    <w:p w14:paraId="45248C7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Estos tres defectos deben solucionarse de formas que sean consistentes con el derecho a la libertad, y la forma en que pueden resolverse, es mediante el derecho público, desde un punto de vista que mantenga el norte del derecho innato a la humanidad y que, además, admita una perspectiva omnilateral, en lugar de una que sea unilateral. De esta forma, se considera a un colectivo como teniendo una voluntad integrada, unificada o unida, en virtud de la </w:t>
      </w:r>
      <w:r w:rsidRPr="009666E0">
        <w:rPr>
          <w:rFonts w:ascii="Times New Roman" w:hAnsi="Times New Roman"/>
          <w:sz w:val="24"/>
          <w:szCs w:val="24"/>
        </w:rPr>
        <w:lastRenderedPageBreak/>
        <w:t>deliberación, el darse leyes unos a otros y a sí mismos, que deben pasar por el 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(2009; p.230)</w:t>
      </w:r>
    </w:p>
    <w:p w14:paraId="262EA5A0"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(2009; p.230) Y Ripstein agrega, en la misma línea que: “En su lugar, deben ejercer sus mandatos de forma consistente con el derecho innato de humanidad de cada persona y el estatus de cada persona en cuanto miembro de una voluntad unificada. Una condición legítima entre personas privadas es requerida para reconciliar la intencionalidad de una pluralidad de personas separadas, consistente con el derecho de cada persona a ser su propio señor/a.” (2009; p.230)</w:t>
      </w:r>
    </w:p>
    <w:p w14:paraId="6694BB8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 </w:t>
      </w:r>
    </w:p>
    <w:p w14:paraId="72EAD9B2" w14:textId="77777777" w:rsidR="00670045" w:rsidRPr="009666E0" w:rsidRDefault="00670045" w:rsidP="00670045">
      <w:pPr>
        <w:spacing w:line="360" w:lineRule="auto"/>
        <w:rPr>
          <w:rFonts w:ascii="Times New Roman" w:hAnsi="Times New Roman"/>
          <w:sz w:val="24"/>
          <w:szCs w:val="24"/>
        </w:rPr>
      </w:pPr>
    </w:p>
    <w:p w14:paraId="36AE6F96"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 como extensión del derecho innato de la humanidad</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se puede pensar la libertad externa en cuanto se deriva de un derecho básico e innato de la humanidad que se posee antes de la condición jurídica misma, o un estado civil como tal. La primera gran parte del libro se ocupa del derecho privado y en el segundo capítulo, Ripstein nos habla del derecho innato de la humanidad. Esto supone que </w:t>
      </w:r>
      <w:r w:rsidRPr="009666E0">
        <w:rPr>
          <w:rFonts w:ascii="Times New Roman" w:hAnsi="Times New Roman"/>
          <w:sz w:val="24"/>
          <w:szCs w:val="24"/>
          <w:lang w:val="es-MX"/>
        </w:rPr>
        <w:lastRenderedPageBreak/>
        <w:t xml:space="preserve">cada ser humano posee un derecho básico a la libertad que es universal e independiente de las condiciones sociales, materiales o cualquier otra contingencia. Este derecho innato a la libertad es un paso formal para un tipo de libertad que es civil y amparado por el derecho público. Esta última libertad civil, como un derecho adquirido por encima del innato, sería precisamente la externa. </w:t>
      </w:r>
    </w:p>
    <w:p w14:paraId="788F2D5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(y derecho) posteriores. De esta forma, refiere Ripstein que: </w:t>
      </w:r>
      <w:r w:rsidRPr="009666E0">
        <w:rPr>
          <w:rFonts w:ascii="Times New Roman" w:hAnsi="Times New Roman"/>
          <w:sz w:val="24"/>
          <w:szCs w:val="24"/>
        </w:rPr>
        <w:t>“El derecho innato de la humanidad es la base para cualesquiera subsecuentes derechos que una persona debe tener, debido a que es el tener derecho para ser su propio señor/a que cada persona tiene, y así, como resultado, también un derecho que limita las formas en las cuales la fuerza pueda ser usada.” (2009;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Partiendo del derecho innato de la humanidad a su libertad como una idea normativa, Ripstein ubica los alcances que tiene esta noción en el derecho privado y público, cuando señala que: “Esta misma estructura de libertad equitativa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(2009; p.56) El derecho innato de la humanidad es la base para otro tipo de derechos.</w:t>
      </w:r>
    </w:p>
    <w:p w14:paraId="4C5649B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tercer capítulo se ocupa de los derechos adquiridos, como unos que son distintos del derecho innato y le presuponen. Ripstein analiza de qué forma los individuos pueden adquirir derechos sobre objetos externos, es decir, a algo distinto que a sus propias personas. Esto abre la perspectiva de los derechos a la propiedad, que representan un núcleo importante del derecho privado en la obra de Kant. </w:t>
      </w:r>
    </w:p>
    <w:p w14:paraId="2557342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derecho innato a la humanidad se refiere a la soberanía y falta de impedimento para dirigir la propia persona desde la encarnación de su propio cuerpo. Los derechos adquiridos que se siguen extienden esa libertad jurídica. Mientras que la libertad como algo innato apunta principalmente al cuerpo, la libertad de algunos derechos adquiridos expande el dominio de </w:t>
      </w:r>
      <w:r w:rsidRPr="009666E0">
        <w:rPr>
          <w:rFonts w:ascii="Times New Roman" w:hAnsi="Times New Roman"/>
          <w:sz w:val="24"/>
          <w:szCs w:val="24"/>
          <w:lang w:val="es-MX"/>
        </w:rPr>
        <w:lastRenderedPageBreak/>
        <w:t>la libertad externa en las relaciones interpersonales.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Pr="009666E0">
        <w:rPr>
          <w:rFonts w:ascii="Times New Roman" w:hAnsi="Times New Roman"/>
          <w:sz w:val="24"/>
          <w:szCs w:val="24"/>
        </w:rPr>
        <w:t xml:space="preserve"> (2009; p.85)</w:t>
      </w:r>
    </w:p>
    <w:p w14:paraId="1D78458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derecho de otros para usar sus medios externos como vean adecuado, en lugar de tener su base en los fines particulares que son perseguidos.” (2009; p.85)</w:t>
      </w:r>
    </w:p>
    <w:p w14:paraId="2A10674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(2009; p.85)</w:t>
      </w:r>
    </w:p>
    <w:p w14:paraId="52578FD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Es necesaria una transición hacia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(2009; p.181)</w:t>
      </w:r>
    </w:p>
    <w:p w14:paraId="04373FDF"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(2009; p.181) El punto de vista omnilateral, en este sentido, representa el sentido del derecho público, y extiende de esta forma, el derecho innato de la </w:t>
      </w:r>
      <w:r w:rsidRPr="009666E0">
        <w:rPr>
          <w:rFonts w:ascii="Times New Roman" w:hAnsi="Times New Roman"/>
          <w:sz w:val="24"/>
          <w:szCs w:val="24"/>
        </w:rPr>
        <w:lastRenderedPageBreak/>
        <w:t>humanidad, desde una libertad innata hacia una libertad jurídica de actos exteriores. Como Ripstein refiere: “Incluso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(2009; p.181)</w:t>
      </w:r>
    </w:p>
    <w:p w14:paraId="569A0A0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revisado, se puede considerar que la libertad externa es una extensión del derecho innato a la humanidad, y en cuanto se entiende formalmente en tanto un derecho adquirido, presupone y requiere, el horizonte de un marco legal público que se oriente por el sentido normativo de la libertad; Esto podría considerarse como una libertad igual para todos.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3.4 Libertad externa como equidad</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tienes diversos matices. En primer lugar, se piensa que, para todos, por igual, estando bajo la coacción de la ley pública, nos encontramos en reciprocidad de los límites de nuestros actos. En este sentido la libertad externa es equitativa,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tercer sentido, la libertad se entiende como igual para todos por cuanto podemos exigirnos unos a otros el cumplir la ley, y a su vez, debemos otorgar nuestro consentimiento </w:t>
      </w:r>
      <w:r w:rsidRPr="009666E0">
        <w:rPr>
          <w:rFonts w:ascii="Times New Roman" w:hAnsi="Times New Roman"/>
          <w:sz w:val="24"/>
          <w:szCs w:val="24"/>
          <w:lang w:val="es-MX"/>
        </w:rPr>
        <w:lastRenderedPageBreak/>
        <w:t xml:space="preserve">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sentido deliberativo que confluye con el sentido del consentimiento ante las leyes públicas, es decir, generales. </w:t>
      </w:r>
    </w:p>
    <w:p w14:paraId="3223B8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equitativa en una serie de perspectivas que involucran los matices anteriores. La legitimidad de la fuerza pública radica en qué tanto se guía normativamente por los principios de la libertad como derecho innato de la humanidad; A partir de eso, la libertad se piensa como algo </w:t>
      </w:r>
      <w:proofErr w:type="gramStart"/>
      <w:r w:rsidRPr="009666E0">
        <w:rPr>
          <w:rFonts w:ascii="Times New Roman" w:hAnsi="Times New Roman"/>
          <w:sz w:val="24"/>
          <w:szCs w:val="24"/>
          <w:lang w:val="es-MX"/>
        </w:rPr>
        <w:t>extendido,  en</w:t>
      </w:r>
      <w:proofErr w:type="gramEnd"/>
      <w:r w:rsidRPr="009666E0">
        <w:rPr>
          <w:rFonts w:ascii="Times New Roman" w:hAnsi="Times New Roman"/>
          <w:sz w:val="24"/>
          <w:szCs w:val="24"/>
          <w:lang w:val="es-MX"/>
        </w:rPr>
        <w:t xml:space="preserve"> cuanto un derecho adquirido civilmente, y cuya noción no es otra que la de libertad externa, o como le llama Ripstein, equitativa, la que representa un núcleo de la filosofía del derecho y política de Kant. En esta forma, Ripstein señala que: “Espero adelantarme a cualquier impresión de que todo lo que un estado legítimo hace, debe ser una aplicación directa del punto de partida de Kant en la idea de libertad equitativa.” (2009; p.6)</w:t>
      </w:r>
    </w:p>
    <w:p w14:paraId="1F60C3F9"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Si la legitimidad del estado y las leyes radica en el principio de libertad, queda señalado que el sistema que Kant propone, como se ha dicho antes,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(2009; p.10)</w:t>
      </w:r>
    </w:p>
    <w:p w14:paraId="5E4AF4E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Lejos de una perspectiva instrumental o utilitarista, que Kant rechazaría por favorecer una respuesta de principios normativos y en la línea de la deontología, la naturaleza 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(2009; p.298) Y esto nos pone frente a otro problema que la idea de libertad externa supone, referido a los usos y modos en que se ejercita la fuerza, la coerción y el castigo. </w:t>
      </w:r>
    </w:p>
    <w:p w14:paraId="7CA3479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(2009; p.298) </w:t>
      </w:r>
    </w:p>
    <w:p w14:paraId="1EFF6D97"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equitativa, atraviesa y contiene las ideas regulativas que han conformado su noción a lo largo de las perspectivas que se han detallado en este apartado y a lo largo del capítulo. Hace falta complementar lo revisado con la idea que relaciona el uso de la fuerza con la posibilidad de una libertad que tenga estas características.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representa el uso de la fuerza por parte del estado para poder ejercer la coacción civil a la libertad jurídica, de forma que se posibilite la libertad de todos los demás. Este sería un uso legítimo que se distingue del uso de la fuerza en un estado natural, o el uso de la fuerza en una tiranía o despotismo. </w:t>
      </w:r>
    </w:p>
    <w:p w14:paraId="2C662833"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La tesis de Ripstein supone 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cómo (y cuando) las inequidades en riquezas y poder son consistentes con la equidad innata de todas las personas. También muestra que darles poderes especiales a los funcionarios es consistente con la libertad equitativa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(2009; p.29)</w:t>
      </w:r>
    </w:p>
    <w:p w14:paraId="6621027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lastRenderedPageBreak/>
        <w:t xml:space="preserve">El octavo capítulo llamado “caminos a la libertad” contiene el análisis de cómo 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Pr="009666E0">
        <w:rPr>
          <w:rFonts w:ascii="Times New Roman" w:hAnsi="Times New Roman"/>
          <w:sz w:val="24"/>
          <w:szCs w:val="24"/>
        </w:rPr>
        <w:t xml:space="preserve">“He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es vinculante al margen de sus méritos, solamente porque es la decisión de una competente autoridad pública.” (2009; p.265) Ripstein enfatiza que su interpretación no va por el camino del instrumentalismo o de acuerdo a los intereses que se representa el estado, sino que parte de principios normativos, en donde la idea de libertad externa requiere de este uso legítimo de la fuerza por la naturaleza propia de su noción. </w:t>
      </w:r>
    </w:p>
    <w:p w14:paraId="1B689C8C"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equitativa, el estado no debe usar medios inconsistentes con el derecho innato a la humanidad de sus ciudadanos.” (2009; p.265) Como se había referido anteriormente, el poder público debe orientarse siempre por las líneas de la justicia y la libertad como ideas, es decir, no debe hacer daño a nadie, no puede ser privada ni instrumental, y especialmente, debe seguir la línea de la libertad como derecho innato de la humanidad y luego como un derecho adquirido en que plenamente se puede entender como una libertad externa e igual para todos en el horizonte civil. </w:t>
      </w:r>
    </w:p>
    <w:p w14:paraId="174A705E"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(2009; p.265)</w:t>
      </w:r>
    </w:p>
    <w:p w14:paraId="1DC580E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El décimo capítulo habla del castigo como una legítima respuesta necesaria para poder asegurar la igualdad de la libertad. En este apartado, </w:t>
      </w:r>
      <w:r w:rsidRPr="009666E0">
        <w:rPr>
          <w:rFonts w:ascii="Times New Roman" w:hAnsi="Times New Roman"/>
          <w:sz w:val="24"/>
          <w:szCs w:val="24"/>
        </w:rPr>
        <w:t xml:space="preserve">Ripstein indica que: “La filosofía legal </w:t>
      </w:r>
      <w:r w:rsidRPr="009666E0">
        <w:rPr>
          <w:rFonts w:ascii="Times New Roman" w:hAnsi="Times New Roman"/>
          <w:sz w:val="24"/>
          <w:szCs w:val="24"/>
        </w:rPr>
        <w:lastRenderedPageBreak/>
        <w:t>y política de Kant está presentada como un sistema a priori, lo cual quiere decir que se aplica a los finitos seres racionales encarnados, sin ninguna referencia a la malevolencia o los defectos de la naturaleza humana o las difíciles circunstancias en las cuales los humanos se encuentran.” (2009; p.323) Lo que equivale a señalar el poder normativo del sistema metafísico-crítico kantiano. Agrega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(2009; p.323)</w:t>
      </w:r>
    </w:p>
    <w:p w14:paraId="3CEE9441"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 y luego sublimado civilmente. A su vez, el acento se coloca en la idea normativa de la libertad como compatible con la del uso legítimo de la fuerza, en lugar de apelar a argumento utilitarista. Ripstein nos señala que: “El castigo retributivo no sirve para supervisar que los malvados sufran como se lo merecen; tampoco el castigar a una persona sirve como medida </w:t>
      </w:r>
      <w:proofErr w:type="spellStart"/>
      <w:r w:rsidRPr="009666E0">
        <w:rPr>
          <w:rFonts w:ascii="Times New Roman" w:hAnsi="Times New Roman"/>
          <w:sz w:val="24"/>
          <w:szCs w:val="24"/>
        </w:rPr>
        <w:t>detrimental</w:t>
      </w:r>
      <w:proofErr w:type="spellEnd"/>
      <w:r w:rsidRPr="009666E0">
        <w:rPr>
          <w:rFonts w:ascii="Times New Roman" w:hAnsi="Times New Roman"/>
          <w:sz w:val="24"/>
          <w:szCs w:val="24"/>
        </w:rPr>
        <w:t xml:space="preserve"> para prevenir que otros se involucren en comportamiento mal recibidos.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(2009; p.323)</w:t>
      </w:r>
    </w:p>
    <w:p w14:paraId="27BA4AE5"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el decimoprimer capítulo, 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lastRenderedPageBreak/>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(2009; p.339, Kant citado en </w:t>
      </w:r>
      <w:proofErr w:type="spellStart"/>
      <w:r w:rsidRPr="009666E0">
        <w:rPr>
          <w:rFonts w:ascii="Times New Roman" w:hAnsi="Times New Roman"/>
          <w:sz w:val="24"/>
          <w:szCs w:val="24"/>
        </w:rPr>
        <w:t>Ripsten</w:t>
      </w:r>
      <w:proofErr w:type="spellEnd"/>
      <w:r w:rsidRPr="009666E0">
        <w:rPr>
          <w:rFonts w:ascii="Times New Roman" w:hAnsi="Times New Roman"/>
          <w:sz w:val="24"/>
          <w:szCs w:val="24"/>
        </w:rPr>
        <w:t>, 2006, 7:330)</w:t>
      </w:r>
    </w:p>
    <w:p w14:paraId="1C9C0D13"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De acuerdo a este panorama, el uso legítimo del uso de la fuerza no puede disociarse de la ley ni de la idea de libertad. Cabe resaltar, que, para Kant, el único uso legítimo de la fuerza pública es uno de tipo republicano, que se caracteriza, dentro de otras cosas, por unificar una voluntad general que sea omnilateral y se ajuste al principio normativo de la libertad, tanto como derecho innato de la humanidad, como al sentido de libertad como un derecho adquirido civilmente, es decir, una libertad exterior. </w:t>
      </w:r>
    </w:p>
    <w:p w14:paraId="29AE547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rPr>
        <w:t xml:space="preserve">En un apartado que se titula: “Desde el derecho innato a la humanidad hacia el derecho de los seres humanos como tal” Ripstein expresa lo siguiente: “El punto de partida para la teoría del derecho de Kant es el derecho innato a la humanidad en cada persona, y así, el tener derechos para cada ser humano de ser independiente de cualquier elección de otra persona, el ser tratado como su propio señor/a, en cuanto persona y no una cosa.”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 xml:space="preserve">“La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(2009; p.352) Esto representa un puente que nos lleva al sentido pleno y público de la libertad entendida como externa e igual para todos. Ripstein concluye 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Pr="009666E0">
        <w:rPr>
          <w:rFonts w:ascii="Times New Roman" w:hAnsi="Times New Roman"/>
          <w:sz w:val="24"/>
          <w:szCs w:val="24"/>
          <w:lang w:val="es-MX"/>
        </w:rPr>
        <w:t>(2009; p.352)</w:t>
      </w:r>
    </w:p>
    <w:p w14:paraId="1FEA31EB"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 se ha planteado el papel del uso legítimo de la fuerza pública. De todo ello, tenemos una delimitación del </w:t>
      </w:r>
      <w:r w:rsidRPr="009666E0">
        <w:rPr>
          <w:rFonts w:ascii="Times New Roman" w:hAnsi="Times New Roman"/>
          <w:sz w:val="24"/>
          <w:szCs w:val="24"/>
          <w:lang w:val="es-MX"/>
        </w:rPr>
        <w:lastRenderedPageBreak/>
        <w:t xml:space="preserve">concepto de libertad externa, de acuerdo a </w:t>
      </w:r>
      <w:proofErr w:type="spellStart"/>
      <w:r w:rsidRPr="009666E0">
        <w:rPr>
          <w:rFonts w:ascii="Times New Roman" w:hAnsi="Times New Roman"/>
          <w:sz w:val="24"/>
          <w:szCs w:val="24"/>
          <w:lang w:val="es-MX"/>
        </w:rPr>
        <w:t>A</w:t>
      </w:r>
      <w:proofErr w:type="spellEnd"/>
      <w:r w:rsidRPr="009666E0">
        <w:rPr>
          <w:rFonts w:ascii="Times New Roman" w:hAnsi="Times New Roman"/>
          <w:sz w:val="24"/>
          <w:szCs w:val="24"/>
          <w:lang w:val="es-MX"/>
        </w:rPr>
        <w:t xml:space="preserve">. Ripstein, que se ajusta precisamente a la doctrina del derecho de Kant. La idea fundamental que puede resumir lo revisado, supone que la libertad externa es un derecho adquirido (es decir, una extensión del derecho innato) de acuerdo a una voluntad </w:t>
      </w:r>
      <w:proofErr w:type="spellStart"/>
      <w:r w:rsidRPr="009666E0">
        <w:rPr>
          <w:rFonts w:ascii="Times New Roman" w:hAnsi="Times New Roman"/>
          <w:sz w:val="24"/>
          <w:szCs w:val="24"/>
          <w:lang w:val="es-MX"/>
        </w:rPr>
        <w:t>ominlateral</w:t>
      </w:r>
      <w:proofErr w:type="spellEnd"/>
      <w:r w:rsidRPr="009666E0">
        <w:rPr>
          <w:rFonts w:ascii="Times New Roman" w:hAnsi="Times New Roman"/>
          <w:sz w:val="24"/>
          <w:szCs w:val="24"/>
          <w:lang w:val="es-MX"/>
        </w:rPr>
        <w:t xml:space="preserve">, que incluye una fuerza pública legítima que tiene un propósito guiado por las ideas regulativas de la justicia y la libertad. </w:t>
      </w:r>
    </w:p>
    <w:p w14:paraId="7689C70E" w14:textId="77777777" w:rsidR="00670045" w:rsidRPr="009666E0" w:rsidRDefault="00670045" w:rsidP="00670045">
      <w:pPr>
        <w:rPr>
          <w:rFonts w:ascii="Times New Roman" w:hAnsi="Times New Roman"/>
          <w:sz w:val="24"/>
          <w:szCs w:val="24"/>
          <w:lang w:val="es-MX"/>
        </w:rPr>
      </w:pPr>
      <w:r w:rsidRPr="009666E0">
        <w:rPr>
          <w:rFonts w:ascii="Times New Roman" w:hAnsi="Times New Roman"/>
          <w:sz w:val="24"/>
          <w:szCs w:val="24"/>
          <w:lang w:val="es-MX"/>
        </w:rPr>
        <w:br w:type="page"/>
      </w:r>
    </w:p>
    <w:p w14:paraId="1EA65741" w14:textId="0964AB48" w:rsidR="00670045" w:rsidRPr="00670045" w:rsidRDefault="00670045" w:rsidP="00670045">
      <w:pPr>
        <w:spacing w:line="360" w:lineRule="auto"/>
        <w:ind w:firstLine="708"/>
        <w:jc w:val="center"/>
        <w:rPr>
          <w:rFonts w:ascii="Times New Roman" w:hAnsi="Times New Roman"/>
          <w:b/>
          <w:bCs/>
          <w:sz w:val="24"/>
          <w:szCs w:val="24"/>
          <w:u w:val="single"/>
          <w:lang w:val="es-MX"/>
        </w:rPr>
      </w:pPr>
      <w:r w:rsidRPr="00670045">
        <w:rPr>
          <w:rFonts w:ascii="Times New Roman" w:hAnsi="Times New Roman"/>
          <w:b/>
          <w:bCs/>
          <w:sz w:val="24"/>
          <w:szCs w:val="24"/>
          <w:u w:val="single"/>
        </w:rPr>
        <w:lastRenderedPageBreak/>
        <w:t xml:space="preserve">Capítulo 4: </w:t>
      </w:r>
      <w:r w:rsidRPr="00670045">
        <w:rPr>
          <w:rFonts w:ascii="Times New Roman" w:hAnsi="Times New Roman"/>
          <w:b/>
          <w:bCs/>
          <w:sz w:val="24"/>
          <w:szCs w:val="24"/>
          <w:u w:val="single"/>
          <w:lang w:val="es-MX"/>
        </w:rPr>
        <w:t xml:space="preserve">Conclusiones </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00479456"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 su perfil interno, hacia lo que le completa, que es una consideración externa y compartida.</w:t>
      </w:r>
    </w:p>
    <w:p w14:paraId="1465227A" w14:textId="09CA2608"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delimitación del concepto de libertad externa, en el pensamiento de Kant, nos puede dejar cuando menos cinco conclusiones que se siguen del desarrollo establecido. Tres provienen de forma directa de Kant y dos le complementan desde lecturas recientes en la literatura especializada en el tema abordado. </w:t>
      </w:r>
    </w:p>
    <w:p w14:paraId="1D57ADFB" w14:textId="51732E7C"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sentido es originario del estado de derecho.</w:t>
      </w:r>
    </w:p>
    <w:p w14:paraId="5D93B14A" w14:textId="2B7224A8"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pública, siempre y cuando esta no perjudique a nadie. El sentido civil de la libertad externa radica en su cercanía con la idea de ciudadanía en la forma de gobierno republicana que confronta cualquier tipo de despotismo.</w:t>
      </w:r>
    </w:p>
    <w:p w14:paraId="55AB0182" w14:textId="50736432"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 expresión y la deliberación como fundamento de una voz unificada del bienestar de los asuntos públicos. </w:t>
      </w:r>
    </w:p>
    <w:p w14:paraId="6C2853EE" w14:textId="752C9F5C"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basada incluso en una lectura de los intereses económicos, ya que ese horizonte requiere de instituciones legales que hagan posible que el deseo de adquirir posesiones sea perenne, y reconocido por todos, en lugar de provisional y dependa de la fuerza de nadie. En este sentido, la fuerza normativa de la libertad </w:t>
      </w:r>
      <w:r>
        <w:rPr>
          <w:rFonts w:ascii="Times New Roman" w:hAnsi="Times New Roman"/>
          <w:sz w:val="24"/>
          <w:szCs w:val="24"/>
          <w:lang w:val="es-MX"/>
        </w:rPr>
        <w:lastRenderedPageBreak/>
        <w:t>externa nos compele, por la fuerza de su idea, a entrar en relaciones civiles de acuerdo a una voluntad razonable, para instaurar un orden civil y público.</w:t>
      </w:r>
    </w:p>
    <w:p w14:paraId="7C9270F1" w14:textId="43639BF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en cuanto ésta es una extensión de una libertad innata. </w:t>
      </w:r>
      <w:r w:rsidR="006858F9">
        <w:rPr>
          <w:rFonts w:ascii="Times New Roman" w:hAnsi="Times New Roman"/>
          <w:sz w:val="24"/>
          <w:szCs w:val="24"/>
          <w:lang w:val="es-MX"/>
        </w:rPr>
        <w:t>Esto equivale a poner un obstáculo a aquellos a quienes obstaculizan la libertad de otros. La libertad externa, de esta forma, se entiende como un derecho adquirido que extiende la idea de una libertad en cuanto derecho innato, y resulta en la idea de que las personas deben ser consideradas en virtud de su propia soberanía como dueños de sí mismos.</w:t>
      </w:r>
    </w:p>
    <w:p w14:paraId="70E24CA6" w14:textId="77777777"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 </w:t>
      </w:r>
    </w:p>
    <w:p w14:paraId="253764F5" w14:textId="4ACB35F8" w:rsidR="006858F9"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todo ello, la libertad externa, parece ser fundamental para entender la ciudadanía en el contexto de una sociedad educada bajo los ideales de la forma de gobierno que es republicana, que es la única que parece admitir una noción regulativa articulada acerca del tipo de libertad que es jurídica, civil y política, es decir, la externa. </w:t>
      </w:r>
    </w:p>
    <w:p w14:paraId="66A7E107" w14:textId="77777777" w:rsidR="00605106" w:rsidRDefault="00605106" w:rsidP="00670045">
      <w:pPr>
        <w:spacing w:line="360" w:lineRule="auto"/>
        <w:rPr>
          <w:rFonts w:ascii="Times New Roman" w:hAnsi="Times New Roman"/>
          <w:sz w:val="24"/>
          <w:szCs w:val="24"/>
          <w:lang w:val="es-MX"/>
        </w:rPr>
      </w:pPr>
    </w:p>
    <w:p w14:paraId="5D66E5F8" w14:textId="77777777" w:rsidR="00605106" w:rsidRPr="009666E0" w:rsidRDefault="00605106" w:rsidP="00670045">
      <w:pPr>
        <w:spacing w:line="360" w:lineRule="auto"/>
        <w:rPr>
          <w:rFonts w:ascii="Times New Roman" w:hAnsi="Times New Roman"/>
          <w:sz w:val="24"/>
          <w:szCs w:val="24"/>
          <w:lang w:val="es-MX"/>
        </w:rPr>
      </w:pPr>
    </w:p>
    <w:bookmarkEnd w:id="1"/>
    <w:p w14:paraId="25EB4F66" w14:textId="11F9318C" w:rsidR="00670045" w:rsidRPr="00BA441A" w:rsidRDefault="00670045">
      <w:pPr>
        <w:spacing w:after="0"/>
        <w:ind w:left="0" w:firstLine="0"/>
        <w:jc w:val="left"/>
        <w:rPr>
          <w:rFonts w:ascii="Times New Roman" w:hAnsi="Times New Roman"/>
          <w:b/>
          <w:sz w:val="24"/>
          <w:szCs w:val="24"/>
          <w:u w:val="single"/>
          <w:lang w:val="es-PE"/>
        </w:rPr>
      </w:pPr>
      <w:r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A23F94" w:rsidRDefault="00142CCE" w:rsidP="000579A5">
      <w:pPr>
        <w:spacing w:line="360" w:lineRule="auto"/>
        <w:ind w:left="0" w:firstLine="0"/>
        <w:jc w:val="center"/>
        <w:rPr>
          <w:rFonts w:ascii="Times New Roman" w:hAnsi="Times New Roman"/>
          <w:b/>
          <w:sz w:val="24"/>
          <w:szCs w:val="24"/>
          <w:u w:val="single"/>
          <w:lang w:val="es-PE"/>
        </w:rPr>
      </w:pPr>
      <w:r w:rsidRPr="00A23F94">
        <w:rPr>
          <w:rFonts w:ascii="Times New Roman" w:hAnsi="Times New Roman"/>
          <w:b/>
          <w:sz w:val="24"/>
          <w:szCs w:val="24"/>
          <w:u w:val="single"/>
          <w:lang w:val="es-PE"/>
        </w:rPr>
        <w:t>Referencias bibliográficas</w:t>
      </w:r>
    </w:p>
    <w:p w14:paraId="02502B2A" w14:textId="77777777" w:rsidR="0053194A" w:rsidRPr="00A23F94" w:rsidRDefault="0053194A" w:rsidP="00FD640E">
      <w:pPr>
        <w:ind w:left="720" w:hanging="720"/>
        <w:rPr>
          <w:rFonts w:ascii="Times New Roman" w:hAnsi="Times New Roman"/>
          <w:color w:val="000000" w:themeColor="text1"/>
          <w:sz w:val="24"/>
          <w:szCs w:val="24"/>
          <w:lang w:val="es-PE"/>
        </w:rPr>
      </w:pPr>
    </w:p>
    <w:p w14:paraId="395E00EF"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Agazzi, A. (1966) </w:t>
      </w:r>
      <w:r w:rsidRPr="00D44DD4">
        <w:rPr>
          <w:rFonts w:ascii="Times New Roman" w:hAnsi="Times New Roman"/>
          <w:i/>
          <w:sz w:val="24"/>
          <w:szCs w:val="24"/>
        </w:rPr>
        <w:t xml:space="preserve">Historia de la filosofía y de la pedagogía. </w:t>
      </w:r>
      <w:proofErr w:type="spellStart"/>
      <w:r w:rsidRPr="00D44DD4">
        <w:rPr>
          <w:rFonts w:ascii="Times New Roman" w:hAnsi="Times New Roman"/>
          <w:i/>
          <w:sz w:val="24"/>
          <w:szCs w:val="24"/>
          <w:lang w:val="en-US"/>
        </w:rPr>
        <w:t>Tomo</w:t>
      </w:r>
      <w:proofErr w:type="spellEnd"/>
      <w:r w:rsidRPr="00D44DD4">
        <w:rPr>
          <w:rFonts w:ascii="Times New Roman" w:hAnsi="Times New Roman"/>
          <w:i/>
          <w:sz w:val="24"/>
          <w:szCs w:val="24"/>
          <w:lang w:val="en-US"/>
        </w:rPr>
        <w:t xml:space="preserve"> II.</w:t>
      </w:r>
      <w:r w:rsidRPr="00D44DD4">
        <w:rPr>
          <w:rFonts w:ascii="Times New Roman" w:hAnsi="Times New Roman"/>
          <w:sz w:val="24"/>
          <w:szCs w:val="24"/>
          <w:lang w:val="en-US"/>
        </w:rPr>
        <w:t xml:space="preserve"> Ed. Marfil.</w:t>
      </w:r>
    </w:p>
    <w:p w14:paraId="6656AAE3"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Arendt, H. (1992) </w:t>
      </w:r>
      <w:r w:rsidRPr="00D44DD4">
        <w:rPr>
          <w:rFonts w:ascii="Times New Roman" w:hAnsi="Times New Roman"/>
          <w:i/>
          <w:sz w:val="24"/>
          <w:szCs w:val="24"/>
          <w:lang w:val="en-US"/>
        </w:rPr>
        <w:t>Lectures on Kant´s political philosophy</w:t>
      </w:r>
      <w:r w:rsidRPr="00D44DD4">
        <w:rPr>
          <w:rFonts w:ascii="Times New Roman" w:hAnsi="Times New Roman"/>
          <w:sz w:val="24"/>
          <w:szCs w:val="24"/>
          <w:lang w:val="en-US"/>
        </w:rPr>
        <w:t>. Ed. Ronald Beiner. University of Chicago Press.</w:t>
      </w:r>
    </w:p>
    <w:p w14:paraId="25E6AD0B" w14:textId="77777777" w:rsidR="00510A3D" w:rsidRPr="00BA441A" w:rsidRDefault="00510A3D" w:rsidP="009F2DB2">
      <w:pPr>
        <w:ind w:left="720" w:hanging="720"/>
        <w:rPr>
          <w:rFonts w:ascii="Times New Roman" w:hAnsi="Times New Roman"/>
          <w:sz w:val="24"/>
          <w:szCs w:val="24"/>
          <w:lang w:val="en-US"/>
        </w:rPr>
      </w:pPr>
      <w:r w:rsidRPr="002B1489">
        <w:rPr>
          <w:rFonts w:ascii="Times New Roman" w:hAnsi="Times New Roman"/>
          <w:sz w:val="24"/>
          <w:szCs w:val="24"/>
          <w:lang w:val="en-US"/>
        </w:rPr>
        <w:t>Cassirer, E. (</w:t>
      </w:r>
      <w:r>
        <w:rPr>
          <w:rFonts w:ascii="Times New Roman" w:hAnsi="Times New Roman"/>
          <w:sz w:val="24"/>
          <w:szCs w:val="24"/>
          <w:lang w:val="en-US"/>
        </w:rPr>
        <w:t>1946</w:t>
      </w:r>
      <w:r w:rsidRPr="002B1489">
        <w:rPr>
          <w:rFonts w:ascii="Times New Roman" w:hAnsi="Times New Roman"/>
          <w:sz w:val="24"/>
          <w:szCs w:val="24"/>
          <w:lang w:val="en-US"/>
        </w:rPr>
        <w:t xml:space="preserve">) </w:t>
      </w:r>
      <w:r w:rsidRPr="002B1489">
        <w:rPr>
          <w:rFonts w:ascii="Times New Roman" w:hAnsi="Times New Roman"/>
          <w:i/>
          <w:sz w:val="24"/>
          <w:szCs w:val="24"/>
          <w:lang w:val="en-US"/>
        </w:rPr>
        <w:t>The myth of the state</w:t>
      </w:r>
      <w:r w:rsidRPr="002B1489">
        <w:rPr>
          <w:rFonts w:ascii="Times New Roman" w:hAnsi="Times New Roman"/>
          <w:sz w:val="24"/>
          <w:szCs w:val="24"/>
          <w:lang w:val="en-US"/>
        </w:rPr>
        <w:t xml:space="preserve">. </w:t>
      </w:r>
      <w:r w:rsidRPr="00BA441A">
        <w:rPr>
          <w:rFonts w:ascii="Times New Roman" w:hAnsi="Times New Roman"/>
          <w:sz w:val="24"/>
          <w:szCs w:val="24"/>
          <w:lang w:val="en-US"/>
        </w:rPr>
        <w:t>Yale University Press</w:t>
      </w:r>
    </w:p>
    <w:p w14:paraId="1D894C06" w14:textId="77777777" w:rsidR="00510A3D" w:rsidRPr="00DA48A9" w:rsidRDefault="00510A3D" w:rsidP="009F2DB2">
      <w:pPr>
        <w:ind w:left="720" w:hanging="720"/>
        <w:rPr>
          <w:rFonts w:ascii="Times New Roman" w:hAnsi="Times New Roman"/>
          <w:sz w:val="24"/>
          <w:szCs w:val="24"/>
        </w:rPr>
      </w:pPr>
      <w:r w:rsidRPr="00BA441A">
        <w:rPr>
          <w:rFonts w:ascii="Times New Roman" w:hAnsi="Times New Roman"/>
          <w:sz w:val="24"/>
          <w:szCs w:val="24"/>
          <w:lang w:val="en-US"/>
        </w:rPr>
        <w:t xml:space="preserve">Cassirer, E. (1985) </w:t>
      </w:r>
      <w:r w:rsidRPr="00BA441A">
        <w:rPr>
          <w:rFonts w:ascii="Times New Roman" w:hAnsi="Times New Roman"/>
          <w:i/>
          <w:sz w:val="24"/>
          <w:szCs w:val="24"/>
          <w:lang w:val="en-US"/>
        </w:rPr>
        <w:t xml:space="preserve">Kant, Vida y </w:t>
      </w:r>
      <w:proofErr w:type="spellStart"/>
      <w:r w:rsidRPr="00BA441A">
        <w:rPr>
          <w:rFonts w:ascii="Times New Roman" w:hAnsi="Times New Roman"/>
          <w:i/>
          <w:sz w:val="24"/>
          <w:szCs w:val="24"/>
          <w:lang w:val="en-US"/>
        </w:rPr>
        <w:t>Doctrina</w:t>
      </w:r>
      <w:proofErr w:type="spellEnd"/>
      <w:r w:rsidRPr="00BA441A">
        <w:rPr>
          <w:rFonts w:ascii="Times New Roman" w:hAnsi="Times New Roman"/>
          <w:sz w:val="24"/>
          <w:szCs w:val="24"/>
          <w:lang w:val="en-US"/>
        </w:rPr>
        <w:t xml:space="preserve">. </w:t>
      </w:r>
      <w:r w:rsidRPr="00DA48A9">
        <w:rPr>
          <w:rFonts w:ascii="Times New Roman" w:hAnsi="Times New Roman"/>
          <w:sz w:val="24"/>
          <w:szCs w:val="24"/>
        </w:rPr>
        <w:t xml:space="preserve">Fondo de Cultura Económica. </w:t>
      </w:r>
    </w:p>
    <w:p w14:paraId="37365188"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Caviglia, A. (2005) </w:t>
      </w:r>
      <w:r w:rsidRPr="00D44DD4">
        <w:rPr>
          <w:rFonts w:ascii="Times New Roman" w:hAnsi="Times New Roman"/>
          <w:i/>
          <w:sz w:val="24"/>
          <w:szCs w:val="24"/>
        </w:rPr>
        <w:t>Soberanía de la voluntad unificada del pueblo sobre el gobierno en la filosofía política de Kant</w:t>
      </w:r>
      <w:r w:rsidRPr="00D44DD4">
        <w:rPr>
          <w:rFonts w:ascii="Times New Roman" w:hAnsi="Times New Roman"/>
          <w:sz w:val="24"/>
          <w:szCs w:val="24"/>
        </w:rPr>
        <w:t xml:space="preserve">. PUCP. </w:t>
      </w:r>
    </w:p>
    <w:p w14:paraId="39E28F98"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s-PE"/>
        </w:rPr>
        <w:t xml:space="preserve">Caviglia, A. (2017) </w:t>
      </w:r>
      <w:r w:rsidRPr="00D44DD4">
        <w:rPr>
          <w:rFonts w:ascii="Times New Roman" w:hAnsi="Times New Roman"/>
          <w:i/>
          <w:sz w:val="24"/>
          <w:szCs w:val="24"/>
          <w:lang w:val="es-PE"/>
        </w:rPr>
        <w:t>Crítica Social, Crítica Inmanente y Crítica Trascendente: La cuestión de la Crítica Inmanente en la Teoría Crítica.</w:t>
      </w:r>
      <w:r w:rsidRPr="00D44DD4">
        <w:rPr>
          <w:rFonts w:ascii="Times New Roman" w:hAnsi="Times New Roman"/>
          <w:sz w:val="24"/>
          <w:szCs w:val="24"/>
          <w:lang w:val="es-PE"/>
        </w:rPr>
        <w:t xml:space="preserve"> (En: Derecho &amp; Sociedad, </w:t>
      </w:r>
      <w:proofErr w:type="spellStart"/>
      <w:r w:rsidRPr="00D44DD4">
        <w:rPr>
          <w:rFonts w:ascii="Times New Roman" w:hAnsi="Times New Roman"/>
          <w:sz w:val="24"/>
          <w:szCs w:val="24"/>
          <w:lang w:val="es-PE"/>
        </w:rPr>
        <w:t>Nº</w:t>
      </w:r>
      <w:proofErr w:type="spellEnd"/>
      <w:r w:rsidRPr="00D44DD4">
        <w:rPr>
          <w:rFonts w:ascii="Times New Roman" w:hAnsi="Times New Roman"/>
          <w:sz w:val="24"/>
          <w:szCs w:val="24"/>
          <w:lang w:val="es-PE"/>
        </w:rPr>
        <w:t xml:space="preserve"> 48, </w:t>
      </w:r>
      <w:proofErr w:type="gramStart"/>
      <w:r w:rsidRPr="00D44DD4">
        <w:rPr>
          <w:rFonts w:ascii="Times New Roman" w:hAnsi="Times New Roman"/>
          <w:sz w:val="24"/>
          <w:szCs w:val="24"/>
          <w:lang w:val="es-PE"/>
        </w:rPr>
        <w:t>Marzo</w:t>
      </w:r>
      <w:proofErr w:type="gramEnd"/>
      <w:r w:rsidRPr="00D44DD4">
        <w:rPr>
          <w:rFonts w:ascii="Times New Roman" w:hAnsi="Times New Roman"/>
          <w:sz w:val="24"/>
          <w:szCs w:val="24"/>
          <w:lang w:val="es-PE"/>
        </w:rPr>
        <w:t>, pp. 323 - 332)</w:t>
      </w:r>
    </w:p>
    <w:p w14:paraId="43AB951B"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Caviglia, A. (2023). </w:t>
      </w:r>
      <w:r w:rsidRPr="00D44DD4">
        <w:rPr>
          <w:rFonts w:ascii="Times New Roman" w:hAnsi="Times New Roman"/>
          <w:bCs/>
          <w:i/>
          <w:sz w:val="24"/>
          <w:szCs w:val="24"/>
        </w:rPr>
        <w:t>Responsabilidad y debate público. Sobre el vigésimo aniversario de la entrega del IF-CVR</w:t>
      </w:r>
      <w:r w:rsidRPr="00D44DD4">
        <w:rPr>
          <w:rFonts w:ascii="Times New Roman" w:hAnsi="Times New Roman"/>
          <w:sz w:val="24"/>
          <w:szCs w:val="24"/>
        </w:rPr>
        <w:t>. En: SÍLEX. Vol.13. (pp. 36 - 69).</w:t>
      </w:r>
    </w:p>
    <w:p w14:paraId="28841350"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Cortina, A. (1988) </w:t>
      </w:r>
      <w:r w:rsidRPr="00D44DD4">
        <w:rPr>
          <w:rFonts w:ascii="Times New Roman" w:hAnsi="Times New Roman"/>
          <w:i/>
          <w:sz w:val="24"/>
          <w:szCs w:val="24"/>
        </w:rPr>
        <w:t>El contrato social como ideal del estado de derecho. El dudoso contractualismo de I. Kant</w:t>
      </w:r>
      <w:r w:rsidRPr="00D44DD4">
        <w:rPr>
          <w:rFonts w:ascii="Times New Roman" w:hAnsi="Times New Roman"/>
          <w:sz w:val="24"/>
          <w:szCs w:val="24"/>
        </w:rPr>
        <w:t xml:space="preserve">. (En: Revista de Estudios Políticos, Nueva Época, </w:t>
      </w:r>
      <w:proofErr w:type="spellStart"/>
      <w:r w:rsidRPr="00D44DD4">
        <w:rPr>
          <w:rFonts w:ascii="Times New Roman" w:hAnsi="Times New Roman"/>
          <w:sz w:val="24"/>
          <w:szCs w:val="24"/>
        </w:rPr>
        <w:t>Nº</w:t>
      </w:r>
      <w:proofErr w:type="spellEnd"/>
      <w:r w:rsidRPr="00D44DD4">
        <w:rPr>
          <w:rFonts w:ascii="Times New Roman" w:hAnsi="Times New Roman"/>
          <w:sz w:val="24"/>
          <w:szCs w:val="24"/>
        </w:rPr>
        <w:t xml:space="preserve"> 59. Enero-</w:t>
      </w:r>
      <w:proofErr w:type="gramStart"/>
      <w:r w:rsidRPr="00D44DD4">
        <w:rPr>
          <w:rFonts w:ascii="Times New Roman" w:hAnsi="Times New Roman"/>
          <w:sz w:val="24"/>
          <w:szCs w:val="24"/>
        </w:rPr>
        <w:t>Marzo</w:t>
      </w:r>
      <w:proofErr w:type="gramEnd"/>
      <w:r w:rsidRPr="00D44DD4">
        <w:rPr>
          <w:rFonts w:ascii="Times New Roman" w:hAnsi="Times New Roman"/>
          <w:sz w:val="24"/>
          <w:szCs w:val="24"/>
        </w:rPr>
        <w:t>).</w:t>
      </w:r>
    </w:p>
    <w:p w14:paraId="6DE5AA1E" w14:textId="77777777" w:rsidR="00510A3D" w:rsidRPr="005945A9" w:rsidRDefault="00510A3D" w:rsidP="009F2DB2">
      <w:pPr>
        <w:ind w:left="720" w:hanging="720"/>
        <w:rPr>
          <w:rFonts w:ascii="Times New Roman" w:hAnsi="Times New Roman"/>
          <w:sz w:val="24"/>
          <w:szCs w:val="24"/>
          <w:lang w:val="es-PE"/>
        </w:rPr>
      </w:pPr>
      <w:r>
        <w:rPr>
          <w:rFonts w:ascii="Times New Roman" w:hAnsi="Times New Roman"/>
          <w:sz w:val="24"/>
          <w:szCs w:val="24"/>
          <w:lang w:val="es-PE"/>
        </w:rPr>
        <w:t xml:space="preserve">Dewey, J. (1998) </w:t>
      </w:r>
      <w:r>
        <w:rPr>
          <w:rFonts w:ascii="Times New Roman" w:hAnsi="Times New Roman"/>
          <w:i/>
          <w:sz w:val="24"/>
          <w:szCs w:val="24"/>
          <w:lang w:val="es-PE"/>
        </w:rPr>
        <w:t xml:space="preserve">Democracia y educación. Una introducción a la filosofía de la educación. </w:t>
      </w:r>
      <w:r>
        <w:rPr>
          <w:rFonts w:ascii="Times New Roman" w:hAnsi="Times New Roman"/>
          <w:sz w:val="24"/>
          <w:szCs w:val="24"/>
          <w:lang w:val="es-PE"/>
        </w:rPr>
        <w:t>Morata Ed.</w:t>
      </w:r>
    </w:p>
    <w:p w14:paraId="1EBC3ABC"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Euchner, W. (1974) </w:t>
      </w:r>
      <w:r w:rsidRPr="00D44DD4">
        <w:rPr>
          <w:rFonts w:ascii="Times New Roman" w:hAnsi="Times New Roman"/>
          <w:i/>
          <w:sz w:val="24"/>
          <w:szCs w:val="24"/>
        </w:rPr>
        <w:t>Kant como filósofo del progreso político</w:t>
      </w:r>
      <w:r w:rsidRPr="00D44DD4">
        <w:rPr>
          <w:rFonts w:ascii="Times New Roman" w:hAnsi="Times New Roman"/>
          <w:sz w:val="24"/>
          <w:szCs w:val="24"/>
        </w:rPr>
        <w:t xml:space="preserve">. Pp. 17-26. En: Renker, Euchner et Al, </w:t>
      </w:r>
      <w:r w:rsidRPr="00D44DD4">
        <w:rPr>
          <w:rFonts w:ascii="Times New Roman" w:hAnsi="Times New Roman"/>
          <w:i/>
          <w:sz w:val="24"/>
          <w:szCs w:val="24"/>
        </w:rPr>
        <w:t>Immanuel Kant. Kant como pensador político</w:t>
      </w:r>
      <w:r w:rsidRPr="00D44DD4">
        <w:rPr>
          <w:rFonts w:ascii="Times New Roman" w:hAnsi="Times New Roman"/>
          <w:sz w:val="24"/>
          <w:szCs w:val="24"/>
        </w:rPr>
        <w:t xml:space="preserve">. </w:t>
      </w:r>
      <w:proofErr w:type="spellStart"/>
      <w:r w:rsidRPr="00D44DD4">
        <w:rPr>
          <w:rFonts w:ascii="Times New Roman" w:hAnsi="Times New Roman"/>
          <w:sz w:val="24"/>
          <w:szCs w:val="24"/>
        </w:rPr>
        <w:t>Internationes</w:t>
      </w:r>
      <w:proofErr w:type="spellEnd"/>
      <w:r w:rsidRPr="00D44DD4">
        <w:rPr>
          <w:rFonts w:ascii="Times New Roman" w:hAnsi="Times New Roman"/>
          <w:sz w:val="24"/>
          <w:szCs w:val="24"/>
        </w:rPr>
        <w:t xml:space="preserve">, Bon-Bad </w:t>
      </w:r>
      <w:proofErr w:type="spellStart"/>
      <w:r w:rsidRPr="00D44DD4">
        <w:rPr>
          <w:rFonts w:ascii="Times New Roman" w:hAnsi="Times New Roman"/>
          <w:sz w:val="24"/>
          <w:szCs w:val="24"/>
        </w:rPr>
        <w:t>Godesberg</w:t>
      </w:r>
      <w:proofErr w:type="spellEnd"/>
      <w:r w:rsidRPr="00D44DD4">
        <w:rPr>
          <w:rFonts w:ascii="Times New Roman" w:hAnsi="Times New Roman"/>
          <w:sz w:val="24"/>
          <w:szCs w:val="24"/>
        </w:rPr>
        <w:t>.</w:t>
      </w:r>
    </w:p>
    <w:p w14:paraId="3625FF4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Falla, R. (2022) </w:t>
      </w:r>
      <w:r w:rsidRPr="00D44DD4">
        <w:rPr>
          <w:rFonts w:ascii="Times New Roman" w:hAnsi="Times New Roman"/>
          <w:i/>
          <w:sz w:val="24"/>
          <w:szCs w:val="24"/>
        </w:rPr>
        <w:t>La trama invisible de lo útil</w:t>
      </w:r>
      <w:r w:rsidRPr="00D44DD4">
        <w:rPr>
          <w:rFonts w:ascii="Times New Roman" w:hAnsi="Times New Roman"/>
          <w:sz w:val="24"/>
          <w:szCs w:val="24"/>
        </w:rPr>
        <w:t>. Fondo editorial UARM.</w:t>
      </w:r>
    </w:p>
    <w:p w14:paraId="6ABE7352"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Figueroa, M. (2006) </w:t>
      </w:r>
      <w:r w:rsidRPr="00D44DD4">
        <w:rPr>
          <w:rFonts w:ascii="Times New Roman" w:hAnsi="Times New Roman"/>
          <w:i/>
          <w:sz w:val="24"/>
          <w:szCs w:val="24"/>
        </w:rPr>
        <w:t>Kant y el sentido ético de la educación. Una lectura en la época de la globalización.</w:t>
      </w:r>
      <w:r w:rsidRPr="00D44DD4">
        <w:rPr>
          <w:rFonts w:ascii="Times New Roman" w:hAnsi="Times New Roman"/>
          <w:sz w:val="24"/>
          <w:szCs w:val="24"/>
        </w:rPr>
        <w:t xml:space="preserve"> En: Persona y Sociedad, Universidad Alberto Hurtado, Vol. XX, Nº3, 2006, pp. 73-87. </w:t>
      </w:r>
    </w:p>
    <w:p w14:paraId="275B03A8" w14:textId="77777777" w:rsidR="00510A3D" w:rsidRPr="00BA441A" w:rsidRDefault="00510A3D" w:rsidP="009F2DB2">
      <w:pPr>
        <w:ind w:left="720" w:hanging="720"/>
        <w:rPr>
          <w:rFonts w:ascii="Times New Roman" w:hAnsi="Times New Roman"/>
          <w:sz w:val="24"/>
          <w:szCs w:val="24"/>
          <w:lang w:val="es-PE"/>
        </w:rPr>
      </w:pPr>
      <w:r>
        <w:rPr>
          <w:rFonts w:ascii="Times New Roman" w:hAnsi="Times New Roman"/>
          <w:sz w:val="24"/>
          <w:szCs w:val="24"/>
          <w:lang w:val="en-US"/>
        </w:rPr>
        <w:t xml:space="preserve">Flikschuh, K (2000) </w:t>
      </w:r>
      <w:r>
        <w:rPr>
          <w:rFonts w:ascii="Times New Roman" w:hAnsi="Times New Roman"/>
          <w:i/>
          <w:iCs/>
          <w:sz w:val="24"/>
          <w:szCs w:val="24"/>
          <w:lang w:val="en-US"/>
        </w:rPr>
        <w:t>Kant and modern political philosophy</w:t>
      </w:r>
      <w:r>
        <w:rPr>
          <w:rFonts w:ascii="Times New Roman" w:hAnsi="Times New Roman"/>
          <w:sz w:val="24"/>
          <w:szCs w:val="24"/>
          <w:lang w:val="en-US"/>
        </w:rPr>
        <w:t xml:space="preserve">. </w:t>
      </w:r>
      <w:r w:rsidRPr="00BA441A">
        <w:rPr>
          <w:rFonts w:ascii="Times New Roman" w:hAnsi="Times New Roman"/>
          <w:sz w:val="24"/>
          <w:szCs w:val="24"/>
          <w:lang w:val="es-PE"/>
        </w:rPr>
        <w:t xml:space="preserve">Cambridge </w:t>
      </w:r>
      <w:proofErr w:type="spellStart"/>
      <w:r w:rsidRPr="00BA441A">
        <w:rPr>
          <w:rFonts w:ascii="Times New Roman" w:hAnsi="Times New Roman"/>
          <w:sz w:val="24"/>
          <w:szCs w:val="24"/>
          <w:lang w:val="es-PE"/>
        </w:rPr>
        <w:t>University</w:t>
      </w:r>
      <w:proofErr w:type="spellEnd"/>
      <w:r w:rsidRPr="00BA441A">
        <w:rPr>
          <w:rFonts w:ascii="Times New Roman" w:hAnsi="Times New Roman"/>
          <w:sz w:val="24"/>
          <w:szCs w:val="24"/>
          <w:lang w:val="es-PE"/>
        </w:rPr>
        <w:t xml:space="preserve"> Press</w:t>
      </w:r>
    </w:p>
    <w:p w14:paraId="69A808F7"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Forst, R. (2015) </w:t>
      </w:r>
      <w:r w:rsidRPr="00D44DD4">
        <w:rPr>
          <w:rFonts w:ascii="Times New Roman" w:hAnsi="Times New Roman"/>
          <w:i/>
          <w:sz w:val="24"/>
          <w:szCs w:val="24"/>
        </w:rPr>
        <w:t>Justificación y Crítica</w:t>
      </w:r>
      <w:r w:rsidRPr="00D44DD4">
        <w:rPr>
          <w:rFonts w:ascii="Times New Roman" w:hAnsi="Times New Roman"/>
          <w:sz w:val="24"/>
          <w:szCs w:val="24"/>
        </w:rPr>
        <w:t>. Serie Ensayos.</w:t>
      </w:r>
    </w:p>
    <w:p w14:paraId="6E6CC9C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Goldmann, L. (1945) </w:t>
      </w:r>
      <w:r w:rsidRPr="00D44DD4">
        <w:rPr>
          <w:rFonts w:ascii="Times New Roman" w:hAnsi="Times New Roman"/>
          <w:i/>
          <w:sz w:val="24"/>
          <w:szCs w:val="24"/>
        </w:rPr>
        <w:t>Introducción a la filosofía de Kant</w:t>
      </w:r>
      <w:r w:rsidRPr="00D44DD4">
        <w:rPr>
          <w:rFonts w:ascii="Times New Roman" w:hAnsi="Times New Roman"/>
          <w:sz w:val="24"/>
          <w:szCs w:val="24"/>
        </w:rPr>
        <w:t>. Amorrortu Editores.</w:t>
      </w:r>
    </w:p>
    <w:p w14:paraId="5E853C78" w14:textId="77777777" w:rsidR="00510A3D" w:rsidRPr="009F2DB2" w:rsidRDefault="00510A3D" w:rsidP="009F2DB2">
      <w:pPr>
        <w:ind w:left="720" w:hanging="720"/>
        <w:rPr>
          <w:rFonts w:ascii="Times New Roman" w:hAnsi="Times New Roman"/>
          <w:sz w:val="24"/>
          <w:szCs w:val="24"/>
          <w:lang w:val="en-US"/>
        </w:rPr>
      </w:pPr>
      <w:r w:rsidRPr="00DA48A9">
        <w:rPr>
          <w:rFonts w:ascii="Times New Roman" w:hAnsi="Times New Roman"/>
          <w:sz w:val="24"/>
          <w:szCs w:val="24"/>
        </w:rPr>
        <w:t xml:space="preserve">Gómez Caffarena, J. (1983) </w:t>
      </w:r>
      <w:r w:rsidRPr="00DA48A9">
        <w:rPr>
          <w:rFonts w:ascii="Times New Roman" w:hAnsi="Times New Roman"/>
          <w:i/>
          <w:sz w:val="24"/>
          <w:szCs w:val="24"/>
        </w:rPr>
        <w:t>El teísmo moral de Kant</w:t>
      </w:r>
      <w:r w:rsidRPr="00DA48A9">
        <w:rPr>
          <w:rFonts w:ascii="Times New Roman" w:hAnsi="Times New Roman"/>
          <w:sz w:val="24"/>
          <w:szCs w:val="24"/>
        </w:rPr>
        <w:t xml:space="preserve">. </w:t>
      </w:r>
      <w:proofErr w:type="spellStart"/>
      <w:r w:rsidRPr="009F2DB2">
        <w:rPr>
          <w:rFonts w:ascii="Times New Roman" w:hAnsi="Times New Roman"/>
          <w:sz w:val="24"/>
          <w:szCs w:val="24"/>
          <w:lang w:val="en-US"/>
        </w:rPr>
        <w:t>Ediciones</w:t>
      </w:r>
      <w:proofErr w:type="spellEnd"/>
      <w:r w:rsidRPr="009F2DB2">
        <w:rPr>
          <w:rFonts w:ascii="Times New Roman" w:hAnsi="Times New Roman"/>
          <w:sz w:val="24"/>
          <w:szCs w:val="24"/>
          <w:lang w:val="en-US"/>
        </w:rPr>
        <w:t xml:space="preserve"> </w:t>
      </w:r>
      <w:proofErr w:type="spellStart"/>
      <w:r w:rsidRPr="009F2DB2">
        <w:rPr>
          <w:rFonts w:ascii="Times New Roman" w:hAnsi="Times New Roman"/>
          <w:sz w:val="24"/>
          <w:szCs w:val="24"/>
          <w:lang w:val="en-US"/>
        </w:rPr>
        <w:t>Cristiandad</w:t>
      </w:r>
      <w:proofErr w:type="spellEnd"/>
      <w:r w:rsidRPr="009F2DB2">
        <w:rPr>
          <w:rFonts w:ascii="Times New Roman" w:hAnsi="Times New Roman"/>
          <w:sz w:val="24"/>
          <w:szCs w:val="24"/>
          <w:lang w:val="en-US"/>
        </w:rPr>
        <w:t xml:space="preserve">. </w:t>
      </w:r>
    </w:p>
    <w:p w14:paraId="386DA089"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(1998) </w:t>
      </w:r>
      <w:r w:rsidRPr="007F6A09">
        <w:rPr>
          <w:rFonts w:ascii="Times New Roman" w:hAnsi="Times New Roman"/>
          <w:i/>
          <w:color w:val="000000" w:themeColor="text1"/>
          <w:sz w:val="24"/>
          <w:szCs w:val="24"/>
          <w:lang w:val="en-US"/>
        </w:rPr>
        <w:t>On the miscarriage of al philosophical trials in theodicy.</w:t>
      </w:r>
      <w:r w:rsidRPr="007F6A09">
        <w:rPr>
          <w:rFonts w:ascii="Times New Roman" w:hAnsi="Times New Roman"/>
          <w:color w:val="000000" w:themeColor="text1"/>
          <w:sz w:val="24"/>
          <w:szCs w:val="24"/>
          <w:lang w:val="en-US"/>
        </w:rPr>
        <w:t xml:space="preserve"> En: Kant, I. Religion within the Boundaries of mere Reason</w:t>
      </w:r>
      <w:r w:rsidRPr="007F6A09">
        <w:rPr>
          <w:rFonts w:ascii="Times New Roman" w:hAnsi="Times New Roman"/>
          <w:i/>
          <w:color w:val="000000" w:themeColor="text1"/>
          <w:sz w:val="24"/>
          <w:szCs w:val="24"/>
          <w:lang w:val="en-US"/>
        </w:rPr>
        <w:t xml:space="preserve">. </w:t>
      </w:r>
      <w:r w:rsidRPr="007F6A09">
        <w:rPr>
          <w:rFonts w:ascii="Times New Roman" w:hAnsi="Times New Roman"/>
          <w:color w:val="000000" w:themeColor="text1"/>
          <w:sz w:val="24"/>
          <w:szCs w:val="24"/>
          <w:lang w:val="en-US"/>
        </w:rPr>
        <w:t>Cambridge University Press.</w:t>
      </w:r>
    </w:p>
    <w:p w14:paraId="60B4728C"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(1998) </w:t>
      </w:r>
      <w:r w:rsidRPr="00DA48A9">
        <w:rPr>
          <w:rFonts w:ascii="Times New Roman" w:hAnsi="Times New Roman"/>
          <w:i/>
          <w:sz w:val="24"/>
          <w:szCs w:val="24"/>
          <w:lang w:val="en-US"/>
        </w:rPr>
        <w:t xml:space="preserve">Religion within the Boundaries of mere Reason.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059B4958"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Kant, I (</w:t>
      </w:r>
      <w:r>
        <w:rPr>
          <w:rFonts w:ascii="Times New Roman" w:hAnsi="Times New Roman"/>
          <w:sz w:val="24"/>
          <w:szCs w:val="24"/>
        </w:rPr>
        <w:t>2005</w:t>
      </w:r>
      <w:r w:rsidRPr="00DA48A9">
        <w:rPr>
          <w:rFonts w:ascii="Times New Roman" w:hAnsi="Times New Roman"/>
          <w:sz w:val="24"/>
          <w:szCs w:val="24"/>
        </w:rPr>
        <w:t xml:space="preserve">) </w:t>
      </w:r>
      <w:r w:rsidRPr="00DA48A9">
        <w:rPr>
          <w:rFonts w:ascii="Times New Roman" w:hAnsi="Times New Roman"/>
          <w:i/>
          <w:sz w:val="24"/>
          <w:szCs w:val="24"/>
        </w:rPr>
        <w:t>Crítica de la razón pura</w:t>
      </w:r>
      <w:r w:rsidRPr="00DA48A9">
        <w:rPr>
          <w:rFonts w:ascii="Times New Roman" w:hAnsi="Times New Roman"/>
          <w:sz w:val="24"/>
          <w:szCs w:val="24"/>
        </w:rPr>
        <w:t xml:space="preserve">. Traducción de </w:t>
      </w:r>
      <w:r>
        <w:rPr>
          <w:rFonts w:ascii="Times New Roman" w:hAnsi="Times New Roman"/>
          <w:sz w:val="24"/>
          <w:szCs w:val="24"/>
        </w:rPr>
        <w:t>Pedro Ribas. Ed. Taurus</w:t>
      </w:r>
    </w:p>
    <w:p w14:paraId="31595856"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from a pragmatic point of view (1798)</w:t>
      </w:r>
      <w:r w:rsidRPr="007F6A09">
        <w:rPr>
          <w:rFonts w:ascii="Times New Roman" w:hAnsi="Times New Roman"/>
          <w:color w:val="000000" w:themeColor="text1"/>
          <w:sz w:val="24"/>
          <w:szCs w:val="24"/>
          <w:lang w:val="en-US"/>
        </w:rPr>
        <w:t xml:space="preserve"> En: Kant, I. Anthropology, History and Education. Cambridge University Press.</w:t>
      </w:r>
    </w:p>
    <w:p w14:paraId="4B9EAAE4"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History and Education</w:t>
      </w:r>
      <w:r w:rsidRPr="007F6A09">
        <w:rPr>
          <w:rFonts w:ascii="Times New Roman" w:hAnsi="Times New Roman"/>
          <w:color w:val="000000" w:themeColor="text1"/>
          <w:sz w:val="24"/>
          <w:szCs w:val="24"/>
          <w:lang w:val="en-US"/>
        </w:rPr>
        <w:t>. Cambridge University Press.</w:t>
      </w:r>
    </w:p>
    <w:p w14:paraId="210EC9E4" w14:textId="77777777" w:rsidR="00510A3D" w:rsidRPr="00BA441A"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lastRenderedPageBreak/>
        <w:t xml:space="preserve">Kant, I (2007) </w:t>
      </w:r>
      <w:r w:rsidRPr="00DA48A9">
        <w:rPr>
          <w:rFonts w:ascii="Times New Roman" w:hAnsi="Times New Roman"/>
          <w:i/>
          <w:sz w:val="24"/>
          <w:szCs w:val="24"/>
          <w:lang w:val="en-US"/>
        </w:rPr>
        <w:t>Anthropology, History and Education</w:t>
      </w:r>
      <w:r w:rsidRPr="00DA48A9">
        <w:rPr>
          <w:rFonts w:ascii="Times New Roman" w:hAnsi="Times New Roman"/>
          <w:sz w:val="24"/>
          <w:szCs w:val="24"/>
          <w:lang w:val="en-US"/>
        </w:rPr>
        <w:t xml:space="preserve">. </w:t>
      </w:r>
      <w:r w:rsidRPr="00BA441A">
        <w:rPr>
          <w:rFonts w:ascii="Times New Roman" w:hAnsi="Times New Roman"/>
          <w:sz w:val="24"/>
          <w:szCs w:val="24"/>
          <w:lang w:val="es-PE"/>
        </w:rPr>
        <w:t xml:space="preserve">Cambridge </w:t>
      </w:r>
      <w:proofErr w:type="spellStart"/>
      <w:r w:rsidRPr="00BA441A">
        <w:rPr>
          <w:rFonts w:ascii="Times New Roman" w:hAnsi="Times New Roman"/>
          <w:sz w:val="24"/>
          <w:szCs w:val="24"/>
          <w:lang w:val="es-PE"/>
        </w:rPr>
        <w:t>University</w:t>
      </w:r>
      <w:proofErr w:type="spellEnd"/>
      <w:r w:rsidRPr="00BA441A">
        <w:rPr>
          <w:rFonts w:ascii="Times New Roman" w:hAnsi="Times New Roman"/>
          <w:sz w:val="24"/>
          <w:szCs w:val="24"/>
          <w:lang w:val="es-PE"/>
        </w:rPr>
        <w:t xml:space="preserve"> Press.</w:t>
      </w:r>
    </w:p>
    <w:p w14:paraId="4F63FA3B"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(2007) </w:t>
      </w:r>
      <w:r w:rsidRPr="00DA48A9">
        <w:rPr>
          <w:rFonts w:ascii="Times New Roman" w:hAnsi="Times New Roman"/>
          <w:i/>
          <w:sz w:val="24"/>
          <w:szCs w:val="24"/>
        </w:rPr>
        <w:t>Crítica de la razón pura</w:t>
      </w:r>
      <w:r w:rsidRPr="00DA48A9">
        <w:rPr>
          <w:rFonts w:ascii="Times New Roman" w:hAnsi="Times New Roman"/>
          <w:sz w:val="24"/>
          <w:szCs w:val="24"/>
        </w:rPr>
        <w:t>. Traducción de Mario Caimi. Ed. Colihue Clásica.</w:t>
      </w:r>
    </w:p>
    <w:p w14:paraId="4983916F"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Essay on the maladies of the head (1764)</w:t>
      </w:r>
      <w:r w:rsidRPr="007F6A09">
        <w:rPr>
          <w:rFonts w:ascii="Times New Roman" w:hAnsi="Times New Roman"/>
          <w:color w:val="000000" w:themeColor="text1"/>
          <w:sz w:val="24"/>
          <w:szCs w:val="24"/>
          <w:lang w:val="en-US"/>
        </w:rPr>
        <w:t xml:space="preserve"> En: Kant, I. Anthropology, History and Education. Cambridge University Press.</w:t>
      </w:r>
    </w:p>
    <w:p w14:paraId="576F2DA8"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(2007) </w:t>
      </w:r>
      <w:r w:rsidRPr="00DA48A9">
        <w:rPr>
          <w:rFonts w:ascii="Times New Roman" w:hAnsi="Times New Roman"/>
          <w:i/>
          <w:sz w:val="24"/>
          <w:szCs w:val="24"/>
          <w:lang w:val="en-US"/>
        </w:rPr>
        <w:t>Lectures on pedagogy (1803)</w:t>
      </w:r>
      <w:r w:rsidRPr="00DA48A9">
        <w:rPr>
          <w:rFonts w:ascii="Times New Roman" w:hAnsi="Times New Roman"/>
          <w:sz w:val="24"/>
          <w:szCs w:val="24"/>
          <w:lang w:val="en-US"/>
        </w:rPr>
        <w:t xml:space="preserve"> En: Kant, I. Anthropology, History and Education.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5F377A2B"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el derecho político</w:t>
      </w:r>
      <w:r w:rsidRPr="007F6A09">
        <w:rPr>
          <w:rFonts w:ascii="Times New Roman" w:hAnsi="Times New Roman"/>
          <w:color w:val="000000" w:themeColor="text1"/>
          <w:sz w:val="24"/>
          <w:szCs w:val="24"/>
        </w:rPr>
        <w:t xml:space="preserve">. </w:t>
      </w:r>
      <w:r w:rsidRPr="007F6A09">
        <w:rPr>
          <w:rFonts w:ascii="Times New Roman" w:hAnsi="Times New Roman"/>
          <w:i/>
          <w:color w:val="000000" w:themeColor="text1"/>
          <w:sz w:val="24"/>
          <w:szCs w:val="24"/>
        </w:rPr>
        <w:t>(Contra Hobbes)</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6E56B24A"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la moral y en general</w:t>
      </w:r>
      <w:r w:rsidRPr="007F6A09">
        <w:rPr>
          <w:rFonts w:ascii="Times New Roman" w:hAnsi="Times New Roman"/>
          <w:color w:val="000000" w:themeColor="text1"/>
          <w:sz w:val="24"/>
          <w:szCs w:val="24"/>
        </w:rPr>
        <w:t>. (En: Kant, I. Filosofía de la historia. Ed. Nova)</w:t>
      </w:r>
      <w:r>
        <w:rPr>
          <w:rFonts w:ascii="Times New Roman" w:hAnsi="Times New Roman"/>
          <w:color w:val="000000" w:themeColor="text1"/>
          <w:sz w:val="24"/>
          <w:szCs w:val="24"/>
        </w:rPr>
        <w:t>.</w:t>
      </w:r>
    </w:p>
    <w:p w14:paraId="0F02A59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Definición de la raza humana</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73974A20" w14:textId="77777777" w:rsidR="00510A3D"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Filosofía de la historia</w:t>
      </w:r>
      <w:r w:rsidRPr="00DA48A9">
        <w:rPr>
          <w:rFonts w:ascii="Times New Roman" w:hAnsi="Times New Roman"/>
          <w:sz w:val="24"/>
          <w:szCs w:val="24"/>
        </w:rPr>
        <w:t>. Ed. Nova.</w:t>
      </w:r>
    </w:p>
    <w:p w14:paraId="0E039747"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 xml:space="preserve">Ideas para una historia universal en sentido cosmopolita </w:t>
      </w:r>
      <w:r w:rsidRPr="00DA48A9">
        <w:rPr>
          <w:rFonts w:ascii="Times New Roman" w:hAnsi="Times New Roman"/>
          <w:sz w:val="24"/>
          <w:szCs w:val="24"/>
        </w:rPr>
        <w:t>(En: Filosofía de la historia. Ed. Nova).</w:t>
      </w:r>
    </w:p>
    <w:p w14:paraId="3ACF36C4"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Replanteamiento de la cuestión sobre si el género humano se halla en continuo progreso hacia lo mejor</w:t>
      </w:r>
      <w:r w:rsidRPr="00DA48A9">
        <w:rPr>
          <w:rFonts w:ascii="Times New Roman" w:hAnsi="Times New Roman"/>
          <w:sz w:val="24"/>
          <w:szCs w:val="24"/>
        </w:rPr>
        <w:t>. (En: Filosofía de la historia. Ed. Nova).</w:t>
      </w:r>
    </w:p>
    <w:p w14:paraId="3A74CAFB" w14:textId="77777777" w:rsidR="00510A3D"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Respuesta a la pregunta: ¿qué es la ilustración?</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2D9BC77E" w14:textId="77777777" w:rsidR="00510A3D" w:rsidRPr="007F6A09" w:rsidRDefault="00510A3D" w:rsidP="00FD640E">
      <w:pPr>
        <w:ind w:left="720" w:hanging="720"/>
        <w:rPr>
          <w:rFonts w:ascii="Times New Roman" w:hAnsi="Times New Roman"/>
          <w:color w:val="000000" w:themeColor="text1"/>
          <w:sz w:val="24"/>
          <w:szCs w:val="24"/>
          <w:shd w:val="clear" w:color="auto" w:fill="FFFFFF"/>
        </w:rPr>
      </w:pPr>
      <w:r w:rsidRPr="007F6A09">
        <w:rPr>
          <w:rFonts w:ascii="Times New Roman" w:hAnsi="Times New Roman"/>
          <w:color w:val="000000" w:themeColor="text1"/>
          <w:sz w:val="24"/>
          <w:szCs w:val="24"/>
          <w:shd w:val="clear" w:color="auto" w:fill="FFFFFF"/>
        </w:rPr>
        <w:t xml:space="preserve">Kant, I. </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1980</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 xml:space="preserve"> </w:t>
      </w:r>
      <w:r w:rsidRPr="007F6A09">
        <w:rPr>
          <w:rFonts w:ascii="Times New Roman" w:hAnsi="Times New Roman"/>
          <w:i/>
          <w:color w:val="000000" w:themeColor="text1"/>
          <w:sz w:val="24"/>
          <w:szCs w:val="24"/>
          <w:shd w:val="clear" w:color="auto" w:fill="FFFFFF"/>
        </w:rPr>
        <w:t>La paz perpetua</w:t>
      </w:r>
      <w:r w:rsidRPr="007F6A09">
        <w:rPr>
          <w:rFonts w:ascii="Times New Roman" w:hAnsi="Times New Roman"/>
          <w:color w:val="000000" w:themeColor="text1"/>
          <w:sz w:val="24"/>
          <w:szCs w:val="24"/>
          <w:shd w:val="clear" w:color="auto" w:fill="FFFFFF"/>
        </w:rPr>
        <w:t>. (En: Kant, I. Fundamentación de la metafísica de las costumbres, Crítica de la razón práctica y la Paz perpetua. Ed. Porrúa)</w:t>
      </w:r>
      <w:r>
        <w:rPr>
          <w:rFonts w:ascii="Times New Roman" w:hAnsi="Times New Roman"/>
          <w:color w:val="000000" w:themeColor="text1"/>
          <w:sz w:val="24"/>
          <w:szCs w:val="24"/>
          <w:shd w:val="clear" w:color="auto" w:fill="FFFFFF"/>
        </w:rPr>
        <w:t>.</w:t>
      </w:r>
    </w:p>
    <w:p w14:paraId="4C40EB1D"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(1988) </w:t>
      </w:r>
      <w:r w:rsidRPr="007F6A09">
        <w:rPr>
          <w:rFonts w:ascii="Times New Roman" w:hAnsi="Times New Roman"/>
          <w:i/>
          <w:color w:val="000000" w:themeColor="text1"/>
          <w:sz w:val="24"/>
          <w:szCs w:val="24"/>
        </w:rPr>
        <w:t>Lecciones de ética</w:t>
      </w:r>
      <w:r w:rsidRPr="007F6A09">
        <w:rPr>
          <w:rFonts w:ascii="Times New Roman" w:hAnsi="Times New Roman"/>
          <w:color w:val="000000" w:themeColor="text1"/>
          <w:sz w:val="24"/>
          <w:szCs w:val="24"/>
        </w:rPr>
        <w:t>. Editorial Crítica.</w:t>
      </w:r>
    </w:p>
    <w:p w14:paraId="7188962B" w14:textId="77777777" w:rsidR="00510A3D" w:rsidRPr="0053194A" w:rsidRDefault="00510A3D" w:rsidP="00FD640E">
      <w:pPr>
        <w:ind w:left="720" w:hanging="720"/>
        <w:rPr>
          <w:rFonts w:ascii="Times New Roman" w:hAnsi="Times New Roman"/>
          <w:color w:val="000000" w:themeColor="text1"/>
          <w:sz w:val="24"/>
          <w:szCs w:val="24"/>
          <w:lang w:val="es-PE"/>
        </w:rPr>
      </w:pPr>
      <w:r w:rsidRPr="00290825">
        <w:rPr>
          <w:rFonts w:ascii="Times New Roman" w:hAnsi="Times New Roman"/>
          <w:color w:val="000000" w:themeColor="text1"/>
          <w:sz w:val="24"/>
          <w:szCs w:val="24"/>
          <w:lang w:val="es-PE"/>
        </w:rPr>
        <w:t xml:space="preserve">Kant, I. (1991) </w:t>
      </w:r>
      <w:r w:rsidRPr="00290825">
        <w:rPr>
          <w:rFonts w:ascii="Times New Roman" w:hAnsi="Times New Roman"/>
          <w:i/>
          <w:color w:val="000000" w:themeColor="text1"/>
          <w:sz w:val="24"/>
          <w:szCs w:val="24"/>
          <w:lang w:val="es-PE"/>
        </w:rPr>
        <w:t xml:space="preserve">Kant </w:t>
      </w:r>
      <w:proofErr w:type="spellStart"/>
      <w:r w:rsidRPr="00290825">
        <w:rPr>
          <w:rFonts w:ascii="Times New Roman" w:hAnsi="Times New Roman"/>
          <w:i/>
          <w:color w:val="000000" w:themeColor="text1"/>
          <w:sz w:val="24"/>
          <w:szCs w:val="24"/>
          <w:lang w:val="es-PE"/>
        </w:rPr>
        <w:t>political</w:t>
      </w:r>
      <w:proofErr w:type="spellEnd"/>
      <w:r w:rsidRPr="00290825">
        <w:rPr>
          <w:rFonts w:ascii="Times New Roman" w:hAnsi="Times New Roman"/>
          <w:i/>
          <w:color w:val="000000" w:themeColor="text1"/>
          <w:sz w:val="24"/>
          <w:szCs w:val="24"/>
          <w:lang w:val="es-PE"/>
        </w:rPr>
        <w:t xml:space="preserve"> </w:t>
      </w:r>
      <w:proofErr w:type="spellStart"/>
      <w:r w:rsidRPr="00290825">
        <w:rPr>
          <w:rFonts w:ascii="Times New Roman" w:hAnsi="Times New Roman"/>
          <w:i/>
          <w:color w:val="000000" w:themeColor="text1"/>
          <w:sz w:val="24"/>
          <w:szCs w:val="24"/>
          <w:lang w:val="es-PE"/>
        </w:rPr>
        <w:t>writings</w:t>
      </w:r>
      <w:proofErr w:type="spellEnd"/>
      <w:r w:rsidRPr="00290825">
        <w:rPr>
          <w:rFonts w:ascii="Times New Roman" w:hAnsi="Times New Roman"/>
          <w:color w:val="000000" w:themeColor="text1"/>
          <w:sz w:val="24"/>
          <w:szCs w:val="24"/>
          <w:lang w:val="es-PE"/>
        </w:rPr>
        <w:t xml:space="preserve">. </w:t>
      </w:r>
      <w:r>
        <w:rPr>
          <w:rFonts w:ascii="Times New Roman" w:hAnsi="Times New Roman"/>
          <w:color w:val="000000" w:themeColor="text1"/>
          <w:sz w:val="24"/>
          <w:szCs w:val="24"/>
          <w:lang w:val="en-US"/>
        </w:rPr>
        <w:t>Cambridge University Press. 2</w:t>
      </w:r>
      <w:r w:rsidRPr="00224BFC">
        <w:rPr>
          <w:rFonts w:ascii="Times New Roman" w:hAnsi="Times New Roman"/>
          <w:color w:val="000000" w:themeColor="text1"/>
          <w:sz w:val="24"/>
          <w:szCs w:val="24"/>
          <w:vertAlign w:val="superscript"/>
          <w:lang w:val="en-US"/>
        </w:rPr>
        <w:t>nd</w:t>
      </w:r>
      <w:r>
        <w:rPr>
          <w:rFonts w:ascii="Times New Roman" w:hAnsi="Times New Roman"/>
          <w:color w:val="000000" w:themeColor="text1"/>
          <w:sz w:val="24"/>
          <w:szCs w:val="24"/>
          <w:lang w:val="en-US"/>
        </w:rPr>
        <w:t xml:space="preserve"> edition</w:t>
      </w:r>
      <w:r w:rsidRPr="007F6A09">
        <w:rPr>
          <w:rFonts w:ascii="Times New Roman" w:hAnsi="Times New Roman"/>
          <w:color w:val="000000" w:themeColor="text1"/>
          <w:sz w:val="24"/>
          <w:szCs w:val="24"/>
          <w:lang w:val="en-US"/>
        </w:rPr>
        <w:t>.</w:t>
      </w:r>
      <w:r>
        <w:rPr>
          <w:rFonts w:ascii="Times New Roman" w:hAnsi="Times New Roman"/>
          <w:color w:val="000000" w:themeColor="text1"/>
          <w:sz w:val="24"/>
          <w:szCs w:val="24"/>
          <w:lang w:val="en-US"/>
        </w:rPr>
        <w:t xml:space="preserve"> </w:t>
      </w:r>
      <w:r w:rsidRPr="0053194A">
        <w:rPr>
          <w:rFonts w:ascii="Times New Roman" w:hAnsi="Times New Roman"/>
          <w:color w:val="000000" w:themeColor="text1"/>
          <w:sz w:val="24"/>
          <w:szCs w:val="24"/>
          <w:lang w:val="es-PE"/>
        </w:rPr>
        <w:t>Edit</w:t>
      </w:r>
      <w:r>
        <w:rPr>
          <w:rFonts w:ascii="Times New Roman" w:hAnsi="Times New Roman"/>
          <w:color w:val="000000" w:themeColor="text1"/>
          <w:sz w:val="24"/>
          <w:szCs w:val="24"/>
          <w:lang w:val="es-PE"/>
        </w:rPr>
        <w:t>a</w:t>
      </w:r>
      <w:r w:rsidRPr="0053194A">
        <w:rPr>
          <w:rFonts w:ascii="Times New Roman" w:hAnsi="Times New Roman"/>
          <w:color w:val="000000" w:themeColor="text1"/>
          <w:sz w:val="24"/>
          <w:szCs w:val="24"/>
          <w:lang w:val="es-PE"/>
        </w:rPr>
        <w:t>d</w:t>
      </w:r>
      <w:r>
        <w:rPr>
          <w:rFonts w:ascii="Times New Roman" w:hAnsi="Times New Roman"/>
          <w:color w:val="000000" w:themeColor="text1"/>
          <w:sz w:val="24"/>
          <w:szCs w:val="24"/>
          <w:lang w:val="es-PE"/>
        </w:rPr>
        <w:t>o por</w:t>
      </w:r>
      <w:r w:rsidRPr="0053194A">
        <w:rPr>
          <w:rFonts w:ascii="Times New Roman" w:hAnsi="Times New Roman"/>
          <w:color w:val="000000" w:themeColor="text1"/>
          <w:sz w:val="24"/>
          <w:szCs w:val="24"/>
          <w:lang w:val="es-PE"/>
        </w:rPr>
        <w:t>: H.S. Reiss</w:t>
      </w:r>
    </w:p>
    <w:p w14:paraId="1FF5D946" w14:textId="77777777" w:rsidR="00510A3D" w:rsidRDefault="00510A3D" w:rsidP="008230CC">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Kant, I. (19</w:t>
      </w:r>
      <w:r>
        <w:rPr>
          <w:rFonts w:ascii="Times New Roman" w:hAnsi="Times New Roman"/>
          <w:color w:val="000000" w:themeColor="text1"/>
          <w:sz w:val="24"/>
          <w:szCs w:val="24"/>
        </w:rPr>
        <w:t>99</w:t>
      </w:r>
      <w:r w:rsidRPr="007F6A09">
        <w:rPr>
          <w:rFonts w:ascii="Times New Roman" w:hAnsi="Times New Roman"/>
          <w:color w:val="000000" w:themeColor="text1"/>
          <w:sz w:val="24"/>
          <w:szCs w:val="24"/>
        </w:rPr>
        <w:t xml:space="preserve">) </w:t>
      </w:r>
      <w:r>
        <w:rPr>
          <w:rFonts w:ascii="Times New Roman" w:hAnsi="Times New Roman"/>
          <w:i/>
          <w:color w:val="000000" w:themeColor="text1"/>
          <w:sz w:val="24"/>
          <w:szCs w:val="24"/>
        </w:rPr>
        <w:t xml:space="preserve">En defensa de </w:t>
      </w:r>
      <w:r w:rsidRPr="007F6A09">
        <w:rPr>
          <w:rFonts w:ascii="Times New Roman" w:hAnsi="Times New Roman"/>
          <w:i/>
          <w:color w:val="000000" w:themeColor="text1"/>
          <w:sz w:val="24"/>
          <w:szCs w:val="24"/>
        </w:rPr>
        <w:t>la ilustración</w:t>
      </w:r>
      <w:r>
        <w:rPr>
          <w:rFonts w:ascii="Times New Roman" w:hAnsi="Times New Roman"/>
          <w:color w:val="000000" w:themeColor="text1"/>
          <w:sz w:val="24"/>
          <w:szCs w:val="24"/>
        </w:rPr>
        <w:t>. Alba Editorial</w:t>
      </w:r>
    </w:p>
    <w:p w14:paraId="359D0A6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(2000) </w:t>
      </w:r>
      <w:r w:rsidRPr="007F6A09">
        <w:rPr>
          <w:rFonts w:ascii="Times New Roman" w:hAnsi="Times New Roman"/>
          <w:i/>
          <w:color w:val="000000" w:themeColor="text1"/>
          <w:sz w:val="24"/>
          <w:szCs w:val="24"/>
        </w:rPr>
        <w:t>Crítica de la razón práctica</w:t>
      </w:r>
      <w:r w:rsidRPr="007F6A09">
        <w:rPr>
          <w:rFonts w:ascii="Times New Roman" w:hAnsi="Times New Roman"/>
          <w:color w:val="000000" w:themeColor="text1"/>
          <w:sz w:val="24"/>
          <w:szCs w:val="24"/>
        </w:rPr>
        <w:t>. Alianza Editorial.</w:t>
      </w:r>
    </w:p>
    <w:p w14:paraId="64A4DF31"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(2005) </w:t>
      </w:r>
      <w:r w:rsidRPr="00DA48A9">
        <w:rPr>
          <w:rFonts w:ascii="Times New Roman" w:hAnsi="Times New Roman"/>
          <w:i/>
          <w:sz w:val="24"/>
          <w:szCs w:val="24"/>
        </w:rPr>
        <w:t>Cómo orientarse en el pensamiento</w:t>
      </w:r>
      <w:r w:rsidRPr="00DA48A9">
        <w:rPr>
          <w:rFonts w:ascii="Times New Roman" w:hAnsi="Times New Roman"/>
          <w:sz w:val="24"/>
          <w:szCs w:val="24"/>
        </w:rPr>
        <w:t xml:space="preserve">. Ed. </w:t>
      </w:r>
      <w:proofErr w:type="spellStart"/>
      <w:r w:rsidRPr="00DA48A9">
        <w:rPr>
          <w:rFonts w:ascii="Times New Roman" w:hAnsi="Times New Roman"/>
          <w:sz w:val="24"/>
          <w:szCs w:val="24"/>
        </w:rPr>
        <w:t>Quadrata</w:t>
      </w:r>
      <w:proofErr w:type="spellEnd"/>
      <w:r w:rsidRPr="00DA48A9">
        <w:rPr>
          <w:rFonts w:ascii="Times New Roman" w:hAnsi="Times New Roman"/>
          <w:sz w:val="24"/>
          <w:szCs w:val="24"/>
        </w:rPr>
        <w:t>.</w:t>
      </w:r>
    </w:p>
    <w:p w14:paraId="24134979"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Kant, I. (2008) </w:t>
      </w:r>
      <w:r w:rsidRPr="00D44DD4">
        <w:rPr>
          <w:rFonts w:ascii="Times New Roman" w:hAnsi="Times New Roman"/>
          <w:i/>
          <w:sz w:val="24"/>
          <w:szCs w:val="24"/>
        </w:rPr>
        <w:t>Fundamentación de la metafísica de las costumbres</w:t>
      </w:r>
      <w:r w:rsidRPr="00D44DD4">
        <w:rPr>
          <w:rFonts w:ascii="Times New Roman" w:hAnsi="Times New Roman"/>
          <w:sz w:val="24"/>
          <w:szCs w:val="24"/>
        </w:rPr>
        <w:t>. Ed. Austral.</w:t>
      </w:r>
    </w:p>
    <w:p w14:paraId="12F6654D" w14:textId="77777777" w:rsidR="00510A3D" w:rsidRPr="00BA441A" w:rsidRDefault="00510A3D" w:rsidP="009F2DB2">
      <w:pPr>
        <w:ind w:left="720" w:hanging="720"/>
        <w:rPr>
          <w:rFonts w:ascii="Times New Roman" w:hAnsi="Times New Roman"/>
          <w:sz w:val="24"/>
          <w:szCs w:val="24"/>
          <w:shd w:val="clear" w:color="auto" w:fill="FFFFFF"/>
          <w:lang w:val="es-PE"/>
        </w:rPr>
      </w:pPr>
      <w:r w:rsidRPr="00DA48A9">
        <w:rPr>
          <w:rFonts w:ascii="Times New Roman" w:hAnsi="Times New Roman"/>
          <w:sz w:val="24"/>
          <w:szCs w:val="24"/>
          <w:shd w:val="clear" w:color="auto" w:fill="FFFFFF"/>
        </w:rPr>
        <w:t xml:space="preserve">Kant, I. </w:t>
      </w:r>
      <w:r w:rsidRPr="00DA48A9">
        <w:rPr>
          <w:rFonts w:ascii="Times New Roman" w:hAnsi="Times New Roman"/>
          <w:sz w:val="24"/>
          <w:szCs w:val="24"/>
        </w:rPr>
        <w:t>(</w:t>
      </w:r>
      <w:r w:rsidRPr="00DA48A9">
        <w:rPr>
          <w:rFonts w:ascii="Times New Roman" w:hAnsi="Times New Roman"/>
          <w:sz w:val="24"/>
          <w:szCs w:val="24"/>
          <w:shd w:val="clear" w:color="auto" w:fill="FFFFFF"/>
        </w:rPr>
        <w:t>2008</w:t>
      </w:r>
      <w:r w:rsidRPr="00DA48A9">
        <w:rPr>
          <w:rFonts w:ascii="Times New Roman" w:hAnsi="Times New Roman"/>
          <w:sz w:val="24"/>
          <w:szCs w:val="24"/>
        </w:rPr>
        <w:t>)</w:t>
      </w:r>
      <w:r w:rsidRPr="00DA48A9">
        <w:rPr>
          <w:rFonts w:ascii="Times New Roman" w:hAnsi="Times New Roman"/>
          <w:sz w:val="24"/>
          <w:szCs w:val="24"/>
          <w:shd w:val="clear" w:color="auto" w:fill="FFFFFF"/>
        </w:rPr>
        <w:t xml:space="preserve"> </w:t>
      </w:r>
      <w:r w:rsidRPr="00DA48A9">
        <w:rPr>
          <w:rFonts w:ascii="Times New Roman" w:hAnsi="Times New Roman"/>
          <w:i/>
          <w:sz w:val="24"/>
          <w:szCs w:val="24"/>
          <w:shd w:val="clear" w:color="auto" w:fill="FFFFFF"/>
        </w:rPr>
        <w:t>Principios metafísicos del derecho</w:t>
      </w:r>
      <w:r w:rsidRPr="00DA48A9">
        <w:rPr>
          <w:rFonts w:ascii="Times New Roman" w:hAnsi="Times New Roman"/>
          <w:sz w:val="24"/>
          <w:szCs w:val="24"/>
          <w:shd w:val="clear" w:color="auto" w:fill="FFFFFF"/>
        </w:rPr>
        <w:t xml:space="preserve">. Trad. G. </w:t>
      </w:r>
      <w:proofErr w:type="spellStart"/>
      <w:r w:rsidRPr="00DA48A9">
        <w:rPr>
          <w:rFonts w:ascii="Times New Roman" w:hAnsi="Times New Roman"/>
          <w:sz w:val="24"/>
          <w:szCs w:val="24"/>
          <w:shd w:val="clear" w:color="auto" w:fill="FFFFFF"/>
        </w:rPr>
        <w:t>Lizarraga</w:t>
      </w:r>
      <w:proofErr w:type="spellEnd"/>
      <w:r w:rsidRPr="00DA48A9">
        <w:rPr>
          <w:rFonts w:ascii="Times New Roman" w:hAnsi="Times New Roman"/>
          <w:sz w:val="24"/>
          <w:szCs w:val="24"/>
          <w:shd w:val="clear" w:color="auto" w:fill="FFFFFF"/>
        </w:rPr>
        <w:t xml:space="preserve">. </w:t>
      </w:r>
      <w:r w:rsidRPr="00BA441A">
        <w:rPr>
          <w:rFonts w:ascii="Times New Roman" w:hAnsi="Times New Roman"/>
          <w:sz w:val="24"/>
          <w:szCs w:val="24"/>
          <w:shd w:val="clear" w:color="auto" w:fill="FFFFFF"/>
          <w:lang w:val="es-PE"/>
        </w:rPr>
        <w:t>Ed. Renacimiento.</w:t>
      </w:r>
    </w:p>
    <w:p w14:paraId="1198F33F" w14:textId="77777777" w:rsidR="00510A3D" w:rsidRPr="00BA441A" w:rsidRDefault="00510A3D" w:rsidP="009F2DB2">
      <w:pPr>
        <w:ind w:left="720" w:hanging="720"/>
        <w:rPr>
          <w:rFonts w:ascii="Times New Roman" w:hAnsi="Times New Roman"/>
          <w:sz w:val="24"/>
          <w:szCs w:val="24"/>
          <w:shd w:val="clear" w:color="auto" w:fill="FFFFFF"/>
          <w:lang w:val="en-US"/>
        </w:rPr>
      </w:pPr>
      <w:r w:rsidRPr="00D44DD4">
        <w:rPr>
          <w:rFonts w:ascii="Times New Roman" w:hAnsi="Times New Roman"/>
          <w:sz w:val="24"/>
          <w:szCs w:val="24"/>
          <w:shd w:val="clear" w:color="auto" w:fill="FFFFFF"/>
        </w:rPr>
        <w:t xml:space="preserve">Kant, I. </w:t>
      </w:r>
      <w:r w:rsidRPr="00D44DD4">
        <w:rPr>
          <w:rFonts w:ascii="Times New Roman" w:hAnsi="Times New Roman"/>
          <w:sz w:val="24"/>
          <w:szCs w:val="24"/>
        </w:rPr>
        <w:t>(</w:t>
      </w:r>
      <w:r w:rsidRPr="00D44DD4">
        <w:rPr>
          <w:rFonts w:ascii="Times New Roman" w:hAnsi="Times New Roman"/>
          <w:sz w:val="24"/>
          <w:szCs w:val="24"/>
          <w:shd w:val="clear" w:color="auto" w:fill="FFFFFF"/>
        </w:rPr>
        <w:t>2009</w:t>
      </w:r>
      <w:r w:rsidRPr="00D44DD4">
        <w:rPr>
          <w:rFonts w:ascii="Times New Roman" w:hAnsi="Times New Roman"/>
          <w:sz w:val="24"/>
          <w:szCs w:val="24"/>
        </w:rPr>
        <w:t>)</w:t>
      </w:r>
      <w:r w:rsidRPr="00D44DD4">
        <w:rPr>
          <w:rFonts w:ascii="Times New Roman" w:hAnsi="Times New Roman"/>
          <w:sz w:val="24"/>
          <w:szCs w:val="24"/>
          <w:shd w:val="clear" w:color="auto" w:fill="FFFFFF"/>
        </w:rPr>
        <w:t xml:space="preserve"> </w:t>
      </w:r>
      <w:r w:rsidRPr="00D44DD4">
        <w:rPr>
          <w:rFonts w:ascii="Times New Roman" w:hAnsi="Times New Roman"/>
          <w:i/>
          <w:sz w:val="24"/>
          <w:szCs w:val="24"/>
          <w:shd w:val="clear" w:color="auto" w:fill="FFFFFF"/>
        </w:rPr>
        <w:t>Sobre Pedagogía</w:t>
      </w:r>
      <w:r w:rsidRPr="00D44DD4">
        <w:rPr>
          <w:rFonts w:ascii="Times New Roman" w:hAnsi="Times New Roman"/>
          <w:sz w:val="24"/>
          <w:szCs w:val="24"/>
          <w:shd w:val="clear" w:color="auto" w:fill="FFFFFF"/>
        </w:rPr>
        <w:t xml:space="preserve">. Universidad Nacional de Córdoba. </w:t>
      </w:r>
      <w:r w:rsidRPr="00BA441A">
        <w:rPr>
          <w:rFonts w:ascii="Times New Roman" w:hAnsi="Times New Roman"/>
          <w:sz w:val="24"/>
          <w:szCs w:val="24"/>
          <w:shd w:val="clear" w:color="auto" w:fill="FFFFFF"/>
          <w:lang w:val="en-US"/>
        </w:rPr>
        <w:t xml:space="preserve">Encuentro Grupo Editor. </w:t>
      </w:r>
    </w:p>
    <w:p w14:paraId="33B87B2C" w14:textId="77777777" w:rsidR="00510A3D" w:rsidRPr="00D44DD4" w:rsidRDefault="00510A3D" w:rsidP="009F2DB2">
      <w:pPr>
        <w:ind w:left="720" w:hanging="720"/>
        <w:rPr>
          <w:rFonts w:ascii="Times New Roman" w:hAnsi="Times New Roman"/>
          <w:sz w:val="24"/>
          <w:szCs w:val="24"/>
          <w:lang w:val="en-US"/>
        </w:rPr>
      </w:pPr>
      <w:r w:rsidRPr="009F2DB2">
        <w:rPr>
          <w:rFonts w:ascii="Times New Roman" w:hAnsi="Times New Roman"/>
          <w:sz w:val="24"/>
          <w:szCs w:val="24"/>
          <w:lang w:val="en-US"/>
        </w:rPr>
        <w:t xml:space="preserve">Korner, S. (1955) </w:t>
      </w:r>
      <w:r w:rsidRPr="009F2DB2">
        <w:rPr>
          <w:rFonts w:ascii="Times New Roman" w:hAnsi="Times New Roman"/>
          <w:i/>
          <w:sz w:val="24"/>
          <w:szCs w:val="24"/>
          <w:lang w:val="en-US"/>
        </w:rPr>
        <w:t>Kant</w:t>
      </w:r>
      <w:r w:rsidRPr="009F2DB2">
        <w:rPr>
          <w:rFonts w:ascii="Times New Roman" w:hAnsi="Times New Roman"/>
          <w:sz w:val="24"/>
          <w:szCs w:val="24"/>
          <w:lang w:val="en-US"/>
        </w:rPr>
        <w:t xml:space="preserve">. </w:t>
      </w:r>
      <w:r w:rsidRPr="00D44DD4">
        <w:rPr>
          <w:rFonts w:ascii="Times New Roman" w:hAnsi="Times New Roman"/>
          <w:sz w:val="24"/>
          <w:szCs w:val="24"/>
          <w:lang w:val="en-US"/>
        </w:rPr>
        <w:t>Penguin Books.</w:t>
      </w:r>
    </w:p>
    <w:p w14:paraId="475A252B"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Krauss, K. (2020) </w:t>
      </w:r>
      <w:r w:rsidRPr="00D44DD4">
        <w:rPr>
          <w:rFonts w:ascii="Times New Roman" w:hAnsi="Times New Roman"/>
          <w:i/>
          <w:sz w:val="24"/>
          <w:szCs w:val="24"/>
          <w:lang w:val="en-US"/>
        </w:rPr>
        <w:t>Kant on self-knowledge and self-formation. The nature of inner experience</w:t>
      </w:r>
      <w:r w:rsidRPr="00D44DD4">
        <w:rPr>
          <w:rFonts w:ascii="Times New Roman" w:hAnsi="Times New Roman"/>
          <w:sz w:val="24"/>
          <w:szCs w:val="24"/>
          <w:lang w:val="en-US"/>
        </w:rPr>
        <w:t>. Cambridge University Press.</w:t>
      </w:r>
    </w:p>
    <w:p w14:paraId="6850C8D2" w14:textId="77777777" w:rsidR="00510A3D"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Lacroix, J. (1969) </w:t>
      </w:r>
      <w:r w:rsidRPr="00D44DD4">
        <w:rPr>
          <w:rFonts w:ascii="Times New Roman" w:hAnsi="Times New Roman"/>
          <w:i/>
          <w:sz w:val="24"/>
          <w:szCs w:val="24"/>
          <w:lang w:val="en-US"/>
        </w:rPr>
        <w:t>Kant</w:t>
      </w:r>
      <w:r w:rsidRPr="00D44DD4">
        <w:rPr>
          <w:rFonts w:ascii="Times New Roman" w:hAnsi="Times New Roman"/>
          <w:sz w:val="24"/>
          <w:szCs w:val="24"/>
          <w:lang w:val="en-US"/>
        </w:rPr>
        <w:t>. Ed. Sudamericana.</w:t>
      </w:r>
    </w:p>
    <w:p w14:paraId="0AF9D8C1" w14:textId="77777777" w:rsidR="00587FC8" w:rsidRPr="007F6A09" w:rsidRDefault="00587FC8" w:rsidP="00587FC8">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Leibniz, G.W. (2007) </w:t>
      </w:r>
      <w:r w:rsidRPr="007F6A09">
        <w:rPr>
          <w:rFonts w:ascii="Times New Roman" w:hAnsi="Times New Roman"/>
          <w:i/>
          <w:color w:val="000000" w:themeColor="text1"/>
          <w:sz w:val="24"/>
          <w:szCs w:val="24"/>
          <w:lang w:val="en-US"/>
        </w:rPr>
        <w:t>Discourse of Metaphysics</w:t>
      </w:r>
      <w:r w:rsidRPr="007F6A09">
        <w:rPr>
          <w:rFonts w:ascii="Times New Roman" w:hAnsi="Times New Roman"/>
          <w:color w:val="000000" w:themeColor="text1"/>
          <w:sz w:val="24"/>
          <w:szCs w:val="24"/>
          <w:lang w:val="en-US"/>
        </w:rPr>
        <w:t>. Ed. Jonathan Bennett. Early modern texts.</w:t>
      </w:r>
    </w:p>
    <w:p w14:paraId="2DFD1F29" w14:textId="77777777" w:rsidR="00587FC8" w:rsidRPr="007F6A09" w:rsidRDefault="00587FC8" w:rsidP="00587FC8">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lastRenderedPageBreak/>
        <w:t xml:space="preserve">Leibniz, G.W. (2014) </w:t>
      </w:r>
      <w:r w:rsidRPr="007F6A09">
        <w:rPr>
          <w:rFonts w:ascii="Times New Roman" w:hAnsi="Times New Roman"/>
          <w:i/>
          <w:color w:val="000000" w:themeColor="text1"/>
          <w:sz w:val="24"/>
          <w:szCs w:val="24"/>
        </w:rPr>
        <w:t>Teodicea</w:t>
      </w:r>
      <w:r w:rsidRPr="007F6A09">
        <w:rPr>
          <w:rFonts w:ascii="Times New Roman" w:hAnsi="Times New Roman"/>
          <w:color w:val="000000" w:themeColor="text1"/>
          <w:sz w:val="24"/>
          <w:szCs w:val="24"/>
        </w:rPr>
        <w:t>. Ed. Biblioteca Nueva.</w:t>
      </w:r>
    </w:p>
    <w:p w14:paraId="7E351732" w14:textId="77777777" w:rsidR="00510A3D" w:rsidRPr="00BA441A" w:rsidRDefault="00510A3D" w:rsidP="009F2DB2">
      <w:pPr>
        <w:ind w:left="720" w:hanging="720"/>
        <w:rPr>
          <w:rFonts w:ascii="Times New Roman" w:hAnsi="Times New Roman"/>
          <w:sz w:val="24"/>
          <w:szCs w:val="24"/>
          <w:lang w:val="en-US"/>
        </w:rPr>
      </w:pPr>
      <w:r w:rsidRPr="000018E1">
        <w:rPr>
          <w:rFonts w:ascii="Times New Roman" w:hAnsi="Times New Roman"/>
          <w:sz w:val="24"/>
          <w:szCs w:val="24"/>
          <w:lang w:val="en-US"/>
        </w:rPr>
        <w:t xml:space="preserve">Maritain, J. (1962) </w:t>
      </w:r>
      <w:proofErr w:type="spellStart"/>
      <w:r w:rsidRPr="000018E1">
        <w:rPr>
          <w:rFonts w:ascii="Times New Roman" w:hAnsi="Times New Roman"/>
          <w:i/>
          <w:sz w:val="24"/>
          <w:szCs w:val="24"/>
          <w:lang w:val="en-US"/>
        </w:rPr>
        <w:t>Filosofía</w:t>
      </w:r>
      <w:proofErr w:type="spellEnd"/>
      <w:r w:rsidRPr="000018E1">
        <w:rPr>
          <w:rFonts w:ascii="Times New Roman" w:hAnsi="Times New Roman"/>
          <w:i/>
          <w:sz w:val="24"/>
          <w:szCs w:val="24"/>
          <w:lang w:val="en-US"/>
        </w:rPr>
        <w:t xml:space="preserve"> moral. </w:t>
      </w:r>
      <w:proofErr w:type="spellStart"/>
      <w:r w:rsidRPr="00D44DD4">
        <w:rPr>
          <w:rFonts w:ascii="Times New Roman" w:hAnsi="Times New Roman"/>
          <w:i/>
          <w:sz w:val="24"/>
          <w:szCs w:val="24"/>
        </w:rPr>
        <w:t>Exámen</w:t>
      </w:r>
      <w:proofErr w:type="spellEnd"/>
      <w:r w:rsidRPr="00D44DD4">
        <w:rPr>
          <w:rFonts w:ascii="Times New Roman" w:hAnsi="Times New Roman"/>
          <w:i/>
          <w:sz w:val="24"/>
          <w:szCs w:val="24"/>
        </w:rPr>
        <w:t xml:space="preserve"> histórico crítico de los grandes sistemas.</w:t>
      </w:r>
      <w:r w:rsidRPr="00D44DD4">
        <w:rPr>
          <w:rFonts w:ascii="Times New Roman" w:hAnsi="Times New Roman"/>
          <w:sz w:val="24"/>
          <w:szCs w:val="24"/>
        </w:rPr>
        <w:t xml:space="preserve"> </w:t>
      </w:r>
      <w:r w:rsidRPr="00BA441A">
        <w:rPr>
          <w:rFonts w:ascii="Times New Roman" w:hAnsi="Times New Roman"/>
          <w:sz w:val="24"/>
          <w:szCs w:val="24"/>
          <w:lang w:val="en-US"/>
        </w:rPr>
        <w:t>Ed. Morata.</w:t>
      </w:r>
    </w:p>
    <w:p w14:paraId="55C7E37B"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n-US"/>
        </w:rPr>
        <w:t xml:space="preserve">O´Neill, O. (1986) </w:t>
      </w:r>
      <w:r w:rsidRPr="00D44DD4">
        <w:rPr>
          <w:rFonts w:ascii="Times New Roman" w:hAnsi="Times New Roman"/>
          <w:i/>
          <w:sz w:val="24"/>
          <w:szCs w:val="24"/>
          <w:lang w:val="en-US"/>
        </w:rPr>
        <w:t>The public use of reason</w:t>
      </w:r>
      <w:r w:rsidRPr="00D44DD4">
        <w:rPr>
          <w:rFonts w:ascii="Times New Roman" w:hAnsi="Times New Roman"/>
          <w:sz w:val="24"/>
          <w:szCs w:val="24"/>
          <w:lang w:val="en-US"/>
        </w:rPr>
        <w:t>.</w:t>
      </w:r>
      <w:r w:rsidRPr="00D44DD4">
        <w:rPr>
          <w:rFonts w:ascii="Times New Roman" w:hAnsi="Times New Roman"/>
          <w:i/>
          <w:sz w:val="24"/>
          <w:szCs w:val="24"/>
          <w:lang w:val="en-US"/>
        </w:rPr>
        <w:t xml:space="preserve"> </w:t>
      </w:r>
      <w:r w:rsidRPr="00D44DD4">
        <w:rPr>
          <w:rFonts w:ascii="Times New Roman" w:hAnsi="Times New Roman"/>
          <w:sz w:val="24"/>
          <w:szCs w:val="24"/>
          <w:lang w:val="es-PE"/>
        </w:rPr>
        <w:t xml:space="preserve">En: </w:t>
      </w:r>
      <w:proofErr w:type="spellStart"/>
      <w:r w:rsidRPr="00D44DD4">
        <w:rPr>
          <w:rFonts w:ascii="Times New Roman" w:hAnsi="Times New Roman"/>
          <w:sz w:val="24"/>
          <w:szCs w:val="24"/>
          <w:lang w:val="es-PE"/>
        </w:rPr>
        <w:t>Political</w:t>
      </w:r>
      <w:proofErr w:type="spellEnd"/>
      <w:r w:rsidRPr="00D44DD4">
        <w:rPr>
          <w:rFonts w:ascii="Times New Roman" w:hAnsi="Times New Roman"/>
          <w:sz w:val="24"/>
          <w:szCs w:val="24"/>
          <w:lang w:val="es-PE"/>
        </w:rPr>
        <w:t xml:space="preserve"> Theory, Vol 14, Nº4, Nov. pp. 523-551.</w:t>
      </w:r>
    </w:p>
    <w:p w14:paraId="706ECB82" w14:textId="77777777" w:rsidR="00510A3D" w:rsidRPr="00BA441A"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Pereira, G. (2004) </w:t>
      </w:r>
      <w:r w:rsidRPr="00D44DD4">
        <w:rPr>
          <w:rFonts w:ascii="Times New Roman" w:hAnsi="Times New Roman"/>
          <w:i/>
          <w:sz w:val="24"/>
          <w:szCs w:val="24"/>
        </w:rPr>
        <w:t>Condiciones de posibilidad para una justicia global</w:t>
      </w:r>
      <w:r w:rsidRPr="00D44DD4">
        <w:rPr>
          <w:rFonts w:ascii="Times New Roman" w:hAnsi="Times New Roman"/>
          <w:sz w:val="24"/>
          <w:szCs w:val="24"/>
        </w:rPr>
        <w:t xml:space="preserve">. </w:t>
      </w:r>
      <w:r w:rsidRPr="00BA441A">
        <w:rPr>
          <w:rFonts w:ascii="Times New Roman" w:hAnsi="Times New Roman"/>
          <w:sz w:val="24"/>
          <w:szCs w:val="24"/>
          <w:lang w:val="en-US"/>
        </w:rPr>
        <w:t xml:space="preserve">En: </w:t>
      </w:r>
      <w:proofErr w:type="spellStart"/>
      <w:r w:rsidRPr="00BA441A">
        <w:rPr>
          <w:rFonts w:ascii="Times New Roman" w:hAnsi="Times New Roman"/>
          <w:sz w:val="24"/>
          <w:szCs w:val="24"/>
          <w:lang w:val="en-US"/>
        </w:rPr>
        <w:t>Isegoría</w:t>
      </w:r>
      <w:proofErr w:type="spellEnd"/>
      <w:r w:rsidRPr="00BA441A">
        <w:rPr>
          <w:rFonts w:ascii="Times New Roman" w:hAnsi="Times New Roman"/>
          <w:sz w:val="24"/>
          <w:szCs w:val="24"/>
          <w:lang w:val="en-US"/>
        </w:rPr>
        <w:t>, Nº 30, Junio, 2004.</w:t>
      </w:r>
    </w:p>
    <w:p w14:paraId="658234A8" w14:textId="77777777" w:rsidR="00510A3D" w:rsidRPr="00290825" w:rsidRDefault="00510A3D" w:rsidP="009F2DB2">
      <w:pPr>
        <w:ind w:left="720" w:hanging="720"/>
        <w:rPr>
          <w:rFonts w:ascii="Times New Roman" w:hAnsi="Times New Roman"/>
          <w:sz w:val="24"/>
          <w:szCs w:val="24"/>
          <w:lang w:val="en-US"/>
        </w:rPr>
      </w:pPr>
      <w:r w:rsidRPr="00A23F94">
        <w:rPr>
          <w:rFonts w:ascii="Times New Roman" w:hAnsi="Times New Roman"/>
          <w:sz w:val="24"/>
          <w:szCs w:val="24"/>
          <w:lang w:val="en-US"/>
        </w:rPr>
        <w:t xml:space="preserve">Ripstein, A. (2009) </w:t>
      </w:r>
      <w:r w:rsidRPr="00A23F94">
        <w:rPr>
          <w:rFonts w:ascii="Times New Roman" w:hAnsi="Times New Roman"/>
          <w:i/>
          <w:iCs/>
          <w:sz w:val="24"/>
          <w:szCs w:val="24"/>
          <w:lang w:val="en-US"/>
        </w:rPr>
        <w:t>Force and F</w:t>
      </w:r>
      <w:r>
        <w:rPr>
          <w:rFonts w:ascii="Times New Roman" w:hAnsi="Times New Roman"/>
          <w:i/>
          <w:iCs/>
          <w:sz w:val="24"/>
          <w:szCs w:val="24"/>
          <w:lang w:val="en-US"/>
        </w:rPr>
        <w:t>reedom. Kant’s legal and political philosophy</w:t>
      </w:r>
      <w:r>
        <w:rPr>
          <w:rFonts w:ascii="Times New Roman" w:hAnsi="Times New Roman"/>
          <w:sz w:val="24"/>
          <w:szCs w:val="24"/>
          <w:lang w:val="en-US"/>
        </w:rPr>
        <w:t xml:space="preserve">. </w:t>
      </w:r>
      <w:r w:rsidRPr="00290825">
        <w:rPr>
          <w:rFonts w:ascii="Times New Roman" w:hAnsi="Times New Roman"/>
          <w:sz w:val="24"/>
          <w:szCs w:val="24"/>
          <w:lang w:val="en-US"/>
        </w:rPr>
        <w:t xml:space="preserve">Harvard College  </w:t>
      </w:r>
    </w:p>
    <w:p w14:paraId="4F2B09BD" w14:textId="77777777" w:rsidR="00510A3D" w:rsidRPr="00290825" w:rsidRDefault="00510A3D" w:rsidP="009F2DB2">
      <w:pPr>
        <w:ind w:left="720" w:hanging="720"/>
        <w:rPr>
          <w:rFonts w:ascii="Times New Roman" w:hAnsi="Times New Roman"/>
          <w:sz w:val="24"/>
          <w:szCs w:val="24"/>
          <w:lang w:val="es-PE"/>
        </w:rPr>
      </w:pPr>
      <w:r w:rsidRPr="00A23F94">
        <w:rPr>
          <w:rFonts w:ascii="Times New Roman" w:hAnsi="Times New Roman"/>
          <w:sz w:val="24"/>
          <w:szCs w:val="24"/>
          <w:lang w:val="en-US"/>
        </w:rPr>
        <w:t>Ripstein, A. (20</w:t>
      </w:r>
      <w:r>
        <w:rPr>
          <w:rFonts w:ascii="Times New Roman" w:hAnsi="Times New Roman"/>
          <w:sz w:val="24"/>
          <w:szCs w:val="24"/>
          <w:lang w:val="en-US"/>
        </w:rPr>
        <w:t>21</w:t>
      </w:r>
      <w:r w:rsidRPr="00A23F94">
        <w:rPr>
          <w:rFonts w:ascii="Times New Roman" w:hAnsi="Times New Roman"/>
          <w:sz w:val="24"/>
          <w:szCs w:val="24"/>
          <w:lang w:val="en-US"/>
        </w:rPr>
        <w:t xml:space="preserve">) </w:t>
      </w:r>
      <w:r>
        <w:rPr>
          <w:rFonts w:ascii="Times New Roman" w:hAnsi="Times New Roman"/>
          <w:i/>
          <w:iCs/>
          <w:sz w:val="24"/>
          <w:szCs w:val="24"/>
          <w:lang w:val="en-US"/>
        </w:rPr>
        <w:t>Kant and the law of war</w:t>
      </w:r>
      <w:r>
        <w:rPr>
          <w:rFonts w:ascii="Times New Roman" w:hAnsi="Times New Roman"/>
          <w:sz w:val="24"/>
          <w:szCs w:val="24"/>
          <w:lang w:val="en-US"/>
        </w:rPr>
        <w:t xml:space="preserve">. </w:t>
      </w:r>
      <w:r w:rsidRPr="00290825">
        <w:rPr>
          <w:rFonts w:ascii="Times New Roman" w:hAnsi="Times New Roman"/>
          <w:sz w:val="24"/>
          <w:szCs w:val="24"/>
          <w:lang w:val="es-PE"/>
        </w:rPr>
        <w:t>Oxford.</w:t>
      </w:r>
    </w:p>
    <w:p w14:paraId="41218967" w14:textId="77777777" w:rsidR="00510A3D" w:rsidRPr="00290825"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Vandewalle, B. (2005) </w:t>
      </w:r>
      <w:r w:rsidRPr="00D44DD4">
        <w:rPr>
          <w:rFonts w:ascii="Times New Roman" w:hAnsi="Times New Roman"/>
          <w:i/>
          <w:sz w:val="24"/>
          <w:szCs w:val="24"/>
        </w:rPr>
        <w:t>Kant. Educación y crítica.</w:t>
      </w:r>
      <w:r w:rsidRPr="00D44DD4">
        <w:rPr>
          <w:rFonts w:ascii="Times New Roman" w:hAnsi="Times New Roman"/>
          <w:sz w:val="24"/>
          <w:szCs w:val="24"/>
        </w:rPr>
        <w:t xml:space="preserve"> </w:t>
      </w:r>
      <w:r w:rsidRPr="00290825">
        <w:rPr>
          <w:rFonts w:ascii="Times New Roman" w:hAnsi="Times New Roman"/>
          <w:sz w:val="24"/>
          <w:szCs w:val="24"/>
          <w:lang w:val="en-US"/>
        </w:rPr>
        <w:t>Ed. Nueva Visión.</w:t>
      </w:r>
    </w:p>
    <w:p w14:paraId="3EA103EB"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Walzer, M. (1983) </w:t>
      </w:r>
      <w:r w:rsidRPr="00D44DD4">
        <w:rPr>
          <w:rFonts w:ascii="Times New Roman" w:hAnsi="Times New Roman"/>
          <w:i/>
          <w:sz w:val="24"/>
          <w:szCs w:val="24"/>
          <w:lang w:val="en-US"/>
        </w:rPr>
        <w:t>Spheres of Justice. A defense of pluralism and equality.</w:t>
      </w:r>
      <w:r w:rsidRPr="00D44DD4">
        <w:rPr>
          <w:rFonts w:ascii="Times New Roman" w:hAnsi="Times New Roman"/>
          <w:sz w:val="24"/>
          <w:szCs w:val="24"/>
          <w:lang w:val="en-US"/>
        </w:rPr>
        <w:t xml:space="preserve"> Basic Books, Perseus Books Group.</w:t>
      </w:r>
    </w:p>
    <w:p w14:paraId="42201D7F" w14:textId="77777777" w:rsidR="00510A3D" w:rsidRDefault="00510A3D" w:rsidP="009F2DB2">
      <w:pPr>
        <w:ind w:left="720" w:hanging="720"/>
        <w:rPr>
          <w:rFonts w:ascii="Times New Roman" w:hAnsi="Times New Roman"/>
          <w:sz w:val="24"/>
          <w:szCs w:val="24"/>
          <w:lang w:val="es-PE"/>
        </w:rPr>
      </w:pPr>
      <w:r w:rsidRPr="00BA441A">
        <w:rPr>
          <w:rFonts w:ascii="Times New Roman" w:hAnsi="Times New Roman"/>
          <w:sz w:val="24"/>
          <w:szCs w:val="24"/>
          <w:lang w:val="en-US"/>
        </w:rPr>
        <w:t xml:space="preserve">Williams, B. (1998) </w:t>
      </w:r>
      <w:proofErr w:type="spellStart"/>
      <w:r w:rsidRPr="00BA441A">
        <w:rPr>
          <w:rFonts w:ascii="Times New Roman" w:hAnsi="Times New Roman"/>
          <w:i/>
          <w:sz w:val="24"/>
          <w:szCs w:val="24"/>
          <w:lang w:val="en-US"/>
        </w:rPr>
        <w:t>Introducción</w:t>
      </w:r>
      <w:proofErr w:type="spellEnd"/>
      <w:r w:rsidRPr="00BA441A">
        <w:rPr>
          <w:rFonts w:ascii="Times New Roman" w:hAnsi="Times New Roman"/>
          <w:i/>
          <w:sz w:val="24"/>
          <w:szCs w:val="24"/>
          <w:lang w:val="en-US"/>
        </w:rPr>
        <w:t xml:space="preserve"> a la </w:t>
      </w:r>
      <w:proofErr w:type="spellStart"/>
      <w:r w:rsidRPr="00BA441A">
        <w:rPr>
          <w:rFonts w:ascii="Times New Roman" w:hAnsi="Times New Roman"/>
          <w:i/>
          <w:sz w:val="24"/>
          <w:szCs w:val="24"/>
          <w:lang w:val="en-US"/>
        </w:rPr>
        <w:t>ética</w:t>
      </w:r>
      <w:proofErr w:type="spellEnd"/>
      <w:r w:rsidRPr="00BA441A">
        <w:rPr>
          <w:rFonts w:ascii="Times New Roman" w:hAnsi="Times New Roman"/>
          <w:sz w:val="24"/>
          <w:szCs w:val="24"/>
          <w:lang w:val="en-US"/>
        </w:rPr>
        <w:t xml:space="preserve">. </w:t>
      </w:r>
      <w:r w:rsidRPr="00312036">
        <w:rPr>
          <w:rFonts w:ascii="Times New Roman" w:hAnsi="Times New Roman"/>
          <w:sz w:val="24"/>
          <w:szCs w:val="24"/>
          <w:lang w:val="es-PE"/>
        </w:rPr>
        <w:t>Colección Teorema.</w:t>
      </w:r>
    </w:p>
    <w:sectPr w:rsidR="00510A3D"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556B2" w14:textId="77777777" w:rsidR="007A0078" w:rsidRDefault="007A0078" w:rsidP="009D68C6">
      <w:pPr>
        <w:spacing w:after="0"/>
      </w:pPr>
      <w:r>
        <w:separator/>
      </w:r>
    </w:p>
  </w:endnote>
  <w:endnote w:type="continuationSeparator" w:id="0">
    <w:p w14:paraId="68982490" w14:textId="77777777" w:rsidR="007A0078" w:rsidRDefault="007A0078"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F1AF6" w14:textId="77777777" w:rsidR="007A0078" w:rsidRDefault="007A0078" w:rsidP="009D68C6">
      <w:pPr>
        <w:spacing w:after="0"/>
      </w:pPr>
      <w:r>
        <w:separator/>
      </w:r>
    </w:p>
  </w:footnote>
  <w:footnote w:type="continuationSeparator" w:id="0">
    <w:p w14:paraId="03542DAF" w14:textId="77777777" w:rsidR="007A0078" w:rsidRDefault="007A0078"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7"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1"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2"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8"/>
  </w:num>
  <w:num w:numId="2" w16cid:durableId="1082609318">
    <w:abstractNumId w:val="1"/>
  </w:num>
  <w:num w:numId="3" w16cid:durableId="1622953391">
    <w:abstractNumId w:val="4"/>
  </w:num>
  <w:num w:numId="4" w16cid:durableId="1839031692">
    <w:abstractNumId w:val="2"/>
  </w:num>
  <w:num w:numId="5" w16cid:durableId="993414838">
    <w:abstractNumId w:val="10"/>
  </w:num>
  <w:num w:numId="6" w16cid:durableId="1752391562">
    <w:abstractNumId w:val="6"/>
  </w:num>
  <w:num w:numId="7" w16cid:durableId="386340578">
    <w:abstractNumId w:val="5"/>
  </w:num>
  <w:num w:numId="8" w16cid:durableId="1641573121">
    <w:abstractNumId w:val="9"/>
  </w:num>
  <w:num w:numId="9" w16cid:durableId="75127630">
    <w:abstractNumId w:val="7"/>
  </w:num>
  <w:num w:numId="10" w16cid:durableId="228343604">
    <w:abstractNumId w:val="11"/>
  </w:num>
  <w:num w:numId="11" w16cid:durableId="1492791566">
    <w:abstractNumId w:val="12"/>
  </w:num>
  <w:num w:numId="12" w16cid:durableId="474954717">
    <w:abstractNumId w:val="3"/>
  </w:num>
  <w:num w:numId="13" w16cid:durableId="1997495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43A58"/>
    <w:rsid w:val="000456DE"/>
    <w:rsid w:val="000579A5"/>
    <w:rsid w:val="00060DDD"/>
    <w:rsid w:val="00071AAA"/>
    <w:rsid w:val="0007241B"/>
    <w:rsid w:val="00073F0B"/>
    <w:rsid w:val="00080014"/>
    <w:rsid w:val="00082AEC"/>
    <w:rsid w:val="00093230"/>
    <w:rsid w:val="000C264A"/>
    <w:rsid w:val="000C28E2"/>
    <w:rsid w:val="000C5F0A"/>
    <w:rsid w:val="000F1E6A"/>
    <w:rsid w:val="001021DB"/>
    <w:rsid w:val="00104779"/>
    <w:rsid w:val="00142CCE"/>
    <w:rsid w:val="00146F30"/>
    <w:rsid w:val="00156310"/>
    <w:rsid w:val="0015708E"/>
    <w:rsid w:val="00181DF7"/>
    <w:rsid w:val="001849CF"/>
    <w:rsid w:val="001904BB"/>
    <w:rsid w:val="001A4A4E"/>
    <w:rsid w:val="001B160C"/>
    <w:rsid w:val="001B2AD1"/>
    <w:rsid w:val="001C3B37"/>
    <w:rsid w:val="001C3C74"/>
    <w:rsid w:val="001C42CE"/>
    <w:rsid w:val="001E7D25"/>
    <w:rsid w:val="001F2CFD"/>
    <w:rsid w:val="00221647"/>
    <w:rsid w:val="00221EA0"/>
    <w:rsid w:val="0022282F"/>
    <w:rsid w:val="0022477D"/>
    <w:rsid w:val="00224BFC"/>
    <w:rsid w:val="002408A1"/>
    <w:rsid w:val="002448F8"/>
    <w:rsid w:val="0024775F"/>
    <w:rsid w:val="002511D9"/>
    <w:rsid w:val="00253251"/>
    <w:rsid w:val="00257CC9"/>
    <w:rsid w:val="00260FA5"/>
    <w:rsid w:val="00286653"/>
    <w:rsid w:val="00290825"/>
    <w:rsid w:val="00290DD5"/>
    <w:rsid w:val="002A0259"/>
    <w:rsid w:val="002C4DC0"/>
    <w:rsid w:val="002D16D8"/>
    <w:rsid w:val="002D6030"/>
    <w:rsid w:val="002E7504"/>
    <w:rsid w:val="00305637"/>
    <w:rsid w:val="0034224E"/>
    <w:rsid w:val="00344A3A"/>
    <w:rsid w:val="00345DD4"/>
    <w:rsid w:val="0036068F"/>
    <w:rsid w:val="00362F97"/>
    <w:rsid w:val="003636BE"/>
    <w:rsid w:val="0037522B"/>
    <w:rsid w:val="003A3918"/>
    <w:rsid w:val="003A3FCE"/>
    <w:rsid w:val="003A437C"/>
    <w:rsid w:val="003B09AD"/>
    <w:rsid w:val="003B0CE9"/>
    <w:rsid w:val="003C5BE8"/>
    <w:rsid w:val="003E10B2"/>
    <w:rsid w:val="003E6635"/>
    <w:rsid w:val="003F175F"/>
    <w:rsid w:val="003F194D"/>
    <w:rsid w:val="003F5346"/>
    <w:rsid w:val="00401C62"/>
    <w:rsid w:val="0041160A"/>
    <w:rsid w:val="00413498"/>
    <w:rsid w:val="0042630B"/>
    <w:rsid w:val="0044264B"/>
    <w:rsid w:val="00467DA3"/>
    <w:rsid w:val="00480E46"/>
    <w:rsid w:val="004813C4"/>
    <w:rsid w:val="0048417E"/>
    <w:rsid w:val="00485B5E"/>
    <w:rsid w:val="00486A97"/>
    <w:rsid w:val="004923F7"/>
    <w:rsid w:val="004B1037"/>
    <w:rsid w:val="004C47E3"/>
    <w:rsid w:val="004C6A7C"/>
    <w:rsid w:val="004D1FE4"/>
    <w:rsid w:val="004D2757"/>
    <w:rsid w:val="004D6F59"/>
    <w:rsid w:val="004E0972"/>
    <w:rsid w:val="004E21A1"/>
    <w:rsid w:val="005053CF"/>
    <w:rsid w:val="00510A3D"/>
    <w:rsid w:val="005151E6"/>
    <w:rsid w:val="0053194A"/>
    <w:rsid w:val="005413D1"/>
    <w:rsid w:val="005461B6"/>
    <w:rsid w:val="00546B0C"/>
    <w:rsid w:val="00547243"/>
    <w:rsid w:val="0056347B"/>
    <w:rsid w:val="00571017"/>
    <w:rsid w:val="00572FD8"/>
    <w:rsid w:val="0058245D"/>
    <w:rsid w:val="00582B36"/>
    <w:rsid w:val="00587FC8"/>
    <w:rsid w:val="0059506F"/>
    <w:rsid w:val="00595D08"/>
    <w:rsid w:val="005C0AC4"/>
    <w:rsid w:val="005C119C"/>
    <w:rsid w:val="005C45A0"/>
    <w:rsid w:val="005D0BE1"/>
    <w:rsid w:val="005D3006"/>
    <w:rsid w:val="005E70F3"/>
    <w:rsid w:val="00603D19"/>
    <w:rsid w:val="00605106"/>
    <w:rsid w:val="006109CD"/>
    <w:rsid w:val="00615027"/>
    <w:rsid w:val="00615BDB"/>
    <w:rsid w:val="00626073"/>
    <w:rsid w:val="0063446B"/>
    <w:rsid w:val="00637B48"/>
    <w:rsid w:val="00650071"/>
    <w:rsid w:val="006659D6"/>
    <w:rsid w:val="00667ACD"/>
    <w:rsid w:val="00670045"/>
    <w:rsid w:val="006711D1"/>
    <w:rsid w:val="006772CC"/>
    <w:rsid w:val="006858F9"/>
    <w:rsid w:val="006A6307"/>
    <w:rsid w:val="006A6B85"/>
    <w:rsid w:val="006B3C72"/>
    <w:rsid w:val="006D73BE"/>
    <w:rsid w:val="006E7E5C"/>
    <w:rsid w:val="007175F4"/>
    <w:rsid w:val="00722904"/>
    <w:rsid w:val="00727187"/>
    <w:rsid w:val="00743A23"/>
    <w:rsid w:val="007472AC"/>
    <w:rsid w:val="007613D9"/>
    <w:rsid w:val="00763EE7"/>
    <w:rsid w:val="00764BE2"/>
    <w:rsid w:val="007761B0"/>
    <w:rsid w:val="0078142B"/>
    <w:rsid w:val="0078242C"/>
    <w:rsid w:val="00785AA6"/>
    <w:rsid w:val="007923B4"/>
    <w:rsid w:val="00792903"/>
    <w:rsid w:val="007A0078"/>
    <w:rsid w:val="007C3B89"/>
    <w:rsid w:val="007D56F2"/>
    <w:rsid w:val="007E26C3"/>
    <w:rsid w:val="007F4A95"/>
    <w:rsid w:val="007F6A09"/>
    <w:rsid w:val="00800971"/>
    <w:rsid w:val="00805278"/>
    <w:rsid w:val="00805613"/>
    <w:rsid w:val="0081171E"/>
    <w:rsid w:val="008230CC"/>
    <w:rsid w:val="008338D4"/>
    <w:rsid w:val="008338F6"/>
    <w:rsid w:val="00833B69"/>
    <w:rsid w:val="008345DF"/>
    <w:rsid w:val="0083748A"/>
    <w:rsid w:val="008421EB"/>
    <w:rsid w:val="008447D3"/>
    <w:rsid w:val="00862B46"/>
    <w:rsid w:val="00867B89"/>
    <w:rsid w:val="00872E51"/>
    <w:rsid w:val="0088383A"/>
    <w:rsid w:val="008919A1"/>
    <w:rsid w:val="008A09C8"/>
    <w:rsid w:val="008B15CD"/>
    <w:rsid w:val="008B421F"/>
    <w:rsid w:val="008B4E13"/>
    <w:rsid w:val="008C32A8"/>
    <w:rsid w:val="008C3BAC"/>
    <w:rsid w:val="008E442E"/>
    <w:rsid w:val="008F0E12"/>
    <w:rsid w:val="00906364"/>
    <w:rsid w:val="00912E61"/>
    <w:rsid w:val="0091520F"/>
    <w:rsid w:val="009171AC"/>
    <w:rsid w:val="009221F8"/>
    <w:rsid w:val="009323C5"/>
    <w:rsid w:val="00943972"/>
    <w:rsid w:val="00947EC7"/>
    <w:rsid w:val="00950556"/>
    <w:rsid w:val="00955CB5"/>
    <w:rsid w:val="00956B83"/>
    <w:rsid w:val="0096191F"/>
    <w:rsid w:val="009670F6"/>
    <w:rsid w:val="00983D16"/>
    <w:rsid w:val="00993B8A"/>
    <w:rsid w:val="009969F8"/>
    <w:rsid w:val="00996E14"/>
    <w:rsid w:val="009A0424"/>
    <w:rsid w:val="009D11EC"/>
    <w:rsid w:val="009D68C6"/>
    <w:rsid w:val="009F2DB2"/>
    <w:rsid w:val="009F33DB"/>
    <w:rsid w:val="00A00F07"/>
    <w:rsid w:val="00A207C4"/>
    <w:rsid w:val="00A2393F"/>
    <w:rsid w:val="00A23F94"/>
    <w:rsid w:val="00A50FD4"/>
    <w:rsid w:val="00A6064D"/>
    <w:rsid w:val="00A74AD3"/>
    <w:rsid w:val="00A75EE6"/>
    <w:rsid w:val="00A773A3"/>
    <w:rsid w:val="00A776A8"/>
    <w:rsid w:val="00A955DF"/>
    <w:rsid w:val="00A97826"/>
    <w:rsid w:val="00AA0BCF"/>
    <w:rsid w:val="00AA1BB6"/>
    <w:rsid w:val="00AB0472"/>
    <w:rsid w:val="00AB2716"/>
    <w:rsid w:val="00AB3D03"/>
    <w:rsid w:val="00AB5D2F"/>
    <w:rsid w:val="00AE19BB"/>
    <w:rsid w:val="00AE213D"/>
    <w:rsid w:val="00AE59D1"/>
    <w:rsid w:val="00AF356E"/>
    <w:rsid w:val="00B03708"/>
    <w:rsid w:val="00B07851"/>
    <w:rsid w:val="00B07AB9"/>
    <w:rsid w:val="00B127F3"/>
    <w:rsid w:val="00B12968"/>
    <w:rsid w:val="00B212CC"/>
    <w:rsid w:val="00B23E42"/>
    <w:rsid w:val="00B23FB4"/>
    <w:rsid w:val="00B33392"/>
    <w:rsid w:val="00B35EBF"/>
    <w:rsid w:val="00B471AB"/>
    <w:rsid w:val="00B477FD"/>
    <w:rsid w:val="00B66254"/>
    <w:rsid w:val="00B74E9C"/>
    <w:rsid w:val="00B75096"/>
    <w:rsid w:val="00B82DEF"/>
    <w:rsid w:val="00B82E6A"/>
    <w:rsid w:val="00BA1161"/>
    <w:rsid w:val="00BA441A"/>
    <w:rsid w:val="00BB37F3"/>
    <w:rsid w:val="00BB3FDB"/>
    <w:rsid w:val="00BB4933"/>
    <w:rsid w:val="00BC02DB"/>
    <w:rsid w:val="00BD201A"/>
    <w:rsid w:val="00BE06C4"/>
    <w:rsid w:val="00BE5392"/>
    <w:rsid w:val="00BF62E2"/>
    <w:rsid w:val="00C15C65"/>
    <w:rsid w:val="00C15DD7"/>
    <w:rsid w:val="00C269F0"/>
    <w:rsid w:val="00C31200"/>
    <w:rsid w:val="00C3561F"/>
    <w:rsid w:val="00C378C5"/>
    <w:rsid w:val="00C41FA7"/>
    <w:rsid w:val="00C45F37"/>
    <w:rsid w:val="00C4780B"/>
    <w:rsid w:val="00C56A66"/>
    <w:rsid w:val="00C61C41"/>
    <w:rsid w:val="00C67607"/>
    <w:rsid w:val="00C70353"/>
    <w:rsid w:val="00C719CB"/>
    <w:rsid w:val="00C71A59"/>
    <w:rsid w:val="00C86637"/>
    <w:rsid w:val="00CA130A"/>
    <w:rsid w:val="00CA5897"/>
    <w:rsid w:val="00CB20CE"/>
    <w:rsid w:val="00CC0594"/>
    <w:rsid w:val="00CC754A"/>
    <w:rsid w:val="00CD128E"/>
    <w:rsid w:val="00CD22AF"/>
    <w:rsid w:val="00CD6E35"/>
    <w:rsid w:val="00CF5D3B"/>
    <w:rsid w:val="00D0232F"/>
    <w:rsid w:val="00D17845"/>
    <w:rsid w:val="00D24D13"/>
    <w:rsid w:val="00D25DDD"/>
    <w:rsid w:val="00D3497E"/>
    <w:rsid w:val="00D472A6"/>
    <w:rsid w:val="00D52F9A"/>
    <w:rsid w:val="00D71BB3"/>
    <w:rsid w:val="00D84ED6"/>
    <w:rsid w:val="00D904E6"/>
    <w:rsid w:val="00D924A5"/>
    <w:rsid w:val="00D97548"/>
    <w:rsid w:val="00DA0E0D"/>
    <w:rsid w:val="00DA561E"/>
    <w:rsid w:val="00DB230D"/>
    <w:rsid w:val="00DC27EE"/>
    <w:rsid w:val="00DD38B7"/>
    <w:rsid w:val="00DE201A"/>
    <w:rsid w:val="00DE2556"/>
    <w:rsid w:val="00DE318C"/>
    <w:rsid w:val="00DE5B03"/>
    <w:rsid w:val="00DE7576"/>
    <w:rsid w:val="00E06599"/>
    <w:rsid w:val="00E6376B"/>
    <w:rsid w:val="00E65BF8"/>
    <w:rsid w:val="00E72780"/>
    <w:rsid w:val="00E73EDB"/>
    <w:rsid w:val="00E75882"/>
    <w:rsid w:val="00E763B0"/>
    <w:rsid w:val="00E766EF"/>
    <w:rsid w:val="00EA5D6C"/>
    <w:rsid w:val="00EC01FE"/>
    <w:rsid w:val="00EC083F"/>
    <w:rsid w:val="00EC4F8A"/>
    <w:rsid w:val="00EC6EBD"/>
    <w:rsid w:val="00ED3D93"/>
    <w:rsid w:val="00EE2053"/>
    <w:rsid w:val="00EE2816"/>
    <w:rsid w:val="00EF2256"/>
    <w:rsid w:val="00F02564"/>
    <w:rsid w:val="00F0673E"/>
    <w:rsid w:val="00F3015F"/>
    <w:rsid w:val="00F34D3C"/>
    <w:rsid w:val="00F352CC"/>
    <w:rsid w:val="00F439D7"/>
    <w:rsid w:val="00F47A7B"/>
    <w:rsid w:val="00F723A2"/>
    <w:rsid w:val="00F72B85"/>
    <w:rsid w:val="00F84828"/>
    <w:rsid w:val="00F866BC"/>
    <w:rsid w:val="00F90EAB"/>
    <w:rsid w:val="00F959B6"/>
    <w:rsid w:val="00F95A84"/>
    <w:rsid w:val="00F96821"/>
    <w:rsid w:val="00FB1B79"/>
    <w:rsid w:val="00FB6BD7"/>
    <w:rsid w:val="00FC2FB0"/>
    <w:rsid w:val="00FC4FF3"/>
    <w:rsid w:val="00FD21E0"/>
    <w:rsid w:val="00FD3637"/>
    <w:rsid w:val="00FD640E"/>
    <w:rsid w:val="00FE1D01"/>
    <w:rsid w:val="00FE6BE5"/>
    <w:rsid w:val="00FF1D48"/>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3793</TotalTime>
  <Pages>80</Pages>
  <Words>30675</Words>
  <Characters>168718</Characters>
  <Application>Microsoft Office Word</Application>
  <DocSecurity>0</DocSecurity>
  <Lines>1405</Lines>
  <Paragraphs>397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58</cp:revision>
  <dcterms:created xsi:type="dcterms:W3CDTF">2026-07-26T22:00:00Z</dcterms:created>
  <dcterms:modified xsi:type="dcterms:W3CDTF">2026-08-04T17:42:00Z</dcterms:modified>
</cp:coreProperties>
</file>