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738EAFE8" w:rsidR="0053194A" w:rsidRPr="0053194A" w:rsidRDefault="00067720"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Contraposición del concepto de obligación política mutua </w:t>
      </w:r>
      <w:r w:rsidR="005176E8">
        <w:rPr>
          <w:rFonts w:ascii="Times New Roman" w:hAnsi="Times New Roman"/>
          <w:b/>
          <w:bCs/>
          <w:sz w:val="24"/>
          <w:szCs w:val="24"/>
          <w:lang w:val="es-PE"/>
        </w:rPr>
        <w:t>en K.</w:t>
      </w:r>
      <w:r>
        <w:rPr>
          <w:rFonts w:ascii="Times New Roman" w:hAnsi="Times New Roman"/>
          <w:b/>
          <w:bCs/>
          <w:sz w:val="24"/>
          <w:szCs w:val="24"/>
          <w:lang w:val="es-PE"/>
        </w:rPr>
        <w:t xml:space="preserve"> Flikschuh y el concepto de uso de fuerza legítima en </w:t>
      </w:r>
      <w:r w:rsidR="005176E8">
        <w:rPr>
          <w:rFonts w:ascii="Times New Roman" w:hAnsi="Times New Roman"/>
          <w:b/>
          <w:bCs/>
          <w:sz w:val="24"/>
          <w:szCs w:val="24"/>
          <w:lang w:val="es-PE"/>
        </w:rPr>
        <w:t xml:space="preserve">A. </w:t>
      </w:r>
      <w:r>
        <w:rPr>
          <w:rFonts w:ascii="Times New Roman" w:hAnsi="Times New Roman"/>
          <w:b/>
          <w:bCs/>
          <w:sz w:val="24"/>
          <w:szCs w:val="24"/>
          <w:lang w:val="es-PE"/>
        </w:rPr>
        <w:t>Ripstein en la d</w:t>
      </w:r>
      <w:r w:rsidR="000579A5">
        <w:rPr>
          <w:rFonts w:ascii="Times New Roman" w:hAnsi="Times New Roman"/>
          <w:b/>
          <w:bCs/>
          <w:sz w:val="24"/>
          <w:szCs w:val="24"/>
          <w:lang w:val="es-PE"/>
        </w:rPr>
        <w:t xml:space="preserve">elimitación del concepto de </w:t>
      </w:r>
      <w:r>
        <w:rPr>
          <w:rFonts w:ascii="Times New Roman" w:hAnsi="Times New Roman"/>
          <w:b/>
          <w:bCs/>
          <w:sz w:val="24"/>
          <w:szCs w:val="24"/>
          <w:lang w:val="es-PE"/>
        </w:rPr>
        <w:t>l</w:t>
      </w:r>
      <w:r w:rsidR="000579A5">
        <w:rPr>
          <w:rFonts w:ascii="Times New Roman" w:hAnsi="Times New Roman"/>
          <w:b/>
          <w:bCs/>
          <w:sz w:val="24"/>
          <w:szCs w:val="24"/>
          <w:lang w:val="es-PE"/>
        </w:rPr>
        <w:t xml:space="preserve">ibertad </w:t>
      </w:r>
      <w:r>
        <w:rPr>
          <w:rFonts w:ascii="Times New Roman" w:hAnsi="Times New Roman"/>
          <w:b/>
          <w:bCs/>
          <w:sz w:val="24"/>
          <w:szCs w:val="24"/>
          <w:lang w:val="es-PE"/>
        </w:rPr>
        <w:t>e</w:t>
      </w:r>
      <w:r w:rsidR="000579A5">
        <w:rPr>
          <w:rFonts w:ascii="Times New Roman" w:hAnsi="Times New Roman"/>
          <w:b/>
          <w:bCs/>
          <w:sz w:val="24"/>
          <w:szCs w:val="24"/>
          <w:lang w:val="es-PE"/>
        </w:rPr>
        <w:t xml:space="preserve">xterna </w:t>
      </w:r>
      <w:r w:rsidR="00012D31">
        <w:rPr>
          <w:rFonts w:ascii="Times New Roman" w:hAnsi="Times New Roman"/>
          <w:b/>
          <w:bCs/>
          <w:sz w:val="24"/>
          <w:szCs w:val="24"/>
          <w:lang w:val="es-PE"/>
        </w:rPr>
        <w:t xml:space="preserve">en el pensamiento político </w:t>
      </w:r>
      <w:r w:rsidR="000579A5">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0D0B940D" w14:textId="77777777" w:rsidR="00F866BC" w:rsidRDefault="00F866BC" w:rsidP="00FD640E">
      <w:pPr>
        <w:ind w:left="0" w:firstLine="0"/>
        <w:rPr>
          <w:rFonts w:ascii="Times New Roman" w:hAnsi="Times New Roman"/>
          <w:b/>
          <w:sz w:val="24"/>
          <w:szCs w:val="24"/>
        </w:rPr>
      </w:pPr>
    </w:p>
    <w:p w14:paraId="0AE25427" w14:textId="77777777" w:rsidR="00067720" w:rsidRPr="009D68C6" w:rsidRDefault="00067720"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Default="0053194A" w:rsidP="000579A5">
      <w:pPr>
        <w:spacing w:line="360" w:lineRule="auto"/>
        <w:ind w:left="0" w:firstLine="0"/>
        <w:jc w:val="center"/>
        <w:rPr>
          <w:rFonts w:ascii="Times New Roman" w:hAnsi="Times New Roman"/>
          <w:b/>
          <w:sz w:val="24"/>
          <w:szCs w:val="24"/>
          <w:u w:val="single"/>
        </w:rPr>
      </w:pPr>
      <w:r>
        <w:rPr>
          <w:rFonts w:ascii="Times New Roman" w:hAnsi="Times New Roman"/>
          <w:b/>
          <w:sz w:val="24"/>
          <w:szCs w:val="24"/>
          <w:u w:val="single"/>
        </w:rPr>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44A913F4"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36</w:t>
      </w:r>
    </w:p>
    <w:p w14:paraId="2C1D3811" w14:textId="4C345A68"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58</w:t>
      </w:r>
    </w:p>
    <w:p w14:paraId="28CC157C" w14:textId="75059AD1"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P.75</w:t>
      </w:r>
    </w:p>
    <w:p w14:paraId="5B20CFB3" w14:textId="4B221DEE" w:rsidR="00067720" w:rsidRDefault="00067720" w:rsidP="00BA441A">
      <w:pPr>
        <w:spacing w:line="360" w:lineRule="auto"/>
        <w:ind w:left="0" w:firstLine="0"/>
        <w:rPr>
          <w:rFonts w:ascii="Times New Roman" w:hAnsi="Times New Roman"/>
          <w:sz w:val="24"/>
          <w:szCs w:val="24"/>
        </w:rPr>
      </w:pPr>
      <w:r>
        <w:rPr>
          <w:rFonts w:ascii="Times New Roman" w:hAnsi="Times New Roman"/>
          <w:sz w:val="24"/>
          <w:szCs w:val="24"/>
        </w:rPr>
        <w:t>- Conclusiones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 P.77</w:t>
      </w:r>
    </w:p>
    <w:p w14:paraId="5CA3ADCF" w14:textId="54F485CA"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067720">
        <w:rPr>
          <w:rFonts w:ascii="Times New Roman" w:hAnsi="Times New Roman"/>
          <w:sz w:val="24"/>
          <w:szCs w:val="24"/>
        </w:rPr>
        <w:t>85</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475A901F"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w:t>
      </w:r>
      <w:r w:rsidR="00067720">
        <w:rPr>
          <w:rFonts w:ascii="Times New Roman" w:hAnsi="Times New Roman"/>
          <w:sz w:val="24"/>
          <w:szCs w:val="24"/>
        </w:rPr>
        <w:t>contraponer dos lecturas complementarias respecto de</w:t>
      </w:r>
      <w:r w:rsidR="00DA5EE6">
        <w:rPr>
          <w:rFonts w:ascii="Times New Roman" w:hAnsi="Times New Roman"/>
          <w:sz w:val="24"/>
          <w:szCs w:val="24"/>
        </w:rPr>
        <w:t xml:space="preserve"> </w:t>
      </w:r>
      <w:r w:rsidR="00067720">
        <w:rPr>
          <w:rFonts w:ascii="Times New Roman" w:hAnsi="Times New Roman"/>
          <w:sz w:val="24"/>
          <w:szCs w:val="24"/>
        </w:rPr>
        <w:t>l</w:t>
      </w:r>
      <w:r w:rsidR="00DA5EE6">
        <w:rPr>
          <w:rFonts w:ascii="Times New Roman" w:hAnsi="Times New Roman"/>
          <w:sz w:val="24"/>
          <w:szCs w:val="24"/>
        </w:rPr>
        <w:t xml:space="preserve">a idea </w:t>
      </w:r>
      <w:r w:rsidR="00067720">
        <w:rPr>
          <w:rFonts w:ascii="Times New Roman" w:hAnsi="Times New Roman"/>
          <w:sz w:val="24"/>
          <w:szCs w:val="24"/>
        </w:rPr>
        <w:t xml:space="preserve">de libertad externa. En este sentido, </w:t>
      </w:r>
      <w:r w:rsidRPr="009666E0">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7C5CC157"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En este sentido, la filosofía del derecho y política de Kant, corresponden a un esfuerzo de sistematizar principios normativos metafísicos mediante el uso práctico de la razón</w:t>
      </w:r>
      <w:r w:rsidR="00DA5EE6">
        <w:rPr>
          <w:rFonts w:ascii="Times New Roman" w:hAnsi="Times New Roman"/>
          <w:sz w:val="24"/>
          <w:szCs w:val="24"/>
        </w:rPr>
        <w:t xml:space="preserve"> y orientado a la concreción de una voluntad no individual, sino a un entramado de voluntades legítimamente articuladas</w:t>
      </w:r>
      <w:r w:rsidRPr="009666E0">
        <w:rPr>
          <w:rFonts w:ascii="Times New Roman" w:hAnsi="Times New Roman"/>
          <w:sz w:val="24"/>
          <w:szCs w:val="24"/>
        </w:rPr>
        <w:t xml:space="preserve">. </w:t>
      </w:r>
    </w:p>
    <w:p w14:paraId="3B1E5ABF" w14:textId="36830F38"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Esto equivale a decir que</w:t>
      </w:r>
      <w:r w:rsidR="00E65BF8">
        <w:rPr>
          <w:rFonts w:ascii="Times New Roman" w:hAnsi="Times New Roman"/>
          <w:sz w:val="24"/>
          <w:szCs w:val="24"/>
        </w:rPr>
        <w:t xml:space="preserve"> el nuevo tipo de metafísica crítica que propone Kant</w:t>
      </w:r>
      <w:r w:rsidRPr="009666E0">
        <w:rPr>
          <w:rFonts w:ascii="Times New Roman" w:hAnsi="Times New Roman"/>
          <w:sz w:val="24"/>
          <w:szCs w:val="24"/>
        </w:rPr>
        <w:t xml:space="preserve"> no es una descripción de la realidad, ni que se pued</w:t>
      </w:r>
      <w:r w:rsidR="005C45A0">
        <w:rPr>
          <w:rFonts w:ascii="Times New Roman" w:hAnsi="Times New Roman"/>
          <w:sz w:val="24"/>
          <w:szCs w:val="24"/>
        </w:rPr>
        <w:t>a</w:t>
      </w:r>
      <w:r w:rsidRPr="009666E0">
        <w:rPr>
          <w:rFonts w:ascii="Times New Roman" w:hAnsi="Times New Roman"/>
          <w:sz w:val="24"/>
          <w:szCs w:val="24"/>
        </w:rPr>
        <w:t>n encontrar tales principios normativos en la experiencia</w:t>
      </w:r>
      <w:r w:rsidR="005C45A0">
        <w:rPr>
          <w:rFonts w:ascii="Times New Roman" w:hAnsi="Times New Roman"/>
          <w:sz w:val="24"/>
          <w:szCs w:val="24"/>
        </w:rPr>
        <w:t xml:space="preserve"> antropológica</w:t>
      </w:r>
      <w:r w:rsidRPr="009666E0">
        <w:rPr>
          <w:rFonts w:ascii="Times New Roman" w:hAnsi="Times New Roman"/>
          <w:sz w:val="24"/>
          <w:szCs w:val="24"/>
        </w:rPr>
        <w:t>. La fuerza normativa de las ideas tiene un carácter distinto que la observación empírica, porque se funda en conceptos a priori que la razón formula en un esfuerzo, primero para cohesionar el sentido de la experiencia, y luego, orientada hacia la consecución práctica de los objetivos humanos.</w:t>
      </w:r>
    </w:p>
    <w:p w14:paraId="1801968D" w14:textId="1AC27948"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w:t>
      </w:r>
      <w:r w:rsidR="00DA5EE6">
        <w:rPr>
          <w:rFonts w:ascii="Times New Roman" w:hAnsi="Times New Roman"/>
          <w:sz w:val="24"/>
          <w:szCs w:val="24"/>
        </w:rPr>
        <w:t xml:space="preserve">precisión </w:t>
      </w:r>
      <w:r w:rsidR="005C45A0">
        <w:rPr>
          <w:rFonts w:ascii="Times New Roman" w:hAnsi="Times New Roman"/>
          <w:sz w:val="24"/>
          <w:szCs w:val="24"/>
        </w:rPr>
        <w:t>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w:t>
      </w:r>
      <w:r w:rsidR="00DA5EE6">
        <w:rPr>
          <w:rFonts w:ascii="Times New Roman" w:hAnsi="Times New Roman"/>
          <w:sz w:val="24"/>
          <w:szCs w:val="24"/>
        </w:rPr>
        <w:t xml:space="preserve">el arbitrio </w:t>
      </w:r>
      <w:r w:rsidRPr="009666E0">
        <w:rPr>
          <w:rFonts w:ascii="Times New Roman" w:hAnsi="Times New Roman"/>
          <w:sz w:val="24"/>
          <w:szCs w:val="24"/>
        </w:rPr>
        <w:t>se guía por máximas que la razón produce</w:t>
      </w:r>
      <w:r w:rsidR="00DA5EE6">
        <w:rPr>
          <w:rFonts w:ascii="Times New Roman" w:hAnsi="Times New Roman"/>
          <w:sz w:val="24"/>
          <w:szCs w:val="24"/>
        </w:rPr>
        <w:t>, y solamente entonces se interpreta como libre</w:t>
      </w:r>
      <w:r w:rsidRPr="009666E0">
        <w:rPr>
          <w:rFonts w:ascii="Times New Roman" w:hAnsi="Times New Roman"/>
          <w:sz w:val="24"/>
          <w:szCs w:val="24"/>
        </w:rPr>
        <w:t xml:space="preserve">. </w:t>
      </w:r>
    </w:p>
    <w:p w14:paraId="168C1D38" w14:textId="69F8A4F5"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Podemos decir que, para Kant, el ser humano tiene dos dimensiones complementarias y coexistentes. Por un lado, su cuerpo físico está restringido por las leyes naturales, y, por lo tanto, tiene un grado de determinación. Por otro lado, el uso de su razón le hace pertenecer a un ámbito en que </w:t>
      </w:r>
      <w:r w:rsidR="000018E1">
        <w:rPr>
          <w:rFonts w:ascii="Times New Roman" w:hAnsi="Times New Roman"/>
          <w:sz w:val="24"/>
          <w:szCs w:val="24"/>
        </w:rPr>
        <w:t>puede dirigir</w:t>
      </w:r>
      <w:r w:rsidR="00DA5EE6">
        <w:rPr>
          <w:rFonts w:ascii="Times New Roman" w:hAnsi="Times New Roman"/>
          <w:sz w:val="24"/>
          <w:szCs w:val="24"/>
        </w:rPr>
        <w:t>se</w:t>
      </w:r>
      <w:r w:rsidR="000018E1">
        <w:rPr>
          <w:rFonts w:ascii="Times New Roman" w:hAnsi="Times New Roman"/>
          <w:sz w:val="24"/>
          <w:szCs w:val="24"/>
        </w:rPr>
        <w:t xml:space="preserve"> mediante </w:t>
      </w:r>
      <w:r w:rsidR="00DA5EE6">
        <w:rPr>
          <w:rFonts w:ascii="Times New Roman" w:hAnsi="Times New Roman"/>
          <w:sz w:val="24"/>
          <w:szCs w:val="24"/>
        </w:rPr>
        <w:t xml:space="preserve">máximas </w:t>
      </w:r>
      <w:r w:rsidR="000018E1">
        <w:rPr>
          <w:rFonts w:ascii="Times New Roman" w:hAnsi="Times New Roman"/>
          <w:sz w:val="24"/>
          <w:szCs w:val="24"/>
        </w:rPr>
        <w:t xml:space="preserve">que regulen sus actos. En este sentido, </w:t>
      </w:r>
      <w:r w:rsidR="000018E1">
        <w:rPr>
          <w:rFonts w:ascii="Times New Roman" w:hAnsi="Times New Roman"/>
          <w:sz w:val="24"/>
          <w:szCs w:val="24"/>
        </w:rPr>
        <w:lastRenderedPageBreak/>
        <w:t xml:space="preserve">el ser humano </w:t>
      </w:r>
      <w:r w:rsidRPr="009666E0">
        <w:rPr>
          <w:rFonts w:ascii="Times New Roman" w:hAnsi="Times New Roman"/>
          <w:sz w:val="24"/>
          <w:szCs w:val="24"/>
        </w:rPr>
        <w:t>tiene una libertad que trasciende lo físico</w:t>
      </w:r>
      <w:r w:rsidR="00DA5EE6">
        <w:rPr>
          <w:rFonts w:ascii="Times New Roman" w:hAnsi="Times New Roman"/>
          <w:sz w:val="24"/>
          <w:szCs w:val="24"/>
        </w:rPr>
        <w:t xml:space="preserve"> y material</w:t>
      </w:r>
      <w:r w:rsidRPr="009666E0">
        <w:rPr>
          <w:rFonts w:ascii="Times New Roman" w:hAnsi="Times New Roman"/>
          <w:sz w:val="24"/>
          <w:szCs w:val="24"/>
        </w:rPr>
        <w:t xml:space="preserve">, en la medida en que existe autodeterminación para actuar. </w:t>
      </w:r>
    </w:p>
    <w:p w14:paraId="39DD502E" w14:textId="38C5ACE2" w:rsidR="00DA5EE6"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w:t>
      </w:r>
      <w:r w:rsidR="00DA5EE6">
        <w:rPr>
          <w:rFonts w:ascii="Times New Roman" w:hAnsi="Times New Roman"/>
          <w:sz w:val="24"/>
          <w:szCs w:val="24"/>
        </w:rPr>
        <w:t xml:space="preserve"> moral</w:t>
      </w:r>
      <w:r w:rsidRPr="009666E0">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Pr>
          <w:rFonts w:ascii="Times New Roman" w:hAnsi="Times New Roman"/>
          <w:sz w:val="24"/>
          <w:szCs w:val="24"/>
        </w:rPr>
        <w:t>tener en mente la dimensión política, jurídica y civil de una libertad externa, de acuerdo a los principios normativos del derecho.</w:t>
      </w:r>
    </w:p>
    <w:p w14:paraId="38BECDD1" w14:textId="02A57E60"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w:t>
      </w:r>
      <w:r w:rsidR="00DA5EE6">
        <w:rPr>
          <w:rFonts w:ascii="Times New Roman" w:hAnsi="Times New Roman"/>
          <w:sz w:val="24"/>
          <w:szCs w:val="24"/>
        </w:rPr>
        <w:t xml:space="preserve">ofrece </w:t>
      </w:r>
      <w:r w:rsidRPr="009666E0">
        <w:rPr>
          <w:rFonts w:ascii="Times New Roman" w:hAnsi="Times New Roman"/>
          <w:sz w:val="24"/>
          <w:szCs w:val="24"/>
        </w:rPr>
        <w:t xml:space="preserve">diversas dimensiones </w:t>
      </w:r>
      <w:r w:rsidR="00DA5EE6">
        <w:rPr>
          <w:rFonts w:ascii="Times New Roman" w:hAnsi="Times New Roman"/>
          <w:sz w:val="24"/>
          <w:szCs w:val="24"/>
        </w:rPr>
        <w:t>d</w:t>
      </w:r>
      <w:r w:rsidRPr="009666E0">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Pr>
          <w:rFonts w:ascii="Times New Roman" w:hAnsi="Times New Roman"/>
          <w:sz w:val="24"/>
          <w:szCs w:val="24"/>
        </w:rPr>
        <w:t>igual</w:t>
      </w:r>
      <w:r w:rsidRPr="009666E0">
        <w:rPr>
          <w:rFonts w:ascii="Times New Roman" w:hAnsi="Times New Roman"/>
          <w:sz w:val="24"/>
          <w:szCs w:val="24"/>
        </w:rPr>
        <w:t>, y cómo se asocia a la soberanía, el consentimiento y el uso legítimo de la fuerza pública.</w:t>
      </w:r>
      <w:r w:rsidR="00DA5EE6">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9705BF">
        <w:rPr>
          <w:rFonts w:ascii="Times New Roman" w:hAnsi="Times New Roman"/>
          <w:sz w:val="24"/>
          <w:szCs w:val="24"/>
        </w:rPr>
        <w:t>, en donde se propone que las interpretaciones son más bien complementarias, antes que excluyentes.</w:t>
      </w:r>
      <w:r w:rsidR="00DA5EE6">
        <w:rPr>
          <w:rFonts w:ascii="Times New Roman" w:hAnsi="Times New Roman"/>
          <w:sz w:val="24"/>
          <w:szCs w:val="24"/>
        </w:rPr>
        <w:t xml:space="preserve"> </w:t>
      </w:r>
      <w:r w:rsidRPr="009666E0">
        <w:rPr>
          <w:rFonts w:ascii="Times New Roman" w:hAnsi="Times New Roman"/>
          <w:sz w:val="24"/>
          <w:szCs w:val="24"/>
        </w:rPr>
        <w:t xml:space="preserve"> </w:t>
      </w:r>
    </w:p>
    <w:p w14:paraId="68858C57" w14:textId="7643FB3C" w:rsidR="002554E8" w:rsidRDefault="002554E8" w:rsidP="00670045">
      <w:pPr>
        <w:spacing w:line="360" w:lineRule="auto"/>
        <w:ind w:firstLine="708"/>
        <w:rPr>
          <w:rFonts w:ascii="Times New Roman" w:hAnsi="Times New Roman"/>
          <w:sz w:val="24"/>
          <w:szCs w:val="24"/>
        </w:rPr>
      </w:pPr>
      <w:r>
        <w:rPr>
          <w:rFonts w:ascii="Times New Roman" w:hAnsi="Times New Roman"/>
          <w:sz w:val="24"/>
          <w:szCs w:val="24"/>
        </w:rPr>
        <w:t xml:space="preserve">La libertad externa no sólo es un concepto de tránsito de la moral al derecho, sino que es núcleo del pensamiento político de Kant y que ubica sus raíces en la doctrina jurídica. Las lecturas de Flikschuh y Ripstein tienen desavenencias, pero representan al mismo tiempo dos dimensiones que pueden sostenerse de forma coexistente para una interpretación coherente del pensamiento de Kant. </w:t>
      </w:r>
      <w:r w:rsidR="004E7C05">
        <w:rPr>
          <w:rFonts w:ascii="Times New Roman" w:hAnsi="Times New Roman"/>
          <w:sz w:val="24"/>
          <w:szCs w:val="24"/>
        </w:rPr>
        <w:t xml:space="preserve">Este trabajo busca delimitar estas lecturas para ofrecer una interpretación conjunta de la idea de libertad externa. </w:t>
      </w:r>
    </w:p>
    <w:p w14:paraId="432E9A7C" w14:textId="11F9ACE1" w:rsidR="00C62F10" w:rsidRDefault="00C62F10" w:rsidP="00670045">
      <w:pPr>
        <w:spacing w:line="360" w:lineRule="auto"/>
        <w:ind w:firstLine="708"/>
        <w:rPr>
          <w:rFonts w:ascii="Times New Roman" w:hAnsi="Times New Roman"/>
          <w:sz w:val="24"/>
          <w:szCs w:val="24"/>
        </w:rPr>
      </w:pPr>
      <w:r>
        <w:rPr>
          <w:rFonts w:ascii="Times New Roman" w:hAnsi="Times New Roman"/>
          <w:sz w:val="24"/>
          <w:szCs w:val="24"/>
        </w:rPr>
        <w:t xml:space="preserve">Como trasfondo de la contraposición entre Ripstein y Flikschuh, se ofrece una interpretación de la libertad externa, desde Kant, en virtud de tratarse de un concepto que articula la noción de libertad en cuanto jurídica, política y civil, de forma simultánea e integral, lo que ofrece un fundamento para abordar las lecturas de los autores especializados. </w:t>
      </w:r>
    </w:p>
    <w:p w14:paraId="6B585676" w14:textId="18268E6C" w:rsidR="009C59C1" w:rsidRDefault="009C59C1" w:rsidP="00670045">
      <w:pPr>
        <w:spacing w:line="360" w:lineRule="auto"/>
        <w:ind w:firstLine="708"/>
        <w:rPr>
          <w:rFonts w:ascii="Times New Roman" w:hAnsi="Times New Roman"/>
          <w:sz w:val="24"/>
          <w:szCs w:val="24"/>
        </w:rPr>
      </w:pPr>
      <w:r>
        <w:rPr>
          <w:rFonts w:ascii="Times New Roman" w:hAnsi="Times New Roman"/>
          <w:sz w:val="24"/>
          <w:szCs w:val="24"/>
        </w:rPr>
        <w:t xml:space="preserve">La pregunta que guía la investigación supone si la libertad externa debe entenderse como una obligación política mutua, o bien, si radica en el uso de la fuerza pública. Aunque los autores están en abierta discusión, este trabajo busca ofrecer una posible lectura que articule a ambos autores como complementarios, bajo el sentido que se encuentra </w:t>
      </w:r>
      <w:r w:rsidR="00FA66A9">
        <w:rPr>
          <w:rFonts w:ascii="Times New Roman" w:hAnsi="Times New Roman"/>
          <w:sz w:val="24"/>
          <w:szCs w:val="24"/>
        </w:rPr>
        <w:t xml:space="preserve">originalmente </w:t>
      </w:r>
      <w:r>
        <w:rPr>
          <w:rFonts w:ascii="Times New Roman" w:hAnsi="Times New Roman"/>
          <w:sz w:val="24"/>
          <w:szCs w:val="24"/>
        </w:rPr>
        <w:t>en Kant</w:t>
      </w:r>
      <w:r w:rsidR="00FA66A9">
        <w:rPr>
          <w:rFonts w:ascii="Times New Roman" w:hAnsi="Times New Roman"/>
          <w:sz w:val="24"/>
          <w:szCs w:val="24"/>
        </w:rPr>
        <w:t>.</w:t>
      </w:r>
      <w:r w:rsidR="00252147">
        <w:rPr>
          <w:rFonts w:ascii="Times New Roman" w:hAnsi="Times New Roman"/>
          <w:sz w:val="24"/>
          <w:szCs w:val="24"/>
        </w:rPr>
        <w:t xml:space="preserve"> En esta progresión, se busca reconstruir los argumentos de Kant, </w:t>
      </w:r>
      <w:r w:rsidR="00252147">
        <w:rPr>
          <w:rFonts w:ascii="Times New Roman" w:hAnsi="Times New Roman"/>
          <w:sz w:val="24"/>
          <w:szCs w:val="24"/>
        </w:rPr>
        <w:lastRenderedPageBreak/>
        <w:t xml:space="preserve">Flikschuh y Ripstein en lo que refiere al concepto de libertad externa, para hacer una evaluación de su incompatibilidad excluyente, o bien, de una posible complementariedad. </w:t>
      </w:r>
    </w:p>
    <w:p w14:paraId="165A169A" w14:textId="48BC9EFE" w:rsidR="00DF0D5D" w:rsidRDefault="00316C24" w:rsidP="00670045">
      <w:pPr>
        <w:spacing w:line="360" w:lineRule="auto"/>
        <w:ind w:firstLine="708"/>
        <w:rPr>
          <w:rFonts w:ascii="Times New Roman" w:hAnsi="Times New Roman"/>
          <w:sz w:val="24"/>
          <w:szCs w:val="24"/>
        </w:rPr>
      </w:pPr>
      <w:r>
        <w:rPr>
          <w:rFonts w:ascii="Times New Roman" w:hAnsi="Times New Roman"/>
          <w:sz w:val="24"/>
          <w:szCs w:val="24"/>
        </w:rPr>
        <w:t>Hace falta declarar que l</w:t>
      </w:r>
      <w:r w:rsidR="00DF0D5D">
        <w:rPr>
          <w:rFonts w:ascii="Times New Roman" w:hAnsi="Times New Roman"/>
          <w:sz w:val="24"/>
          <w:szCs w:val="24"/>
        </w:rPr>
        <w:t>os textos trabajados en inglés tienen una cuidadosa traducción propia en todos los caso</w:t>
      </w:r>
      <w:r>
        <w:rPr>
          <w:rFonts w:ascii="Times New Roman" w:hAnsi="Times New Roman"/>
          <w:sz w:val="24"/>
          <w:szCs w:val="24"/>
        </w:rPr>
        <w:t xml:space="preserve">s. Para los textos de Kant se utilizan las citaciones de la academia alemana, pero que se remiten a traducciones al castellano o inglés. </w:t>
      </w:r>
    </w:p>
    <w:p w14:paraId="29E7BD81" w14:textId="77777777" w:rsidR="003B22B2" w:rsidRDefault="003B22B2" w:rsidP="00670045">
      <w:pPr>
        <w:spacing w:line="360" w:lineRule="auto"/>
        <w:ind w:firstLine="708"/>
        <w:rPr>
          <w:rFonts w:ascii="Times New Roman" w:hAnsi="Times New Roman"/>
          <w:sz w:val="24"/>
          <w:szCs w:val="24"/>
        </w:rPr>
      </w:pPr>
    </w:p>
    <w:p w14:paraId="3162FA37" w14:textId="12E2E0CD" w:rsidR="0084169E" w:rsidRDefault="0084169E" w:rsidP="00670045">
      <w:pPr>
        <w:spacing w:line="360" w:lineRule="auto"/>
        <w:ind w:firstLine="708"/>
        <w:rPr>
          <w:rFonts w:ascii="Times New Roman" w:hAnsi="Times New Roman"/>
          <w:sz w:val="24"/>
          <w:szCs w:val="24"/>
        </w:rPr>
      </w:pPr>
      <w:r>
        <w:rPr>
          <w:rFonts w:ascii="Times New Roman" w:hAnsi="Times New Roman"/>
          <w:sz w:val="24"/>
          <w:szCs w:val="24"/>
        </w:rPr>
        <w:t>Planteamiento del problema</w:t>
      </w:r>
    </w:p>
    <w:p w14:paraId="615D83CC" w14:textId="2CCC75FC" w:rsidR="0084169E" w:rsidRDefault="0084169E" w:rsidP="00670045">
      <w:pPr>
        <w:spacing w:line="360" w:lineRule="auto"/>
        <w:ind w:firstLine="708"/>
        <w:rPr>
          <w:rFonts w:ascii="Times New Roman" w:hAnsi="Times New Roman"/>
          <w:sz w:val="24"/>
          <w:szCs w:val="24"/>
        </w:rPr>
      </w:pPr>
      <w:r>
        <w:rPr>
          <w:rFonts w:ascii="Times New Roman" w:hAnsi="Times New Roman"/>
          <w:sz w:val="24"/>
          <w:szCs w:val="24"/>
        </w:rPr>
        <w:t xml:space="preserve">Pregunta de </w:t>
      </w:r>
      <w:proofErr w:type="spellStart"/>
      <w:r>
        <w:rPr>
          <w:rFonts w:ascii="Times New Roman" w:hAnsi="Times New Roman"/>
          <w:sz w:val="24"/>
          <w:szCs w:val="24"/>
        </w:rPr>
        <w:t>inv</w:t>
      </w:r>
      <w:proofErr w:type="spellEnd"/>
    </w:p>
    <w:p w14:paraId="6742E9D4" w14:textId="3FED3E51" w:rsidR="0084169E" w:rsidRDefault="0084169E" w:rsidP="00670045">
      <w:pPr>
        <w:spacing w:line="360" w:lineRule="auto"/>
        <w:ind w:firstLine="708"/>
        <w:rPr>
          <w:rFonts w:ascii="Times New Roman" w:hAnsi="Times New Roman"/>
          <w:sz w:val="24"/>
          <w:szCs w:val="24"/>
        </w:rPr>
      </w:pPr>
      <w:r>
        <w:rPr>
          <w:rFonts w:ascii="Times New Roman" w:hAnsi="Times New Roman"/>
          <w:sz w:val="24"/>
          <w:szCs w:val="24"/>
        </w:rPr>
        <w:t>Hipótesis</w:t>
      </w:r>
    </w:p>
    <w:p w14:paraId="17F0FEDD" w14:textId="32570EE7" w:rsidR="0084169E" w:rsidRDefault="0084169E" w:rsidP="00670045">
      <w:pPr>
        <w:spacing w:line="360" w:lineRule="auto"/>
        <w:ind w:firstLine="708"/>
        <w:rPr>
          <w:rFonts w:ascii="Times New Roman" w:hAnsi="Times New Roman"/>
          <w:sz w:val="24"/>
          <w:szCs w:val="24"/>
        </w:rPr>
      </w:pPr>
      <w:proofErr w:type="spellStart"/>
      <w:r>
        <w:rPr>
          <w:rFonts w:ascii="Times New Roman" w:hAnsi="Times New Roman"/>
          <w:sz w:val="24"/>
          <w:szCs w:val="24"/>
        </w:rPr>
        <w:t>Obj</w:t>
      </w:r>
      <w:proofErr w:type="spellEnd"/>
      <w:r>
        <w:rPr>
          <w:rFonts w:ascii="Times New Roman" w:hAnsi="Times New Roman"/>
          <w:sz w:val="24"/>
          <w:szCs w:val="24"/>
        </w:rPr>
        <w:t xml:space="preserve"> generales</w:t>
      </w:r>
    </w:p>
    <w:p w14:paraId="41F37D7B" w14:textId="5832B9CE" w:rsidR="0084169E" w:rsidRDefault="0084169E" w:rsidP="00670045">
      <w:pPr>
        <w:spacing w:line="360" w:lineRule="auto"/>
        <w:ind w:firstLine="708"/>
        <w:rPr>
          <w:rFonts w:ascii="Times New Roman" w:hAnsi="Times New Roman"/>
          <w:sz w:val="24"/>
          <w:szCs w:val="24"/>
        </w:rPr>
      </w:pPr>
      <w:proofErr w:type="spellStart"/>
      <w:r>
        <w:rPr>
          <w:rFonts w:ascii="Times New Roman" w:hAnsi="Times New Roman"/>
          <w:sz w:val="24"/>
          <w:szCs w:val="24"/>
        </w:rPr>
        <w:t>Obs</w:t>
      </w:r>
      <w:proofErr w:type="spellEnd"/>
      <w:r>
        <w:rPr>
          <w:rFonts w:ascii="Times New Roman" w:hAnsi="Times New Roman"/>
          <w:sz w:val="24"/>
          <w:szCs w:val="24"/>
        </w:rPr>
        <w:t xml:space="preserve"> específicos</w:t>
      </w:r>
    </w:p>
    <w:p w14:paraId="08D34BFB" w14:textId="5582653C" w:rsidR="0084169E" w:rsidRDefault="0084169E" w:rsidP="00670045">
      <w:pPr>
        <w:spacing w:line="360" w:lineRule="auto"/>
        <w:ind w:firstLine="708"/>
        <w:rPr>
          <w:rFonts w:ascii="Times New Roman" w:hAnsi="Times New Roman"/>
          <w:sz w:val="24"/>
          <w:szCs w:val="24"/>
        </w:rPr>
      </w:pPr>
      <w:r>
        <w:rPr>
          <w:rFonts w:ascii="Times New Roman" w:hAnsi="Times New Roman"/>
          <w:sz w:val="24"/>
          <w:szCs w:val="24"/>
        </w:rPr>
        <w:t>Estado de la cuestión</w:t>
      </w:r>
    </w:p>
    <w:p w14:paraId="71DF932C" w14:textId="0A12E625" w:rsidR="0084169E" w:rsidRDefault="0084169E" w:rsidP="00670045">
      <w:pPr>
        <w:spacing w:line="360" w:lineRule="auto"/>
        <w:ind w:firstLine="708"/>
        <w:rPr>
          <w:rFonts w:ascii="Times New Roman" w:hAnsi="Times New Roman"/>
          <w:sz w:val="24"/>
          <w:szCs w:val="24"/>
        </w:rPr>
      </w:pPr>
      <w:r>
        <w:rPr>
          <w:rFonts w:ascii="Times New Roman" w:hAnsi="Times New Roman"/>
          <w:sz w:val="24"/>
          <w:szCs w:val="24"/>
        </w:rPr>
        <w:t>Justificación</w:t>
      </w:r>
    </w:p>
    <w:p w14:paraId="31E37419" w14:textId="2A5A1B88" w:rsidR="0084169E" w:rsidRDefault="0084169E" w:rsidP="00670045">
      <w:pPr>
        <w:spacing w:line="360" w:lineRule="auto"/>
        <w:ind w:firstLine="708"/>
        <w:rPr>
          <w:rFonts w:ascii="Times New Roman" w:hAnsi="Times New Roman"/>
          <w:sz w:val="24"/>
          <w:szCs w:val="24"/>
        </w:rPr>
      </w:pPr>
      <w:r>
        <w:rPr>
          <w:rFonts w:ascii="Times New Roman" w:hAnsi="Times New Roman"/>
          <w:sz w:val="24"/>
          <w:szCs w:val="24"/>
        </w:rPr>
        <w:t>Metodología</w:t>
      </w:r>
    </w:p>
    <w:p w14:paraId="50C220A6" w14:textId="77777777" w:rsidR="0084169E" w:rsidRDefault="0084169E" w:rsidP="00670045">
      <w:pPr>
        <w:spacing w:line="360" w:lineRule="auto"/>
        <w:ind w:firstLine="708"/>
        <w:rPr>
          <w:rFonts w:ascii="Times New Roman" w:hAnsi="Times New Roman"/>
          <w:sz w:val="24"/>
          <w:szCs w:val="24"/>
        </w:rPr>
      </w:pPr>
    </w:p>
    <w:p w14:paraId="6597B232" w14:textId="19E65D4D" w:rsidR="00670045" w:rsidRPr="009666E0" w:rsidRDefault="00670045" w:rsidP="00670045">
      <w:pPr>
        <w:ind w:firstLine="708"/>
        <w:rPr>
          <w:rFonts w:ascii="Times New Roman" w:hAnsi="Times New Roman"/>
          <w:sz w:val="24"/>
          <w:szCs w:val="24"/>
        </w:rPr>
      </w:pPr>
      <w:r w:rsidRPr="009666E0">
        <w:rPr>
          <w:rFonts w:ascii="Times New Roman" w:hAnsi="Times New Roman"/>
          <w:sz w:val="24"/>
          <w:szCs w:val="24"/>
        </w:rPr>
        <w:br w:type="page"/>
      </w:r>
    </w:p>
    <w:p w14:paraId="079C0408" w14:textId="77777777"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 xml:space="preserve">Capítulo 1: La libertad exterior en Kant </w:t>
      </w:r>
    </w:p>
    <w:p w14:paraId="07534E8C" w14:textId="77777777" w:rsidR="00670045" w:rsidRPr="009666E0" w:rsidRDefault="00670045" w:rsidP="00670045">
      <w:pPr>
        <w:spacing w:line="360" w:lineRule="auto"/>
        <w:rPr>
          <w:rFonts w:ascii="Times New Roman" w:hAnsi="Times New Roman"/>
          <w:sz w:val="24"/>
          <w:szCs w:val="24"/>
          <w:lang w:val="es-PE"/>
        </w:rPr>
      </w:pPr>
    </w:p>
    <w:p w14:paraId="21F907B6" w14:textId="77777777" w:rsidR="00670045" w:rsidRPr="003F194D" w:rsidRDefault="00670045" w:rsidP="00670045">
      <w:pPr>
        <w:pStyle w:val="ListParagraph"/>
        <w:numPr>
          <w:ilvl w:val="0"/>
          <w:numId w:val="13"/>
        </w:numPr>
        <w:spacing w:after="160" w:line="360" w:lineRule="auto"/>
        <w:rPr>
          <w:rFonts w:ascii="Times New Roman" w:hAnsi="Times New Roman"/>
          <w:sz w:val="24"/>
          <w:szCs w:val="24"/>
          <w:lang w:val="es-MX"/>
        </w:rPr>
      </w:pPr>
      <w:bookmarkStart w:id="1" w:name="_Hlk220430276"/>
      <w:r w:rsidRPr="009666E0">
        <w:rPr>
          <w:rFonts w:ascii="Times New Roman" w:hAnsi="Times New Roman"/>
          <w:sz w:val="24"/>
          <w:szCs w:val="24"/>
        </w:rPr>
        <w:t>La libertad exterior en Kant</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0018E1">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3F0854B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xml:space="preserve">, en especial a la introducción de la primera de sus dos grandes partes, en donde se expone la doctrina del derecho de Kant, </w:t>
      </w:r>
      <w:r w:rsidRPr="009666E0">
        <w:rPr>
          <w:rFonts w:ascii="Times New Roman" w:hAnsi="Times New Roman"/>
          <w:sz w:val="24"/>
          <w:szCs w:val="24"/>
          <w:lang w:val="es-MX"/>
        </w:rPr>
        <w:lastRenderedPageBreak/>
        <w:t>para poder elaborar la distinción entre los sentidos de libertad, en cuanto interior y exterior</w:t>
      </w:r>
      <w:r w:rsidR="00CA5897">
        <w:rPr>
          <w:rFonts w:ascii="Times New Roman" w:hAnsi="Times New Roman"/>
          <w:sz w:val="24"/>
          <w:szCs w:val="24"/>
          <w:lang w:val="es-MX"/>
        </w:rPr>
        <w:t>, es decir, entre la libertad moral y la libertad jurídica, civil o política.</w:t>
      </w:r>
    </w:p>
    <w:p w14:paraId="0669C445" w14:textId="0F66F1F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w:t>
      </w:r>
      <w:r w:rsidR="00175816">
        <w:rPr>
          <w:rFonts w:ascii="Times New Roman" w:hAnsi="Times New Roman"/>
          <w:sz w:val="24"/>
          <w:szCs w:val="24"/>
          <w:lang w:val="es-MX"/>
        </w:rPr>
        <w:t xml:space="preserve"> edición revisada:</w:t>
      </w:r>
      <w:r w:rsidRPr="009666E0">
        <w:rPr>
          <w:rFonts w:ascii="Times New Roman" w:hAnsi="Times New Roman"/>
          <w:sz w:val="24"/>
          <w:szCs w:val="24"/>
          <w:lang w:val="es-MX"/>
        </w:rPr>
        <w:t xml:space="preserve">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08D67D9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w:t>
      </w:r>
      <w:r w:rsidRPr="009666E0">
        <w:rPr>
          <w:rFonts w:ascii="Times New Roman" w:hAnsi="Times New Roman"/>
          <w:sz w:val="24"/>
          <w:szCs w:val="24"/>
          <w:lang w:val="es-MX"/>
        </w:rPr>
        <w:lastRenderedPageBreak/>
        <w:t xml:space="preserve">conocimiento de nuestro estado.”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6D3AEE5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201F56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 </w:t>
      </w:r>
    </w:p>
    <w:p w14:paraId="0CF02651" w14:textId="0A234B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w:t>
      </w:r>
      <w:r w:rsidRPr="009666E0">
        <w:rPr>
          <w:rFonts w:ascii="Times New Roman" w:hAnsi="Times New Roman"/>
          <w:sz w:val="24"/>
          <w:szCs w:val="24"/>
          <w:lang w:val="es-MX"/>
        </w:rPr>
        <w:lastRenderedPageBreak/>
        <w:t xml:space="preserve">(2008,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2472AD9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 ya que, de otro modo, hablamos de coerción</w:t>
      </w:r>
      <w:r w:rsidR="00EC4F8A">
        <w:rPr>
          <w:rFonts w:ascii="Times New Roman" w:hAnsi="Times New Roman"/>
          <w:sz w:val="24"/>
          <w:szCs w:val="24"/>
          <w:lang w:val="es-MX"/>
        </w:rPr>
        <w:t xml:space="preserve"> o imposición por la fuerza.</w:t>
      </w:r>
    </w:p>
    <w:p w14:paraId="47E82663" w14:textId="7FAEA90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15D6FB5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1E93D8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748EA94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 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una metafísica de la virtud y del derecho.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21CE211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Kant distingue entre las leyes naturales y las leyes morales. Mientras de las primeras podemos generalizar principios mediante la inducción empírica, las segundas se fundan en 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 Todo esto equivale a pensar que todos los seres racionales, sin distinción alguna, poseemos un sentido intrínseco del deber, aunque no siempre seamos testigos de su materialización en la práctica o la historia.</w:t>
      </w:r>
    </w:p>
    <w:p w14:paraId="04B42020" w14:textId="7AC6DC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0007B010"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es decir, una metafísica de la moral o de las costumbres,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43CE8D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Para los actos internos, es decir, morales, se atribuye el apartado de la virtud. Para los actos externos o jurídicos, se refiere el ámbito del derecho y la justicia. Nosotros nos habremos de centrar en lo último.</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Queda claro, por lo tanto, que el acento normativo de las ideas </w:t>
      </w:r>
      <w:r w:rsidR="00862B46">
        <w:rPr>
          <w:rFonts w:ascii="Times New Roman" w:hAnsi="Times New Roman"/>
          <w:sz w:val="24"/>
          <w:szCs w:val="24"/>
          <w:lang w:val="es-MX"/>
        </w:rPr>
        <w:lastRenderedPageBreak/>
        <w:t xml:space="preserve">regulativas para una metafísica de las costumbres está en una clave deontológica, en lugar de ubicarse en algún utilitarismo o </w:t>
      </w:r>
      <w:proofErr w:type="spellStart"/>
      <w:r w:rsidR="00862B46">
        <w:rPr>
          <w:rFonts w:ascii="Times New Roman" w:hAnsi="Times New Roman"/>
          <w:sz w:val="24"/>
          <w:szCs w:val="24"/>
          <w:lang w:val="es-MX"/>
        </w:rPr>
        <w:t>eudaimonismo</w:t>
      </w:r>
      <w:proofErr w:type="spellEnd"/>
      <w:r w:rsidR="00862B46">
        <w:rPr>
          <w:rFonts w:ascii="Times New Roman" w:hAnsi="Times New Roman"/>
          <w:sz w:val="24"/>
          <w:szCs w:val="24"/>
          <w:lang w:val="es-MX"/>
        </w:rPr>
        <w:t xml:space="preserve">.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4A09D53" w14:textId="011674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habrá de distinguir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corresponden, de esta forma, a una legislación externa para el derecho e interna para la virtud moral. Nosotros apuntamos a profundizar en el marco externo</w:t>
      </w:r>
      <w:r w:rsidR="00862B46">
        <w:rPr>
          <w:rFonts w:ascii="Times New Roman" w:hAnsi="Times New Roman"/>
          <w:sz w:val="24"/>
          <w:szCs w:val="24"/>
          <w:lang w:val="es-MX"/>
        </w:rPr>
        <w:t xml:space="preserve"> de la libertad y sus leyes.</w:t>
      </w:r>
    </w:p>
    <w:p w14:paraId="10C03759" w14:textId="4CE3A8E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que: “Toda legislación se compone de dos partes (ya sea que prescriba actos internos o externos) (…) En primer lugar, de una </w:t>
      </w:r>
      <w:r w:rsidRPr="009666E0">
        <w:rPr>
          <w:rFonts w:ascii="Times New Roman" w:hAnsi="Times New Roman"/>
          <w:i/>
          <w:iCs/>
          <w:sz w:val="24"/>
          <w:szCs w:val="24"/>
          <w:lang w:val="es-MX"/>
        </w:rPr>
        <w:t>ley</w:t>
      </w:r>
      <w:r w:rsidRPr="009666E0">
        <w:rPr>
          <w:rFonts w:ascii="Times New Roman" w:hAnsi="Times New Roman"/>
          <w:sz w:val="24"/>
          <w:szCs w:val="24"/>
          <w:lang w:val="es-MX"/>
        </w:rPr>
        <w:t xml:space="preserve"> que presente como objetivamente necesaria la acción que debe ejecutarse, es decir, que hace de la acción un deber; En segundo lugar, de un </w:t>
      </w:r>
      <w:r w:rsidRPr="009666E0">
        <w:rPr>
          <w:rFonts w:ascii="Times New Roman" w:hAnsi="Times New Roman"/>
          <w:i/>
          <w:iCs/>
          <w:sz w:val="24"/>
          <w:szCs w:val="24"/>
          <w:lang w:val="es-MX"/>
        </w:rPr>
        <w:t>motivo</w:t>
      </w:r>
      <w:r w:rsidRPr="009666E0">
        <w:rPr>
          <w:rFonts w:ascii="Times New Roman" w:hAnsi="Times New Roman"/>
          <w:sz w:val="24"/>
          <w:szCs w:val="24"/>
          <w:lang w:val="es-MX"/>
        </w:rPr>
        <w:t xml:space="preserve"> que relacione con la representación de la ley el principio que determina subjetivamente el arbitrio a esta acción. Esta segunda parte equivale, pues, a que la ley haga del deber un motivo.” (2008, p. 24) De esta forma, ya sea una legislación interna o una externa, tenemos que en ambos casos se presentan los elementos de las leyes y los motivos de las leyes. </w:t>
      </w:r>
    </w:p>
    <w:p w14:paraId="3917FBAB" w14:textId="230595B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de separar entre las leyes y sus motivos, se introduce la distinción entre interno y externo, por lo cual resultan leyes internas y externas, así como motivos internos y externos, de lo cual se deriva la idea de un deber interno, moral, y de un deber externo, jurídico</w:t>
      </w:r>
      <w:r w:rsidR="00862B46">
        <w:rPr>
          <w:rFonts w:ascii="Times New Roman" w:hAnsi="Times New Roman"/>
          <w:sz w:val="24"/>
          <w:szCs w:val="24"/>
          <w:lang w:val="es-MX"/>
        </w:rPr>
        <w:t>, incluso cuando los motivos puedan ser los mismos.</w:t>
      </w:r>
    </w:p>
    <w:p w14:paraId="681E9AA6" w14:textId="04A8BC7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xml:space="preserve">,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w:t>
      </w:r>
      <w:r w:rsidRPr="009666E0">
        <w:rPr>
          <w:rFonts w:ascii="Times New Roman" w:hAnsi="Times New Roman"/>
          <w:sz w:val="24"/>
          <w:szCs w:val="24"/>
          <w:lang w:val="es-MX"/>
        </w:rPr>
        <w:lastRenderedPageBreak/>
        <w:t>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2798E1D4" w14:textId="5F629E3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p>
    <w:p w14:paraId="2F1C49CC" w14:textId="201276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51B3579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r w:rsidR="00872E51">
        <w:rPr>
          <w:rFonts w:ascii="Times New Roman" w:hAnsi="Times New Roman"/>
          <w:sz w:val="24"/>
          <w:szCs w:val="24"/>
          <w:lang w:val="es-MX"/>
        </w:rPr>
        <w:t xml:space="preserve">Esto implica que el concepto de libertad queda en el ámbito de la razón práctica en lugar de la razón teórica.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2E35281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 xml:space="preserve">. </w:t>
      </w:r>
    </w:p>
    <w:p w14:paraId="4E5A80E7" w14:textId="15F8402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5FA668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w:t>
      </w:r>
      <w:r w:rsidRPr="009666E0">
        <w:rPr>
          <w:rFonts w:ascii="Times New Roman" w:hAnsi="Times New Roman"/>
          <w:sz w:val="24"/>
          <w:szCs w:val="24"/>
          <w:lang w:val="es-MX"/>
        </w:rPr>
        <w:lastRenderedPageBreak/>
        <w:t xml:space="preserve">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(2008, p. 32)</w:t>
      </w:r>
    </w:p>
    <w:p w14:paraId="5D3EB809" w14:textId="78E5E5C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xml:space="preserve">.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w:t>
      </w:r>
      <w:proofErr w:type="spellStart"/>
      <w:r w:rsidRPr="009666E0">
        <w:rPr>
          <w:rFonts w:ascii="Times New Roman" w:hAnsi="Times New Roman"/>
          <w:sz w:val="24"/>
          <w:szCs w:val="24"/>
          <w:lang w:val="es-MX"/>
        </w:rPr>
        <w:t>a sí</w:t>
      </w:r>
      <w:proofErr w:type="spellEnd"/>
      <w:r w:rsidRPr="009666E0">
        <w:rPr>
          <w:rFonts w:ascii="Times New Roman" w:hAnsi="Times New Roman"/>
          <w:sz w:val="24"/>
          <w:szCs w:val="24"/>
          <w:lang w:val="es-MX"/>
        </w:rPr>
        <w:t xml:space="preserve"> al mismo tiempo que a otros)”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18B5C1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En donde se 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0F6ACBC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 </w:t>
      </w:r>
      <w:r w:rsidRPr="009666E0">
        <w:rPr>
          <w:rFonts w:ascii="Times New Roman" w:hAnsi="Times New Roman"/>
          <w:sz w:val="24"/>
          <w:szCs w:val="24"/>
          <w:lang w:val="es-MX"/>
        </w:rPr>
        <w:t xml:space="preserve"> </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DBF621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marco de los intereses del arbitrio tenemos unos principios que norman el actuar y al que podemos entenderle como máximas. Kant indica que: “El principio, que de ciertas </w:t>
      </w:r>
      <w:r w:rsidRPr="009666E0">
        <w:rPr>
          <w:rFonts w:ascii="Times New Roman" w:hAnsi="Times New Roman"/>
          <w:sz w:val="24"/>
          <w:szCs w:val="24"/>
          <w:lang w:val="es-MX"/>
        </w:rPr>
        <w:lastRenderedPageBreak/>
        <w:t xml:space="preserve">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33ADE2F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(2008, p. 36) </w:t>
      </w:r>
    </w:p>
    <w:p w14:paraId="33A6A100" w14:textId="33D98C0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(2008, p. 38) Esta legisladora suprema no es otra que la razón. La autoridad legislativa de lo interno o moral, es la razón, mediante la forma de un imperativo categórico.</w:t>
      </w:r>
    </w:p>
    <w:p w14:paraId="1A7B442F" w14:textId="0534FBD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revisado, tenemos que, en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Pr="009666E0">
        <w:rPr>
          <w:rFonts w:ascii="Times New Roman" w:hAnsi="Times New Roman"/>
          <w:sz w:val="24"/>
          <w:szCs w:val="24"/>
          <w:lang w:val="es-MX"/>
        </w:rPr>
        <w:t xml:space="preserve"> en la medida de lo posible. Nos resta encontrar un principio con motivos diferentes para el ámbito exterior, es decir, para 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finalmente, considerar otros aspectos de la distinción entre libertad interior y exterior. </w:t>
      </w:r>
    </w:p>
    <w:p w14:paraId="26FC2A59" w14:textId="36C172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 por la legislación formal de un imperativo categórico, 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formalidad de una ciencia, en virtud de las leyes que regulan la libertad exterior, que, en este sentido, además de ser una libertad externa, podrá entenderse como una libertad jurídica</w:t>
      </w:r>
    </w:p>
    <w:p w14:paraId="32F14CC8"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desarrolla qué es el derecho en sí, estima tres consideraciones. En principio, señalará el escenario en donde se establece esa regulación de las relaciones de personas libres. El ámbito exterior a lo moral en la persona, encuentra a otra persona con ese contraste entre su interioridad y la exterioridad compartida; de esto se entiende que se encuentren en una relación de influencia recíproca. </w:t>
      </w:r>
    </w:p>
    <w:p w14:paraId="6E1B7430" w14:textId="75C5A36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forma, Kant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w:t>
      </w:r>
      <w:r w:rsidRPr="009666E0">
        <w:rPr>
          <w:rFonts w:ascii="Times New Roman" w:hAnsi="Times New Roman"/>
          <w:sz w:val="24"/>
          <w:szCs w:val="24"/>
          <w:lang w:val="es-MX"/>
        </w:rPr>
        <w:lastRenderedPageBreak/>
        <w:t xml:space="preserve">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329A816E" w14:textId="543A94F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11E4C5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6D093C4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como límite de la libertad propia, la libertad de otros. Esto se condice con la virtud moral interna, y por el peso del deber, nos demanda una obligación. Precisamente por ello Kant agrega que: “El derecho es inseparable de la facultad de obligar.” (2008, p. 44)</w:t>
      </w:r>
      <w:r w:rsidR="00060DDD">
        <w:rPr>
          <w:rFonts w:ascii="Times New Roman" w:hAnsi="Times New Roman"/>
          <w:sz w:val="24"/>
          <w:szCs w:val="24"/>
          <w:lang w:val="es-MX"/>
        </w:rPr>
        <w:t xml:space="preserve"> </w:t>
      </w:r>
    </w:p>
    <w:p w14:paraId="69B09CFE" w14:textId="6523ACA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Esta obligación mutua de obligarnos unos a otros a cumplir la ley es una de las dimensiones más resaltantes de la libertad jurídica, ya que acentúa no solo la igualdad ante la ley, sino el carácter recíproco de la libertad exterior. </w:t>
      </w:r>
    </w:p>
    <w:p w14:paraId="3783B4AF" w14:textId="428DC88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67D98C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 </w:t>
      </w:r>
    </w:p>
    <w:p w14:paraId="62D49608" w14:textId="03A2199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Esta obligación mutua es como una semilla del horizonte civil que se propone en el republicanismo de Kant.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6C8D112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(2008, p. 46)</w:t>
      </w:r>
    </w:p>
    <w:p w14:paraId="7E9EC5EC" w14:textId="005875A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en el sentido del derecho, las leyes y la justicia. </w:t>
      </w:r>
    </w:p>
    <w:p w14:paraId="2C1BDBAF" w14:textId="168D09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43C7803F" w14:textId="771FEAD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 xml:space="preserve">dimensión </w:t>
      </w:r>
      <w:r w:rsidRPr="009666E0">
        <w:rPr>
          <w:rFonts w:ascii="Times New Roman" w:hAnsi="Times New Roman"/>
          <w:sz w:val="24"/>
          <w:szCs w:val="24"/>
          <w:lang w:val="es-MX"/>
        </w:rPr>
        <w:t xml:space="preserve">civil y política. En el siguiente apartado revisaremos tres instancias de estos alcances, aunque ya hemos revisado gran parte de uno de ellos, desde la doctrina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2F9B9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de Kant </w:t>
      </w:r>
      <w:r w:rsidRPr="009666E0">
        <w:rPr>
          <w:rFonts w:ascii="Times New Roman" w:hAnsi="Times New Roman"/>
          <w:sz w:val="24"/>
          <w:szCs w:val="24"/>
          <w:lang w:val="es-MX"/>
        </w:rPr>
        <w:lastRenderedPageBreak/>
        <w:t xml:space="preserve">que son complementarios para establecer </w:t>
      </w:r>
      <w:r w:rsidR="00615BDB">
        <w:rPr>
          <w:rFonts w:ascii="Times New Roman" w:hAnsi="Times New Roman"/>
          <w:sz w:val="24"/>
          <w:szCs w:val="24"/>
          <w:lang w:val="es-MX"/>
        </w:rPr>
        <w:t>una delimitación de la idea de libertad exterior</w:t>
      </w:r>
      <w:r w:rsidR="00D904E6">
        <w:rPr>
          <w:rFonts w:ascii="Times New Roman" w:hAnsi="Times New Roman"/>
          <w:sz w:val="24"/>
          <w:szCs w:val="24"/>
          <w:lang w:val="es-MX"/>
        </w:rPr>
        <w:t xml:space="preserve"> en cuanto una dimensión jurídica, una civil y una política.</w:t>
      </w:r>
      <w:r w:rsidR="00615BDB">
        <w:rPr>
          <w:rFonts w:ascii="Times New Roman" w:hAnsi="Times New Roman"/>
          <w:sz w:val="24"/>
          <w:szCs w:val="24"/>
          <w:lang w:val="es-MX"/>
        </w:rPr>
        <w:t xml:space="preserve"> </w:t>
      </w:r>
    </w:p>
    <w:p w14:paraId="1057FBCE" w14:textId="5D5801E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00175816">
        <w:rPr>
          <w:rFonts w:ascii="Times New Roman" w:hAnsi="Times New Roman"/>
          <w:sz w:val="24"/>
          <w:szCs w:val="24"/>
        </w:rPr>
        <w:t>. Edición revisada: 2008</w:t>
      </w:r>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Pr="009666E0">
        <w:rPr>
          <w:rFonts w:ascii="Times New Roman" w:hAnsi="Times New Roman"/>
          <w:sz w:val="24"/>
          <w:szCs w:val="24"/>
          <w:lang w:val="es-MX"/>
        </w:rPr>
        <w:t xml:space="preserve"> </w:t>
      </w:r>
    </w:p>
    <w:p w14:paraId="1A63BE5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(TP AA 02; </w:t>
      </w:r>
      <w:proofErr w:type="spellStart"/>
      <w:r w:rsidRPr="009666E0">
        <w:rPr>
          <w:rFonts w:ascii="Times New Roman" w:hAnsi="Times New Roman"/>
          <w:sz w:val="24"/>
          <w:szCs w:val="24"/>
        </w:rPr>
        <w:t>Untersuchung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die </w:t>
      </w:r>
      <w:proofErr w:type="spellStart"/>
      <w:r w:rsidRPr="009666E0">
        <w:rPr>
          <w:rFonts w:ascii="Times New Roman" w:hAnsi="Times New Roman"/>
          <w:sz w:val="24"/>
          <w:szCs w:val="24"/>
        </w:rPr>
        <w:t>Deutlichkeit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Grundsätze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natürlichen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Theologie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und</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Moral</w:t>
      </w:r>
      <w:r w:rsidRPr="009666E0">
        <w:rPr>
          <w:rFonts w:ascii="Times New Roman" w:hAnsi="Times New Roman"/>
          <w:sz w:val="24"/>
          <w:szCs w:val="24"/>
          <w:lang w:val="es-MX"/>
        </w:rPr>
        <w:t xml:space="preserve">) Kant define la pertenencia del estado civil en cuanto está constituida bajo las nociones de libertad, igualdad e independencia. En este sentido, se explica la libertad exterior como el ejercicio para co-legislar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 De esta forma, la libertad exterior se entiende como una libertad política.</w:t>
      </w:r>
    </w:p>
    <w:p w14:paraId="5A29FA20" w14:textId="35BB3D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 lo que permite contextualizar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en la determinación de sus actos, se guía por máximas para la práctica, que buscan servir como 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387107B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 </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externa, desde la doctrina del derecho, es una libertad jurídica, porque establece el horizonte de un estado de derecho, que considera a los ciudadanos como iguales </w:t>
      </w:r>
      <w:r w:rsidRPr="009666E0">
        <w:rPr>
          <w:rFonts w:ascii="Times New Roman" w:hAnsi="Times New Roman"/>
          <w:sz w:val="24"/>
          <w:szCs w:val="24"/>
          <w:lang w:val="es-MX"/>
        </w:rPr>
        <w:lastRenderedPageBreak/>
        <w:t xml:space="preserve">ante la ley, lo que conduce a la posibilidad de exigirse unos a otros la conformidad con lo justo y lo legal. </w:t>
      </w:r>
    </w:p>
    <w:p w14:paraId="3C2889EB" w14:textId="77777777"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xml:space="preserve">,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 </w:t>
      </w:r>
    </w:p>
    <w:p w14:paraId="04FB4A7A" w14:textId="737281AF"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La libertad externa es la idea regulativa que permite entender al derecho como una ciencia y a la condición civil como una necesidad que nos compele a entrar en relaciones legales, de forma que nuestra libertad, el derecho privado y el derecho público se puedan articular. Sin 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especialmente porque su noción (como se verá más adelante) se relaciona con el concepto de una voluntad unificada, integrada o general, que busca establecerse de manera omnilateral el estado de derecho</w:t>
      </w:r>
      <w:r>
        <w:rPr>
          <w:rFonts w:ascii="Times New Roman" w:hAnsi="Times New Roman"/>
          <w:sz w:val="24"/>
          <w:szCs w:val="24"/>
          <w:lang w:val="es-MX"/>
        </w:rPr>
        <w:t>.</w:t>
      </w:r>
      <w:r w:rsidR="00043A58">
        <w:rPr>
          <w:rFonts w:ascii="Times New Roman" w:hAnsi="Times New Roman"/>
          <w:sz w:val="24"/>
          <w:szCs w:val="24"/>
          <w:lang w:val="es-MX"/>
        </w:rPr>
        <w:t xml:space="preserve"> Debemos atender a otros textos complementarios de Kant para extender la noción</w:t>
      </w:r>
      <w:r w:rsidR="003B0CE9">
        <w:rPr>
          <w:rFonts w:ascii="Times New Roman" w:hAnsi="Times New Roman"/>
          <w:sz w:val="24"/>
          <w:szCs w:val="24"/>
          <w:lang w:val="es-MX"/>
        </w:rPr>
        <w:t xml:space="preserve"> de libertad externa</w:t>
      </w:r>
      <w:r w:rsidR="00043A58">
        <w:rPr>
          <w:rFonts w:ascii="Times New Roman" w:hAnsi="Times New Roman"/>
          <w:sz w:val="24"/>
          <w:szCs w:val="24"/>
          <w:lang w:val="es-MX"/>
        </w:rPr>
        <w:t xml:space="preserve">.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primer lugar, en esta segunda parte del texto, Kant rechaza las ideas que defiende Hobbes respecto a la necesidad de un absolutismo monárquico, cohesionado en un estado total con el peso de un Leviathan. Este poder absoluto, de acuerdo a Hobbes, es necesario, </w:t>
      </w:r>
      <w:r w:rsidRPr="009666E0">
        <w:rPr>
          <w:rFonts w:ascii="Times New Roman" w:hAnsi="Times New Roman"/>
          <w:sz w:val="24"/>
          <w:szCs w:val="24"/>
          <w:lang w:val="es-MX"/>
        </w:rPr>
        <w:lastRenderedPageBreak/>
        <w:t>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0964CA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su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monarquía absoluta que defiende Hobbes es despótico y considera a sus miembros como súbditos. Esto supone, entre otros asuntos, una relación paternalista. </w:t>
      </w:r>
    </w:p>
    <w:p w14:paraId="77022BFD" w14:textId="7414485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escenario, los súbditos son como la propiedad del monarca absoluto, en una relación de dependencia y con una libertad anulada. Esto resulta en que la forma de vivir su propia vida, para cada uno, depende de la elección de su señor.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w:t>
      </w:r>
      <w:r w:rsidR="00290DD5">
        <w:rPr>
          <w:rFonts w:ascii="Times New Roman" w:hAnsi="Times New Roman"/>
          <w:sz w:val="24"/>
          <w:szCs w:val="24"/>
          <w:lang w:val="es-MX"/>
        </w:rPr>
        <w:lastRenderedPageBreak/>
        <w:t>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52502F2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de la ley por la fuerza</w:t>
      </w:r>
      <w:r w:rsidR="0081171E">
        <w:rPr>
          <w:rFonts w:ascii="Times New Roman" w:hAnsi="Times New Roman"/>
          <w:sz w:val="24"/>
          <w:szCs w:val="24"/>
          <w:lang w:val="es-MX"/>
        </w:rPr>
        <w:t xml:space="preserve"> ilegítima</w:t>
      </w:r>
      <w:r w:rsidRPr="009666E0">
        <w:rPr>
          <w:rFonts w:ascii="Times New Roman" w:hAnsi="Times New Roman"/>
          <w:sz w:val="24"/>
          <w:szCs w:val="24"/>
          <w:lang w:val="es-MX"/>
        </w:rPr>
        <w:t>, y, por otro lado, un tipo de ley que se acerca al consenso de ciudadanos deliberantes</w:t>
      </w:r>
      <w:r w:rsidR="0081171E">
        <w:rPr>
          <w:rFonts w:ascii="Times New Roman" w:hAnsi="Times New Roman"/>
          <w:sz w:val="24"/>
          <w:szCs w:val="24"/>
          <w:lang w:val="es-MX"/>
        </w:rPr>
        <w:t xml:space="preserve"> desde un punto de vista omnilateral</w:t>
      </w:r>
      <w:r w:rsidRPr="009666E0">
        <w:rPr>
          <w:rFonts w:ascii="Times New Roman" w:hAnsi="Times New Roman"/>
          <w:sz w:val="24"/>
          <w:szCs w:val="24"/>
          <w:lang w:val="es-MX"/>
        </w:rPr>
        <w:t>. Es por esta razón, que para un tipo de gobierno republicano y/o democrático</w:t>
      </w:r>
      <w:r w:rsidR="0081171E">
        <w:rPr>
          <w:rFonts w:ascii="Times New Roman" w:hAnsi="Times New Roman"/>
          <w:sz w:val="24"/>
          <w:szCs w:val="24"/>
          <w:lang w:val="es-MX"/>
        </w:rPr>
        <w:t xml:space="preserve"> (en sentido contemporáneo)</w:t>
      </w:r>
      <w:r w:rsidRPr="009666E0">
        <w:rPr>
          <w:rFonts w:ascii="Times New Roman" w:hAnsi="Times New Roman"/>
          <w:sz w:val="24"/>
          <w:szCs w:val="24"/>
          <w:lang w:val="es-MX"/>
        </w:rPr>
        <w:t xml:space="preserve"> es fundamental el derecho a la justificación, como refiere R. Forst. Para este tipo de legitimidad de la ley, en un sentido de interés público, son fundamentales el uso de la razón pública, la libertad de expresión o de pluma, el consentimiento civil y el horizonte de la co-legislación, elementos todos que se relacionan a la idea de una libertad externa. </w:t>
      </w:r>
    </w:p>
    <w:p w14:paraId="7C73D2FB" w14:textId="101524E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Pr>
          <w:rFonts w:ascii="Times New Roman" w:hAnsi="Times New Roman"/>
          <w:sz w:val="24"/>
          <w:szCs w:val="24"/>
          <w:lang w:val="es-MX"/>
        </w:rPr>
        <w:t>Kant distingue entre la forma de gobernar y el espíritu del régimen. (</w:t>
      </w:r>
      <w:r w:rsidR="00116F0E" w:rsidRPr="00116F0E">
        <w:rPr>
          <w:rFonts w:ascii="Times New Roman" w:hAnsi="Times New Roman"/>
          <w:i/>
          <w:iCs/>
          <w:sz w:val="24"/>
          <w:szCs w:val="24"/>
          <w:lang w:val="es-MX"/>
        </w:rPr>
        <w:t xml:space="preserve">forma </w:t>
      </w:r>
      <w:proofErr w:type="spellStart"/>
      <w:r w:rsidR="00116F0E" w:rsidRPr="00116F0E">
        <w:rPr>
          <w:rFonts w:ascii="Times New Roman" w:hAnsi="Times New Roman"/>
          <w:i/>
          <w:iCs/>
          <w:sz w:val="24"/>
          <w:szCs w:val="24"/>
          <w:lang w:val="es-MX"/>
        </w:rPr>
        <w:t>imperii</w:t>
      </w:r>
      <w:proofErr w:type="spellEnd"/>
      <w:r w:rsidR="00116F0E" w:rsidRPr="00116F0E">
        <w:rPr>
          <w:rFonts w:ascii="Times New Roman" w:hAnsi="Times New Roman"/>
          <w:i/>
          <w:iCs/>
          <w:sz w:val="24"/>
          <w:szCs w:val="24"/>
          <w:lang w:val="es-MX"/>
        </w:rPr>
        <w:t xml:space="preserve"> et forma </w:t>
      </w:r>
      <w:proofErr w:type="spellStart"/>
      <w:r w:rsidR="00116F0E" w:rsidRPr="00116F0E">
        <w:rPr>
          <w:rFonts w:ascii="Times New Roman" w:hAnsi="Times New Roman"/>
          <w:i/>
          <w:iCs/>
          <w:sz w:val="24"/>
          <w:szCs w:val="24"/>
          <w:lang w:val="es-MX"/>
        </w:rPr>
        <w:t>regiminis</w:t>
      </w:r>
      <w:proofErr w:type="spellEnd"/>
      <w:r w:rsidR="00116F0E">
        <w:rPr>
          <w:rFonts w:ascii="Times New Roman" w:hAnsi="Times New Roman"/>
          <w:sz w:val="24"/>
          <w:szCs w:val="24"/>
          <w:lang w:val="es-MX"/>
        </w:rPr>
        <w:t>)</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Kant, el contrato originario que funda una sociedad civil es entendido como una idea normativa que busca dar sentido a la organización social, de acuerdo a principios racionales. En este horizonte, los individuos del estado civil (en el caso de Kant, los </w:t>
      </w:r>
      <w:r w:rsidRPr="009666E0">
        <w:rPr>
          <w:rFonts w:ascii="Times New Roman" w:hAnsi="Times New Roman"/>
          <w:sz w:val="24"/>
          <w:szCs w:val="24"/>
          <w:lang w:val="es-MX"/>
        </w:rPr>
        <w:lastRenderedPageBreak/>
        <w:t>ciudadanos) se someten al orden de las leyes públicas exteriores que tienen un carácter universal para su estado, ya que se presupone que emanan saludablemente de una voluntad general, unificada y libre.</w:t>
      </w:r>
    </w:p>
    <w:p w14:paraId="771B3780" w14:textId="464BD2D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Solamente en una sociedad civil de leyes públicas y de alcance general, puede existir la propiedad privada de forma perentoria, pues queda avalada por el derecho mismo. Esta 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xml:space="preserve">,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responsabilidad del gobernante para con su pueblo, especialmente a la hora de orientar las leyes públicas.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501E864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p>
    <w:p w14:paraId="1D2338C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Kant propone la idea normativa de un contrato originario social que permite un estado jurídico de libertad externa, de justicia distributiva y de propiedad privada. </w:t>
      </w:r>
    </w:p>
    <w:p w14:paraId="6B4703D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 debemos dejar de tener en cuenta que el sentido de la ley, de acuerdo a la voluntad general, busca un horizonte civil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77777777" w:rsidR="002103DD"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coercibles y que reflejen a 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xml:space="preserve">. Lo que diferencia a Hobbes de Kant, en primer lugar, es que para el primero el soberano está desentendido de sus súbditos y en el caso de Kant es todo lo opuesto. La legislación debe servir a un sentido público y no privado. En segundo </w:t>
      </w:r>
      <w:r w:rsidRPr="009666E0">
        <w:rPr>
          <w:rFonts w:ascii="Times New Roman" w:hAnsi="Times New Roman"/>
          <w:sz w:val="24"/>
          <w:szCs w:val="24"/>
          <w:lang w:val="es-MX"/>
        </w:rPr>
        <w:lastRenderedPageBreak/>
        <w:t>lugar, la actitud del súbdito, en el modelo de Hobbes, es absolutamente pasiva, siendo su destino el capricho de sus señores, por lo que hablamos de una falta de libertad.</w:t>
      </w:r>
    </w:p>
    <w:p w14:paraId="1E6A94B4" w14:textId="1694C9BA"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modelo de Kant, existen algunos ciudadanos pasivos, como los niños, pero </w:t>
      </w:r>
      <w:r w:rsidR="002103DD">
        <w:rPr>
          <w:rFonts w:ascii="Times New Roman" w:hAnsi="Times New Roman"/>
          <w:sz w:val="24"/>
          <w:szCs w:val="24"/>
          <w:lang w:val="es-MX"/>
        </w:rPr>
        <w:t xml:space="preserve">el sentido general de </w:t>
      </w:r>
      <w:r w:rsidRPr="009666E0">
        <w:rPr>
          <w:rFonts w:ascii="Times New Roman" w:hAnsi="Times New Roman"/>
          <w:sz w:val="24"/>
          <w:szCs w:val="24"/>
          <w:lang w:val="es-MX"/>
        </w:rPr>
        <w:t>la ciudadanía es fundamentalmente</w:t>
      </w:r>
      <w:r w:rsidR="002103DD">
        <w:rPr>
          <w:rFonts w:ascii="Times New Roman" w:hAnsi="Times New Roman"/>
          <w:sz w:val="24"/>
          <w:szCs w:val="24"/>
          <w:lang w:val="es-MX"/>
        </w:rPr>
        <w:t xml:space="preserve"> en cuanto</w:t>
      </w:r>
      <w:r w:rsidRPr="009666E0">
        <w:rPr>
          <w:rFonts w:ascii="Times New Roman" w:hAnsi="Times New Roman"/>
          <w:sz w:val="24"/>
          <w:szCs w:val="24"/>
          <w:lang w:val="es-MX"/>
        </w:rPr>
        <w:t xml:space="preserve"> activa, por cuanto, no sólo existe la capacidad de la mutua obligación </w:t>
      </w:r>
      <w:r w:rsidR="002103DD">
        <w:rPr>
          <w:rFonts w:ascii="Times New Roman" w:hAnsi="Times New Roman"/>
          <w:sz w:val="24"/>
          <w:szCs w:val="24"/>
          <w:lang w:val="es-MX"/>
        </w:rPr>
        <w:t>de verse cumplida la</w:t>
      </w:r>
      <w:r w:rsidRPr="009666E0">
        <w:rPr>
          <w:rFonts w:ascii="Times New Roman" w:hAnsi="Times New Roman"/>
          <w:sz w:val="24"/>
          <w:szCs w:val="24"/>
          <w:lang w:val="es-MX"/>
        </w:rPr>
        <w:t xml:space="preserve"> ley, sino que, además, al pensar en el motivo y sentido de las leyes</w:t>
      </w:r>
      <w:r w:rsidR="002103DD">
        <w:rPr>
          <w:rFonts w:ascii="Times New Roman" w:hAnsi="Times New Roman"/>
          <w:sz w:val="24"/>
          <w:szCs w:val="24"/>
          <w:lang w:val="es-MX"/>
        </w:rPr>
        <w:t>. E</w:t>
      </w:r>
      <w:r w:rsidRPr="009666E0">
        <w:rPr>
          <w:rFonts w:ascii="Times New Roman" w:hAnsi="Times New Roman"/>
          <w:sz w:val="24"/>
          <w:szCs w:val="24"/>
          <w:lang w:val="es-MX"/>
        </w:rPr>
        <w:t xml:space="preserve">l ciudadano, aún más, tiene la capacidad de intervenir activamente en ajustar las leyes a la voluntad general. </w:t>
      </w:r>
      <w:r w:rsidR="002103DD">
        <w:rPr>
          <w:rFonts w:ascii="Times New Roman" w:hAnsi="Times New Roman"/>
          <w:sz w:val="24"/>
          <w:szCs w:val="24"/>
          <w:lang w:val="es-MX"/>
        </w:rPr>
        <w:t>Y esto solo nace de su autosuficiencia civil o independencia jurídica, de acuerdo a las leyes y nociones de la libertad externa.</w:t>
      </w:r>
    </w:p>
    <w:p w14:paraId="09D1CAA7" w14:textId="551FA934" w:rsidR="002103DD"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Cuando Kant distingue entre los ciudadanos activos y pasivos, hace falta poner en contexto las ideas, para poder mantener la máxima de su razonamiento, en lugar de imitar los ejemplos que ofrece, ya que, en la actualidad, los ejemplos dados, son en algunos casos inaceptables. El punto es que el ciudadano pasivo no tiene derecho a voto, ya que no posee independencia civil. Los aprendices al servicio de comerciantes, artesanos, los criados domésticos, los menores de edad legal y todas las mujeres, tienen en común, en la época de Kant, que</w:t>
      </w:r>
      <w:r w:rsidR="00353072">
        <w:rPr>
          <w:rFonts w:ascii="Times New Roman" w:hAnsi="Times New Roman"/>
          <w:sz w:val="24"/>
          <w:szCs w:val="24"/>
          <w:lang w:val="es-MX"/>
        </w:rPr>
        <w:t xml:space="preserve"> por igual</w:t>
      </w:r>
      <w:r>
        <w:rPr>
          <w:rFonts w:ascii="Times New Roman" w:hAnsi="Times New Roman"/>
          <w:sz w:val="24"/>
          <w:szCs w:val="24"/>
          <w:lang w:val="es-MX"/>
        </w:rPr>
        <w:t xml:space="preserve"> dependen de otros para administrar sus propios asuntos, </w:t>
      </w:r>
      <w:r w:rsidR="00353072">
        <w:rPr>
          <w:rFonts w:ascii="Times New Roman" w:hAnsi="Times New Roman"/>
          <w:sz w:val="24"/>
          <w:szCs w:val="24"/>
          <w:lang w:val="es-MX"/>
        </w:rPr>
        <w:t>por lo</w:t>
      </w:r>
      <w:r>
        <w:rPr>
          <w:rFonts w:ascii="Times New Roman" w:hAnsi="Times New Roman"/>
          <w:sz w:val="24"/>
          <w:szCs w:val="24"/>
          <w:lang w:val="es-MX"/>
        </w:rPr>
        <w:t xml:space="preserve"> que su libertad se ejerce sin ser </w:t>
      </w:r>
      <w:r w:rsidR="00353072">
        <w:rPr>
          <w:rFonts w:ascii="Times New Roman" w:hAnsi="Times New Roman"/>
          <w:sz w:val="24"/>
          <w:szCs w:val="24"/>
          <w:lang w:val="es-MX"/>
        </w:rPr>
        <w:t xml:space="preserve">una plena </w:t>
      </w:r>
      <w:r>
        <w:rPr>
          <w:rFonts w:ascii="Times New Roman" w:hAnsi="Times New Roman"/>
          <w:sz w:val="24"/>
          <w:szCs w:val="24"/>
          <w:lang w:val="es-MX"/>
        </w:rPr>
        <w:t xml:space="preserve">libertad, por cuanto su voluntad suele depender de otros. Hoy en día, sin embargo, salvo los menores de edad, el caso es distinto por buenas razones. </w:t>
      </w:r>
    </w:p>
    <w:p w14:paraId="06E0BB9E" w14:textId="0B4C5EDA" w:rsidR="008117BA"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Si el ciudadano pasivo no tiene voto, y está sujeto como protegido al ciudadano activo, se entiende que aquel tipo de ciudadano que tiene voto, entonces es responsable, no sólo de a quien debe proteger, moral y legalmente, sino que asimismo está obligado a entrar en un horizonte de relaciones jurídicas y de voluntad pública con otros ciudadanos. De ello se sigue que el ciudadano activo, que es el que posee un voto</w:t>
      </w:r>
      <w:r w:rsidR="00A82EFA">
        <w:rPr>
          <w:rFonts w:ascii="Times New Roman" w:hAnsi="Times New Roman"/>
          <w:sz w:val="24"/>
          <w:szCs w:val="24"/>
          <w:lang w:val="es-MX"/>
        </w:rPr>
        <w:t>,</w:t>
      </w:r>
      <w:r w:rsidR="00353072">
        <w:rPr>
          <w:rFonts w:ascii="Times New Roman" w:hAnsi="Times New Roman"/>
          <w:sz w:val="24"/>
          <w:szCs w:val="24"/>
          <w:lang w:val="es-MX"/>
        </w:rPr>
        <w:t xml:space="preserve"> con la condición de </w:t>
      </w:r>
      <w:r w:rsidR="00A82EFA">
        <w:rPr>
          <w:rFonts w:ascii="Times New Roman" w:hAnsi="Times New Roman"/>
          <w:sz w:val="24"/>
          <w:szCs w:val="24"/>
          <w:lang w:val="es-MX"/>
        </w:rPr>
        <w:t>su autosuficiencia e independencia, por el mero hecho de participar razonadamente en los asuntos públicos, posee la facultad de su libertad externa en una dimensión de la co-legislación</w:t>
      </w:r>
      <w:r w:rsidR="00353072">
        <w:rPr>
          <w:rFonts w:ascii="Times New Roman" w:hAnsi="Times New Roman"/>
          <w:sz w:val="24"/>
          <w:szCs w:val="24"/>
          <w:lang w:val="es-MX"/>
        </w:rPr>
        <w:t xml:space="preserve"> en miras de un bien universal</w:t>
      </w:r>
      <w:r w:rsidR="00A82EFA">
        <w:rPr>
          <w:rFonts w:ascii="Times New Roman" w:hAnsi="Times New Roman"/>
          <w:sz w:val="24"/>
          <w:szCs w:val="24"/>
          <w:lang w:val="es-MX"/>
        </w:rPr>
        <w:t xml:space="preserve">. </w:t>
      </w:r>
    </w:p>
    <w:p w14:paraId="351723AA" w14:textId="7D8A3355" w:rsidR="00A82EFA" w:rsidRDefault="00A82EFA"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tiempos de Kant, acaso como en la época de la gran mayoría de los griegos, y en algunos otros lugares o tiempos, se ha dejado de lado la idea de legislación a pocos. Las ideas que Kant sostiene respecto a las razas y las mujeres contradicen sus propios principios, que hoy, por la fuerza de la historia, se presentan como más claros para la razón. En una república, que busca oponerse a todo tipo de despotismo, la libertad externa la tienen todos, e incluso los menores de edad son educados en ese sentido. El voto es universal y es un derecho tan humano como el de la libertad, ya sea desde su acepción moral, metafísica, innata, interna o </w:t>
      </w:r>
      <w:r>
        <w:rPr>
          <w:rFonts w:ascii="Times New Roman" w:hAnsi="Times New Roman"/>
          <w:sz w:val="24"/>
          <w:szCs w:val="24"/>
          <w:lang w:val="es-MX"/>
        </w:rPr>
        <w:lastRenderedPageBreak/>
        <w:t xml:space="preserve">externa. Si la mayoría no posee un derecho a la participación en la deliberación para la justificación de alguna razón pública para defender un voto, luego la voluntad general, integrada u omnilateral, entonces </w:t>
      </w:r>
      <w:r w:rsidR="00353072">
        <w:rPr>
          <w:rFonts w:ascii="Times New Roman" w:hAnsi="Times New Roman"/>
          <w:sz w:val="24"/>
          <w:szCs w:val="24"/>
          <w:lang w:val="es-MX"/>
        </w:rPr>
        <w:t xml:space="preserve">puede </w:t>
      </w:r>
      <w:r>
        <w:rPr>
          <w:rFonts w:ascii="Times New Roman" w:hAnsi="Times New Roman"/>
          <w:sz w:val="24"/>
          <w:szCs w:val="24"/>
          <w:lang w:val="es-MX"/>
        </w:rPr>
        <w:t>perde</w:t>
      </w:r>
      <w:r w:rsidR="00353072">
        <w:rPr>
          <w:rFonts w:ascii="Times New Roman" w:hAnsi="Times New Roman"/>
          <w:sz w:val="24"/>
          <w:szCs w:val="24"/>
          <w:lang w:val="es-MX"/>
        </w:rPr>
        <w:t>r</w:t>
      </w:r>
      <w:r>
        <w:rPr>
          <w:rFonts w:ascii="Times New Roman" w:hAnsi="Times New Roman"/>
          <w:sz w:val="24"/>
          <w:szCs w:val="24"/>
          <w:lang w:val="es-MX"/>
        </w:rPr>
        <w:t xml:space="preserve"> su precisión y puede hasta pervertirse, yendo en contra del principio de que ninguna ley debe hacer daño nunca a nadie.</w:t>
      </w:r>
    </w:p>
    <w:p w14:paraId="4D814C2B" w14:textId="79408D96" w:rsidR="00353072" w:rsidRDefault="00353072"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Esto no equivale a que todos deban gobernar o dictaminar leyes; Kant no es simpatizante de la democracia, tal y como se entendía en su contexto. El sentido de su razonamiento no es que todos tengan que ser ciudadanos activos, sino que los que tengan un voto, y la condición de su facultad de la independencia civil, deben siempre co-legislar, (o directamente legislar), en el sentido de una voluntad categórica del bien público, y con esas miras, no hace falta que todos tengan que participar de la legislación activamente. </w:t>
      </w:r>
    </w:p>
    <w:p w14:paraId="79D76D91" w14:textId="66EEF648" w:rsidR="00670045" w:rsidRPr="009666E0" w:rsidRDefault="007E6270"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facultad libre para la co-legislación es una </w:t>
      </w:r>
      <w:r w:rsidR="00A82EFA">
        <w:rPr>
          <w:rFonts w:ascii="Times New Roman" w:hAnsi="Times New Roman"/>
          <w:sz w:val="24"/>
          <w:szCs w:val="24"/>
          <w:lang w:val="es-MX"/>
        </w:rPr>
        <w:t>condición</w:t>
      </w:r>
      <w:r w:rsidR="00670045" w:rsidRPr="009666E0">
        <w:rPr>
          <w:rFonts w:ascii="Times New Roman" w:hAnsi="Times New Roman"/>
          <w:sz w:val="24"/>
          <w:szCs w:val="24"/>
          <w:lang w:val="es-MX"/>
        </w:rPr>
        <w:t xml:space="preserve"> </w:t>
      </w:r>
      <w:r>
        <w:rPr>
          <w:rFonts w:ascii="Times New Roman" w:hAnsi="Times New Roman"/>
          <w:sz w:val="24"/>
          <w:szCs w:val="24"/>
          <w:lang w:val="es-MX"/>
        </w:rPr>
        <w:t xml:space="preserve">que </w:t>
      </w:r>
      <w:r w:rsidR="00670045" w:rsidRPr="009666E0">
        <w:rPr>
          <w:rFonts w:ascii="Times New Roman" w:hAnsi="Times New Roman"/>
          <w:sz w:val="24"/>
          <w:szCs w:val="24"/>
          <w:lang w:val="es-MX"/>
        </w:rPr>
        <w:t xml:space="preserve">nace de su fundamental libertad para exigirse el cumplimiento de la ley los unos a los otros, y presupone la facultad 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lastRenderedPageBreak/>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569CEE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7B8BBECF" w14:textId="23E64EF0" w:rsidR="00670045" w:rsidRPr="009666E0" w:rsidRDefault="0048417E" w:rsidP="00670045">
      <w:pPr>
        <w:spacing w:line="360" w:lineRule="auto"/>
        <w:ind w:left="708"/>
        <w:rPr>
          <w:rFonts w:ascii="Times New Roman" w:hAnsi="Times New Roman"/>
          <w:sz w:val="24"/>
          <w:szCs w:val="24"/>
        </w:rPr>
      </w:pPr>
      <w:r>
        <w:rPr>
          <w:rFonts w:ascii="Times New Roman" w:hAnsi="Times New Roman"/>
          <w:sz w:val="24"/>
          <w:szCs w:val="24"/>
        </w:rPr>
        <w:t>“</w:t>
      </w:r>
      <w:r w:rsidR="00670045" w:rsidRPr="009666E0">
        <w:rPr>
          <w:rFonts w:ascii="Times New Roman" w:hAnsi="Times New Roman"/>
          <w:sz w:val="24"/>
          <w:szCs w:val="24"/>
        </w:rPr>
        <w:t>El estado civil, por tanto, considerado meramente como estado jurídico, se funda en los siguientes principios a priori:</w:t>
      </w:r>
    </w:p>
    <w:p w14:paraId="3B24113F" w14:textId="77777777" w:rsidR="00670045" w:rsidRPr="009666E0" w:rsidRDefault="00670045" w:rsidP="00670045">
      <w:pPr>
        <w:numPr>
          <w:ilvl w:val="1"/>
          <w:numId w:val="11"/>
        </w:numPr>
        <w:spacing w:after="160" w:line="360" w:lineRule="auto"/>
        <w:rPr>
          <w:rFonts w:ascii="Times New Roman" w:hAnsi="Times New Roman"/>
          <w:sz w:val="24"/>
          <w:szCs w:val="24"/>
        </w:rPr>
      </w:pPr>
      <w:r w:rsidRPr="009666E0">
        <w:rPr>
          <w:rFonts w:ascii="Times New Roman" w:hAnsi="Times New Roman"/>
          <w:sz w:val="24"/>
          <w:szCs w:val="24"/>
        </w:rPr>
        <w:t>La libertad de cada miembro de la sociedad, en cuanto hombre.</w:t>
      </w:r>
    </w:p>
    <w:p w14:paraId="71B67613" w14:textId="77777777" w:rsidR="00670045" w:rsidRPr="009666E0" w:rsidRDefault="00670045" w:rsidP="00670045">
      <w:pPr>
        <w:numPr>
          <w:ilvl w:val="1"/>
          <w:numId w:val="11"/>
        </w:numPr>
        <w:spacing w:after="160" w:line="360" w:lineRule="auto"/>
        <w:rPr>
          <w:rFonts w:ascii="Times New Roman" w:hAnsi="Times New Roman"/>
          <w:sz w:val="24"/>
          <w:szCs w:val="24"/>
        </w:rPr>
      </w:pPr>
      <w:r w:rsidRPr="009666E0">
        <w:rPr>
          <w:rFonts w:ascii="Times New Roman" w:hAnsi="Times New Roman"/>
          <w:sz w:val="24"/>
          <w:szCs w:val="24"/>
        </w:rPr>
        <w:t>Su igualdad con los demás, en cuanto súbdito.</w:t>
      </w:r>
    </w:p>
    <w:p w14:paraId="7FDCAF15" w14:textId="77777777" w:rsidR="00670045" w:rsidRPr="009666E0" w:rsidRDefault="00670045" w:rsidP="00670045">
      <w:pPr>
        <w:numPr>
          <w:ilvl w:val="1"/>
          <w:numId w:val="11"/>
        </w:numPr>
        <w:spacing w:after="160" w:line="360" w:lineRule="auto"/>
        <w:rPr>
          <w:rFonts w:ascii="Times New Roman" w:hAnsi="Times New Roman"/>
          <w:sz w:val="24"/>
          <w:szCs w:val="24"/>
        </w:rPr>
      </w:pPr>
      <w:r w:rsidRPr="009666E0">
        <w:rPr>
          <w:rFonts w:ascii="Times New Roman" w:hAnsi="Times New Roman"/>
          <w:sz w:val="24"/>
          <w:szCs w:val="24"/>
        </w:rPr>
        <w:t xml:space="preserve">La independencia de cada miembro de una república, en cuanto ciudadano. </w:t>
      </w:r>
    </w:p>
    <w:p w14:paraId="5035C651" w14:textId="77777777" w:rsidR="00670045" w:rsidRPr="009666E0" w:rsidRDefault="00670045" w:rsidP="00670045">
      <w:pPr>
        <w:spacing w:line="360" w:lineRule="auto"/>
        <w:ind w:left="708"/>
        <w:rPr>
          <w:rFonts w:ascii="Times New Roman" w:hAnsi="Times New Roman"/>
          <w:sz w:val="24"/>
          <w:szCs w:val="24"/>
        </w:rPr>
      </w:pPr>
      <w:r w:rsidRPr="009666E0">
        <w:rPr>
          <w:rFonts w:ascii="Times New Roman" w:hAnsi="Times New Roman"/>
          <w:sz w:val="24"/>
          <w:szCs w:val="24"/>
        </w:rPr>
        <w:t>Estos principios no son leyes que dicta el Estado ya establecido, sino son las únicas conforme a las cuales es posible el establecimiento de un Estado según los puros principios racionales del derecho humano externo en general.” (TP; 1999, p. 260)</w:t>
      </w:r>
    </w:p>
    <w:p w14:paraId="12E8414E" w14:textId="65343D9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xml:space="preserve">, </w:t>
      </w:r>
      <w:r w:rsidRPr="009666E0">
        <w:rPr>
          <w:rFonts w:ascii="Times New Roman" w:hAnsi="Times New Roman"/>
          <w:sz w:val="24"/>
          <w:szCs w:val="24"/>
          <w:lang w:val="es-MX"/>
        </w:rPr>
        <w:t>en cuanto 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w:t>
      </w:r>
      <w:r w:rsidR="002E32FB">
        <w:rPr>
          <w:rFonts w:ascii="Times New Roman" w:hAnsi="Times New Roman"/>
          <w:sz w:val="24"/>
          <w:szCs w:val="24"/>
          <w:lang w:val="es-MX"/>
        </w:rPr>
        <w:t xml:space="preserve"> de forma independiente</w:t>
      </w:r>
      <w:r w:rsidRPr="009666E0">
        <w:rPr>
          <w:rFonts w:ascii="Times New Roman" w:hAnsi="Times New Roman"/>
          <w:sz w:val="24"/>
          <w:szCs w:val="24"/>
          <w:lang w:val="es-MX"/>
        </w:rPr>
        <w:t>.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xml:space="preserve">. Esto equivale a pensar en estos tres atributos como principios normativos de la condición de una persona en estado civil.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a excepción del soberano. Esta sujeción ante la ley resulta en la facultad que tenemos de coacción frente a los demás, para que se mantenga el orden civil de la libertad externa. </w:t>
      </w:r>
    </w:p>
    <w:p w14:paraId="372260BA" w14:textId="04143E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7B7CE71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último, además de la libertad para perseguir la propia felicidad y la igualdad ante la ley, Kant resalta un tercer atributo fundamental: “La independencia de un miembro de la república en cuanto ciudadano, es decir, en cuanto colegislador.”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Como se ha referido antes, para Kant, este contrato: “no es preciso en modo alguno suponer que se trata de un hecho (…) Por el contrario, se trata de una mera idea de la razón </w:t>
      </w:r>
      <w:r w:rsidRPr="009666E0">
        <w:rPr>
          <w:rFonts w:ascii="Times New Roman" w:hAnsi="Times New Roman"/>
          <w:sz w:val="24"/>
          <w:szCs w:val="24"/>
          <w:lang w:val="es-MX"/>
        </w:rPr>
        <w:lastRenderedPageBreak/>
        <w:t>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45225B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 cuerpo político legítimo es la preservación, extensión y seguridad de la libertad humana. </w:t>
      </w:r>
    </w:p>
    <w:p w14:paraId="768CAAC7" w14:textId="53F84AE4"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se plantea la posibilidad de que el pueblo sintiera que el soberano no ha cumplido con su parte del contrato y no ha permitido una libertad civil, o bien, de que existiera injusticia, es decir, de que no hubiera realmente un estado de derecho. En tal caso, el 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C36EAFB" w14:textId="3B978DED" w:rsidR="00E13B36" w:rsidRDefault="00E13B3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Pr>
          <w:rFonts w:ascii="Times New Roman" w:hAnsi="Times New Roman"/>
          <w:sz w:val="24"/>
          <w:szCs w:val="24"/>
          <w:lang w:val="es-MX"/>
        </w:rPr>
        <w:t>que,</w:t>
      </w:r>
      <w:r>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w:t>
      </w:r>
      <w:r w:rsidRPr="009666E0">
        <w:rPr>
          <w:rFonts w:ascii="Times New Roman" w:hAnsi="Times New Roman"/>
          <w:sz w:val="24"/>
          <w:szCs w:val="24"/>
          <w:lang w:val="es-MX"/>
        </w:rPr>
        <w:lastRenderedPageBreak/>
        <w:t xml:space="preserve">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18924C6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w:t>
      </w:r>
      <w:r w:rsidRPr="009666E0">
        <w:rPr>
          <w:rFonts w:ascii="Times New Roman" w:hAnsi="Times New Roman"/>
          <w:sz w:val="24"/>
          <w:szCs w:val="24"/>
          <w:lang w:val="es-MX"/>
        </w:rPr>
        <w:lastRenderedPageBreak/>
        <w:t xml:space="preserve">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15FFAAB6"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883DC9C" w14:textId="13637915" w:rsidR="005D5E9C" w:rsidRPr="009666E0" w:rsidRDefault="005D5E9C"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Existe, sin embargo, una posible tensión entre el concepto de consentimiento y de no insurrección o rebeldía. Como se ha discutido en este apartado, gracias al concepto de libertad externa, puede pensarse en un horizonte de la co-legislación y la participación deliberativa mediante el uso público de la razón, lo cuál no equivale a que todos tengan que legislar, sino que todos los que hagan leyes, incluso si fuera solo un monarca el que dictaminara leyes, debe hacerlo de acuerdo a una voluntad general y omnilateral, ante la cual cualquiera, incluido sí mismo, pueda ofrecer su sincero consentimiento ante dichas leyes, en nombre del bien de los asuntos públicos. </w:t>
      </w:r>
    </w:p>
    <w:p w14:paraId="202DBE75" w14:textId="0903C83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w:t>
      </w:r>
      <w:r w:rsidR="005D5E9C">
        <w:rPr>
          <w:rFonts w:ascii="Times New Roman" w:hAnsi="Times New Roman"/>
          <w:sz w:val="24"/>
          <w:szCs w:val="24"/>
          <w:lang w:val="es-MX"/>
        </w:rPr>
        <w:t xml:space="preserve"> de las leyes</w:t>
      </w:r>
      <w:r w:rsidRPr="009666E0">
        <w:rPr>
          <w:rFonts w:ascii="Times New Roman" w:hAnsi="Times New Roman"/>
          <w:sz w:val="24"/>
          <w:szCs w:val="24"/>
          <w:lang w:val="es-MX"/>
        </w:rPr>
        <w:t xml:space="preserve">,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de gentes hacia el derecho cosmopolita.  La propuesta republicana de Kant es 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w:t>
      </w:r>
      <w:r w:rsidRPr="009666E0">
        <w:rPr>
          <w:rFonts w:ascii="Times New Roman" w:hAnsi="Times New Roman"/>
          <w:sz w:val="24"/>
          <w:szCs w:val="24"/>
          <w:lang w:val="es-MX"/>
        </w:rPr>
        <w:lastRenderedPageBreak/>
        <w:t>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la facultad del consentimiento</w:t>
      </w:r>
      <w:r w:rsidR="008B7569">
        <w:rPr>
          <w:rFonts w:ascii="Times New Roman" w:hAnsi="Times New Roman"/>
          <w:sz w:val="24"/>
          <w:szCs w:val="24"/>
          <w:lang w:val="es-MX"/>
        </w:rPr>
        <w:t xml:space="preserve"> civil</w:t>
      </w:r>
      <w:r w:rsidRPr="009666E0">
        <w:rPr>
          <w:rFonts w:ascii="Times New Roman" w:hAnsi="Times New Roman"/>
          <w:sz w:val="24"/>
          <w:szCs w:val="24"/>
          <w:lang w:val="es-MX"/>
        </w:rPr>
        <w:t xml:space="preserve"> ante las leyes y se puede pensar su concepto como la elevación a una dignidad política.  Por estas razones, se puede interpretar esta dimensión de la libertad externa en cuanto una libertad política.</w:t>
      </w:r>
    </w:p>
    <w:p w14:paraId="161E7E6D" w14:textId="03779C58" w:rsidR="008B7569" w:rsidRPr="008B7569" w:rsidRDefault="008B756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Hace falta notar una discrepancia meramente nominal entre los textos de </w:t>
      </w:r>
      <w:r>
        <w:rPr>
          <w:rFonts w:ascii="Times New Roman" w:hAnsi="Times New Roman"/>
          <w:i/>
          <w:iCs/>
          <w:sz w:val="24"/>
          <w:szCs w:val="24"/>
          <w:lang w:val="es-MX"/>
        </w:rPr>
        <w:t xml:space="preserve">Teoría y Práctica </w:t>
      </w:r>
      <w:r>
        <w:rPr>
          <w:rFonts w:ascii="Times New Roman" w:hAnsi="Times New Roman"/>
          <w:sz w:val="24"/>
          <w:szCs w:val="24"/>
          <w:lang w:val="es-MX"/>
        </w:rPr>
        <w:t xml:space="preserve">y la </w:t>
      </w:r>
      <w:r>
        <w:rPr>
          <w:rFonts w:ascii="Times New Roman" w:hAnsi="Times New Roman"/>
          <w:i/>
          <w:iCs/>
          <w:sz w:val="24"/>
          <w:szCs w:val="24"/>
          <w:lang w:val="es-MX"/>
        </w:rPr>
        <w:t xml:space="preserve"> Paz Perpetua</w:t>
      </w:r>
      <w:r>
        <w:rPr>
          <w:rFonts w:ascii="Times New Roman" w:hAnsi="Times New Roman"/>
          <w:sz w:val="24"/>
          <w:szCs w:val="24"/>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y política, corresponden a distintos ángulos de un concepto que es después de todo unitario y complejo. </w:t>
      </w:r>
    </w:p>
    <w:p w14:paraId="2E3DCBD5" w14:textId="155F37B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 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5CEAE4EA" w:rsidR="00670045" w:rsidRPr="009666E0" w:rsidRDefault="00A00F07"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Pr>
          <w:rFonts w:ascii="Times New Roman" w:hAnsi="Times New Roman"/>
          <w:sz w:val="24"/>
          <w:szCs w:val="24"/>
          <w:lang w:val="es-MX"/>
        </w:rPr>
        <w:t xml:space="preserve">a revisión actualizada del concepto de libertad externa. </w:t>
      </w:r>
      <w:r w:rsidR="00670045" w:rsidRPr="009666E0">
        <w:rPr>
          <w:rFonts w:ascii="Times New Roman" w:hAnsi="Times New Roman"/>
          <w:sz w:val="24"/>
          <w:szCs w:val="24"/>
          <w:lang w:val="es-MX"/>
        </w:rPr>
        <w:br w:type="page"/>
      </w:r>
    </w:p>
    <w:p w14:paraId="4DA38D74" w14:textId="77777777"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Capítulo 2: La Libertad externa y la doctrina del derecho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62A7702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Una comprehensiva revisión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 en consideración con diversos textos,</w:t>
      </w:r>
      <w:r w:rsidR="00290825">
        <w:rPr>
          <w:rFonts w:ascii="Times New Roman" w:hAnsi="Times New Roman"/>
          <w:sz w:val="24"/>
          <w:szCs w:val="24"/>
        </w:rPr>
        <w:t xml:space="preserve"> </w:t>
      </w:r>
      <w:r w:rsidRPr="009666E0">
        <w:rPr>
          <w:rFonts w:ascii="Times New Roman" w:hAnsi="Times New Roman"/>
          <w:sz w:val="24"/>
          <w:szCs w:val="24"/>
        </w:rPr>
        <w:t>que permiten una comprensión panorámica de su pensamiento como una unidad articulada.</w:t>
      </w:r>
      <w:r w:rsidR="00290825">
        <w:rPr>
          <w:rFonts w:ascii="Times New Roman" w:hAnsi="Times New Roman"/>
          <w:sz w:val="24"/>
          <w:szCs w:val="24"/>
        </w:rPr>
        <w:t xml:space="preserve"> Este capítulo busca considerar algunos temas que desarrolla la autora para poder complementar la delimitación de la idea de libertad externa.</w:t>
      </w:r>
    </w:p>
    <w:p w14:paraId="33636BAD" w14:textId="49E8CFB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Su libro tiene </w:t>
      </w:r>
      <w:r w:rsidR="00462C0B">
        <w:rPr>
          <w:rFonts w:ascii="Times New Roman" w:hAnsi="Times New Roman"/>
          <w:sz w:val="24"/>
          <w:szCs w:val="24"/>
        </w:rPr>
        <w:t>valiosas apreciaciones</w:t>
      </w:r>
      <w:r w:rsidRPr="009666E0">
        <w:rPr>
          <w:rFonts w:ascii="Times New Roman" w:hAnsi="Times New Roman"/>
          <w:sz w:val="24"/>
          <w:szCs w:val="24"/>
        </w:rPr>
        <w:t xml:space="preserve"> sobre el pensamiento político de Kant. En primer lugar, que la doctrina del derecho refuerza y presupone la idea de una metafísica crítica de principios normativos para la práctica, y que ello se traduce en su propuesta de filosofía política. La autora es clara en señalar que la tendencia general hasta entonces, en los debates contemporáneos, ha sido mayormente de rechazo a la metafísica para los asuntos políticos, mientras que, ella busca reivindicar ese papel desde el pensamiento de Kant. Esto se encuentra dirigido principalmente en contra de la intención de alejar a Kant de conceptos metafísicos, tal como se puede apreciar en algunas obras de Habermas y Rawls. La línea que enfatiza Flikschuh, y busca rescatar este papel de la metafísica, proviene </w:t>
      </w:r>
      <w:r w:rsidR="008B7569">
        <w:rPr>
          <w:rFonts w:ascii="Times New Roman" w:hAnsi="Times New Roman"/>
          <w:sz w:val="24"/>
          <w:szCs w:val="24"/>
        </w:rPr>
        <w:t xml:space="preserve">en gran medida de Körner y su concepto de marco categorial. </w:t>
      </w:r>
      <w:r w:rsidRPr="009666E0">
        <w:rPr>
          <w:rFonts w:ascii="Times New Roman" w:hAnsi="Times New Roman"/>
          <w:sz w:val="24"/>
          <w:szCs w:val="24"/>
        </w:rPr>
        <w:t xml:space="preserve">De esta forma, Flikschuh nos recuerda que Kant no elimina la metafísica, sino que desarrolla una de perfil crítico y </w:t>
      </w:r>
      <w:proofErr w:type="spellStart"/>
      <w:r w:rsidRPr="009666E0">
        <w:rPr>
          <w:rFonts w:ascii="Times New Roman" w:hAnsi="Times New Roman"/>
          <w:sz w:val="24"/>
          <w:szCs w:val="24"/>
        </w:rPr>
        <w:t>antidogmático</w:t>
      </w:r>
      <w:proofErr w:type="spellEnd"/>
      <w:r w:rsidRPr="009666E0">
        <w:rPr>
          <w:rFonts w:ascii="Times New Roman" w:hAnsi="Times New Roman"/>
          <w:sz w:val="24"/>
          <w:szCs w:val="24"/>
        </w:rPr>
        <w:t>, no solo siendo útil su papel para el debate práctico político, sino que</w:t>
      </w:r>
      <w:r w:rsidR="00290825">
        <w:rPr>
          <w:rFonts w:ascii="Times New Roman" w:hAnsi="Times New Roman"/>
          <w:sz w:val="24"/>
          <w:szCs w:val="24"/>
        </w:rPr>
        <w:t>, para ella,</w:t>
      </w:r>
      <w:r w:rsidRPr="009666E0">
        <w:rPr>
          <w:rFonts w:ascii="Times New Roman" w:hAnsi="Times New Roman"/>
          <w:sz w:val="24"/>
          <w:szCs w:val="24"/>
        </w:rPr>
        <w:t xml:space="preserve"> es hasta indispensable e ineludible. </w:t>
      </w:r>
    </w:p>
    <w:p w14:paraId="769C789A"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En segundo lugar, según Flikschuh, de la idea de libertad externa</w:t>
      </w:r>
      <w:r w:rsidR="00290825">
        <w:rPr>
          <w:rFonts w:ascii="Times New Roman" w:hAnsi="Times New Roman"/>
          <w:sz w:val="24"/>
          <w:szCs w:val="24"/>
        </w:rPr>
        <w:t xml:space="preserve"> y su base sobre el principio universal del derecho, en cuanto una libertad recíproca,</w:t>
      </w:r>
      <w:r w:rsidRPr="009666E0">
        <w:rPr>
          <w:rFonts w:ascii="Times New Roman" w:hAnsi="Times New Roman"/>
          <w:sz w:val="24"/>
          <w:szCs w:val="24"/>
        </w:rPr>
        <w:t xml:space="preserve"> se deriva</w:t>
      </w:r>
      <w:r w:rsidR="00290825">
        <w:rPr>
          <w:rFonts w:ascii="Times New Roman" w:hAnsi="Times New Roman"/>
          <w:sz w:val="24"/>
          <w:szCs w:val="24"/>
        </w:rPr>
        <w:t xml:space="preserve"> la necesidad de</w:t>
      </w:r>
      <w:r w:rsidRPr="009666E0">
        <w:rPr>
          <w:rFonts w:ascii="Times New Roman" w:hAnsi="Times New Roman"/>
          <w:sz w:val="24"/>
          <w:szCs w:val="24"/>
        </w:rPr>
        <w:t xml:space="preserve"> una noción de la propiedad privada, lo cual resulta en una obligación política mutua en un estado civil, resaltando así el carácter isométrico de la libertad jurídica. La raíz de esta obligación política recíproca radica en la idea de una voluntad unificada. Esto incluye el reconocimiento por parte de la autora de los legítimos intereses económicos o de propiedad a la hora de pensar en la voluntad de la libertad externa y el contexto civil. Sin embargo, la libertad externa no se limita a los intereses económicos, sino que la obligación mutua supone una estructura deducida de la libertad, de sus alcances civiles, cuando son pensados como una voluntad unificada y en la posibilidad de la propiedad privada, todo lo cual compete a la idea de un contrato originario y con-formador de la sociedad en cuanto civil. Para la autora, este concepto de la obligación mutua, (que se extiende al análisis de la ley permisiva y considera </w:t>
      </w:r>
      <w:r w:rsidRPr="009666E0">
        <w:rPr>
          <w:rFonts w:ascii="Times New Roman" w:hAnsi="Times New Roman"/>
          <w:sz w:val="24"/>
          <w:szCs w:val="24"/>
        </w:rPr>
        <w:lastRenderedPageBreak/>
        <w:t xml:space="preserve">los alcances cosmopolitas implícitos), constituye lo principal de la doctrina del derecho de Kant y en ese sentido, de su pensamiento político. </w:t>
      </w:r>
    </w:p>
    <w:p w14:paraId="67E52FA5"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Por ello, para Flikschuh, la obligación mutua no se limita al asunto de la propiedad privada, sino que resalta el hecho de que la libertad externa requiere una institucionalización en un estado civil</w:t>
      </w:r>
      <w:r w:rsidR="004B1037">
        <w:rPr>
          <w:rFonts w:ascii="Times New Roman" w:hAnsi="Times New Roman"/>
          <w:sz w:val="24"/>
          <w:szCs w:val="24"/>
        </w:rPr>
        <w:t xml:space="preserve"> </w:t>
      </w:r>
      <w:r w:rsidRPr="009666E0">
        <w:rPr>
          <w:rFonts w:ascii="Times New Roman" w:hAnsi="Times New Roman"/>
          <w:sz w:val="24"/>
          <w:szCs w:val="24"/>
        </w:rPr>
        <w:t xml:space="preserve">y se prolonga de ese modo, hasta las implicaciones que fundamentan el derecho público. </w:t>
      </w:r>
      <w:r w:rsidR="004B1037">
        <w:rPr>
          <w:rFonts w:ascii="Times New Roman" w:hAnsi="Times New Roman"/>
          <w:sz w:val="24"/>
          <w:szCs w:val="24"/>
        </w:rPr>
        <w:t>L</w:t>
      </w:r>
      <w:r w:rsidRPr="009666E0">
        <w:rPr>
          <w:rFonts w:ascii="Times New Roman" w:hAnsi="Times New Roman"/>
          <w:sz w:val="24"/>
          <w:szCs w:val="24"/>
        </w:rPr>
        <w:t>a libertad externa debe regularse para alcanzar un estado civil, y de ello se despliega el concepto de una obligación mutua</w:t>
      </w:r>
      <w:r w:rsidR="004B1037">
        <w:rPr>
          <w:rFonts w:ascii="Times New Roman" w:hAnsi="Times New Roman"/>
          <w:sz w:val="24"/>
          <w:szCs w:val="24"/>
        </w:rPr>
        <w:t xml:space="preserve"> de todos quienes participan de un acuerdo originario</w:t>
      </w:r>
      <w:r w:rsidRPr="009666E0">
        <w:rPr>
          <w:rFonts w:ascii="Times New Roman" w:hAnsi="Times New Roman"/>
          <w:sz w:val="24"/>
          <w:szCs w:val="24"/>
        </w:rPr>
        <w:t>.</w:t>
      </w:r>
    </w:p>
    <w:p w14:paraId="4EDA1529" w14:textId="3A0D6167" w:rsidR="00670045" w:rsidRPr="009666E0" w:rsidRDefault="004B1037" w:rsidP="00670045">
      <w:pPr>
        <w:spacing w:line="360" w:lineRule="auto"/>
        <w:rPr>
          <w:rFonts w:ascii="Times New Roman" w:hAnsi="Times New Roman"/>
          <w:sz w:val="24"/>
          <w:szCs w:val="24"/>
        </w:rPr>
      </w:pPr>
      <w:r>
        <w:rPr>
          <w:rFonts w:ascii="Times New Roman" w:hAnsi="Times New Roman"/>
          <w:sz w:val="24"/>
          <w:szCs w:val="24"/>
        </w:rPr>
        <w:t>Es interesante tener en cuenta que a Kant no se le traduce el concepto como un contrato original, que tiene un matiz distinto en la perspectiva de otros autores. Algo original, en este caso, parece apuntar al origen teórico de algo.</w:t>
      </w:r>
      <w:r w:rsidR="00670045" w:rsidRPr="009666E0">
        <w:rPr>
          <w:rFonts w:ascii="Times New Roman" w:hAnsi="Times New Roman"/>
          <w:sz w:val="24"/>
          <w:szCs w:val="24"/>
        </w:rPr>
        <w:t xml:space="preserve"> </w:t>
      </w:r>
      <w:r>
        <w:rPr>
          <w:rFonts w:ascii="Times New Roman" w:hAnsi="Times New Roman"/>
          <w:sz w:val="24"/>
          <w:szCs w:val="24"/>
        </w:rPr>
        <w:t xml:space="preserve">En la situación del pensamiento de Kant, se traduce como “contrato originario”, por cuanto es fundador y propulsor de una idea normativa para la práctica concreta. </w:t>
      </w:r>
    </w:p>
    <w:p w14:paraId="7BFDDBE3"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para Flikschuh, la libertad externa representa una obligación mutua que se encuentra regulada por la idea de una voz unificada del pueblo, de acuerdo a un contrato originario y de interés republicano en cuanto forma de gobierno que se oponga a todo despotismo e instaure un estado civil. Solo en dicho horizonte sería posible una propiedad perenne y no una provisional. </w:t>
      </w:r>
    </w:p>
    <w:p w14:paraId="1F6A98B1" w14:textId="4D19C8E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fuerza de esta idea no se limita al entorno doméstico, sino que alcanza una dimensión general, que trasciende las naciones particulares. Solo podrían existir plena justicia y paz en un marco global y no limitadamente regional. Lo mismo ocurre con la propiedad privada que está implicada en el concepto de libertad externa, ya que presupone un marco jurídico y civil para poder tener garantías</w:t>
      </w:r>
      <w:r w:rsidR="004B1037">
        <w:rPr>
          <w:rFonts w:ascii="Times New Roman" w:hAnsi="Times New Roman"/>
          <w:sz w:val="24"/>
          <w:szCs w:val="24"/>
        </w:rPr>
        <w:t xml:space="preserve"> </w:t>
      </w:r>
      <w:proofErr w:type="spellStart"/>
      <w:r w:rsidR="004B1037">
        <w:rPr>
          <w:rFonts w:ascii="Times New Roman" w:hAnsi="Times New Roman"/>
          <w:sz w:val="24"/>
          <w:szCs w:val="24"/>
        </w:rPr>
        <w:t>omnilaterales</w:t>
      </w:r>
      <w:proofErr w:type="spellEnd"/>
      <w:r w:rsidRPr="009666E0">
        <w:rPr>
          <w:rFonts w:ascii="Times New Roman" w:hAnsi="Times New Roman"/>
          <w:sz w:val="24"/>
          <w:szCs w:val="24"/>
        </w:rPr>
        <w:t xml:space="preserve">. </w:t>
      </w:r>
    </w:p>
    <w:p w14:paraId="483B18D1"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Una tercera tesis complementaria a las anteriores supone el papel del pensamiento cosmopolita y cómo </w:t>
      </w:r>
      <w:r w:rsidR="004B1037">
        <w:rPr>
          <w:rFonts w:ascii="Times New Roman" w:hAnsi="Times New Roman"/>
          <w:sz w:val="24"/>
          <w:szCs w:val="24"/>
        </w:rPr>
        <w:t>é</w:t>
      </w:r>
      <w:r w:rsidRPr="009666E0">
        <w:rPr>
          <w:rFonts w:ascii="Times New Roman" w:hAnsi="Times New Roman"/>
          <w:sz w:val="24"/>
          <w:szCs w:val="24"/>
        </w:rPr>
        <w:t xml:space="preserve">ste se encuentra enraizado en toda la propuesta de su pensamiento político, que se estructura alrededor de la idea de una libertad externa, en cuanto condición jurídica y civil de cada persona, no a un nivel de naciones, sino a uno de miras de alcance mundial. </w:t>
      </w:r>
    </w:p>
    <w:p w14:paraId="57708D20" w14:textId="0EF771B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Para Flikschuh, la obligación mutua que contiene la libertad externa, y que nos compele a entrar en relaciones de cooperación es</w:t>
      </w:r>
      <w:r w:rsidR="004B1037">
        <w:rPr>
          <w:rFonts w:ascii="Times New Roman" w:hAnsi="Times New Roman"/>
          <w:sz w:val="24"/>
          <w:szCs w:val="24"/>
        </w:rPr>
        <w:t>,</w:t>
      </w:r>
      <w:r w:rsidRPr="009666E0">
        <w:rPr>
          <w:rFonts w:ascii="Times New Roman" w:hAnsi="Times New Roman"/>
          <w:sz w:val="24"/>
          <w:szCs w:val="24"/>
        </w:rPr>
        <w:t xml:space="preserve"> </w:t>
      </w:r>
      <w:r w:rsidR="004B1037">
        <w:rPr>
          <w:rFonts w:ascii="Times New Roman" w:hAnsi="Times New Roman"/>
          <w:sz w:val="24"/>
          <w:szCs w:val="24"/>
        </w:rPr>
        <w:t>desde</w:t>
      </w:r>
      <w:r w:rsidRPr="009666E0">
        <w:rPr>
          <w:rFonts w:ascii="Times New Roman" w:hAnsi="Times New Roman"/>
          <w:sz w:val="24"/>
          <w:szCs w:val="24"/>
        </w:rPr>
        <w:t xml:space="preserve"> su concepción, de naturaleza esencialmente cosmopolita. Es importante enfatizar, como lo hace Flikschuh, que la naturaleza cosmopolita de la propuesta del pensamiento político de Kant, no es un agregado final, o un resultado </w:t>
      </w:r>
      <w:r w:rsidRPr="009666E0">
        <w:rPr>
          <w:rFonts w:ascii="Times New Roman" w:hAnsi="Times New Roman"/>
          <w:sz w:val="24"/>
          <w:szCs w:val="24"/>
        </w:rPr>
        <w:lastRenderedPageBreak/>
        <w:t xml:space="preserve">lineal de lo anterior, sino que su propuesta tiene precisamente por base un carácter de alcance general y de interés </w:t>
      </w:r>
      <w:r w:rsidR="00605106">
        <w:rPr>
          <w:rFonts w:ascii="Times New Roman" w:hAnsi="Times New Roman"/>
          <w:sz w:val="24"/>
          <w:szCs w:val="24"/>
        </w:rPr>
        <w:t>universal</w:t>
      </w:r>
      <w:r w:rsidRPr="009666E0">
        <w:rPr>
          <w:rFonts w:ascii="Times New Roman" w:hAnsi="Times New Roman"/>
          <w:sz w:val="24"/>
          <w:szCs w:val="24"/>
        </w:rPr>
        <w:t xml:space="preserve">. </w:t>
      </w:r>
    </w:p>
    <w:p w14:paraId="13E2E1C4" w14:textId="4D70FDD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consideración de Flikschuh en estas principales tesis supone, por lo tanto, una lectura del pensamiento político de Kant en virtud de resaltar el papel de la metafísica, del derecho como basado en una metafísica de la libertad</w:t>
      </w:r>
      <w:r w:rsidR="00605106">
        <w:rPr>
          <w:rFonts w:ascii="Times New Roman" w:hAnsi="Times New Roman"/>
          <w:sz w:val="24"/>
          <w:szCs w:val="24"/>
        </w:rPr>
        <w:t xml:space="preserve"> y, por lo tanto, </w:t>
      </w:r>
      <w:r w:rsidRPr="009666E0">
        <w:rPr>
          <w:rFonts w:ascii="Times New Roman" w:hAnsi="Times New Roman"/>
          <w:sz w:val="24"/>
          <w:szCs w:val="24"/>
        </w:rPr>
        <w:t>de la libertad externa en cuanto una obligación mutua y del cosmopolitismo como un elemento fundamental desde un inicio. En este capítulo, vamos a seguir</w:t>
      </w:r>
      <w:r w:rsidR="00605106">
        <w:rPr>
          <w:rFonts w:ascii="Times New Roman" w:hAnsi="Times New Roman"/>
          <w:sz w:val="24"/>
          <w:szCs w:val="24"/>
        </w:rPr>
        <w:t xml:space="preserve"> de cerca</w:t>
      </w:r>
      <w:r w:rsidRPr="009666E0">
        <w:rPr>
          <w:rFonts w:ascii="Times New Roman" w:hAnsi="Times New Roman"/>
          <w:sz w:val="24"/>
          <w:szCs w:val="24"/>
        </w:rPr>
        <w:t xml:space="preserve"> la argumentación de Flikschuh, para extraer una precisión del contexto y naturaleza del concepto de la libertad externa.</w:t>
      </w:r>
    </w:p>
    <w:p w14:paraId="01FBC737" w14:textId="1829488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Hay cuatro aspectos que perfilan la lectura de la doctrina del derecho para la autora, tal y como lo señala en la introducción. Ella </w:t>
      </w:r>
      <w:r w:rsidR="00605106">
        <w:rPr>
          <w:rFonts w:ascii="Times New Roman" w:hAnsi="Times New Roman"/>
          <w:sz w:val="24"/>
          <w:szCs w:val="24"/>
        </w:rPr>
        <w:t>refiere</w:t>
      </w:r>
      <w:r w:rsidRPr="009666E0">
        <w:rPr>
          <w:rFonts w:ascii="Times New Roman" w:hAnsi="Times New Roman"/>
          <w:sz w:val="24"/>
          <w:szCs w:val="24"/>
        </w:rPr>
        <w:t xml:space="preserve"> sobre estas cuatro características que: “La primera se refiere a la importancia de las restricciones naturales en relación a la agencia humana. La segunda es acerca de la noción de la finitud humana y la inevitable interdependencia entre sus agentes. El tercer aspecto es menos tangible y se refiere al concepto de la metafísica en el pensamiento político. (…) Debo agregar un cuarto elemento con la idea de libertad. Es poco sorprendente que la libertad sea central en la filosofía Política de Kant.” (</w:t>
      </w:r>
      <w:bookmarkStart w:id="4" w:name="_Hlk222313910"/>
      <w:r w:rsidRPr="009666E0">
        <w:rPr>
          <w:rFonts w:ascii="Times New Roman" w:hAnsi="Times New Roman"/>
          <w:sz w:val="24"/>
          <w:szCs w:val="24"/>
        </w:rPr>
        <w:t xml:space="preserve">2000; </w:t>
      </w:r>
      <w:bookmarkEnd w:id="4"/>
      <w:r w:rsidRPr="009666E0">
        <w:rPr>
          <w:rFonts w:ascii="Times New Roman" w:hAnsi="Times New Roman"/>
          <w:sz w:val="24"/>
          <w:szCs w:val="24"/>
        </w:rPr>
        <w:t xml:space="preserve">p.2) </w:t>
      </w:r>
    </w:p>
    <w:p w14:paraId="3316467F" w14:textId="3820BE8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Respecto a los temas centrales que ella considera en su libro, para interpretar la doctrina del derecho, es importante resaltar que deja de lado el apartado sobre el derecho público, y se centra en la primera parte de la doctrina del derecho, designada al derecho privado (referido, dentro de otras cosas, como el ámbito de la propiedad privada</w:t>
      </w:r>
      <w:r w:rsidR="00605106">
        <w:rPr>
          <w:rFonts w:ascii="Times New Roman" w:hAnsi="Times New Roman"/>
          <w:sz w:val="24"/>
          <w:szCs w:val="24"/>
        </w:rPr>
        <w:t xml:space="preserve"> y los contratos</w:t>
      </w:r>
      <w:r w:rsidRPr="009666E0">
        <w:rPr>
          <w:rFonts w:ascii="Times New Roman" w:hAnsi="Times New Roman"/>
          <w:sz w:val="24"/>
          <w:szCs w:val="24"/>
        </w:rPr>
        <w:t xml:space="preserve">) y en la parte que se designa al derecho cosmopolita. Ella señala que: “Mi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 </w:t>
      </w:r>
    </w:p>
    <w:p w14:paraId="789B54D8" w14:textId="2530436E" w:rsidR="00670045" w:rsidRPr="009666E0" w:rsidRDefault="00670045" w:rsidP="00670045">
      <w:pPr>
        <w:spacing w:line="360" w:lineRule="auto"/>
        <w:rPr>
          <w:rFonts w:ascii="Times New Roman" w:hAnsi="Times New Roman"/>
          <w:sz w:val="24"/>
          <w:szCs w:val="24"/>
        </w:rPr>
      </w:pPr>
      <w:r w:rsidRPr="001B2AD1">
        <w:rPr>
          <w:rFonts w:ascii="Times New Roman" w:hAnsi="Times New Roman"/>
          <w:color w:val="000000" w:themeColor="text1"/>
          <w:sz w:val="24"/>
          <w:szCs w:val="24"/>
        </w:rPr>
        <w:t>Esta puntualización define la lectura de la doctrina del derecho que hace Flikschuh</w:t>
      </w:r>
      <w:r w:rsidR="00605106" w:rsidRPr="001B2AD1">
        <w:rPr>
          <w:rFonts w:ascii="Times New Roman" w:hAnsi="Times New Roman"/>
          <w:color w:val="000000" w:themeColor="text1"/>
          <w:sz w:val="24"/>
          <w:szCs w:val="24"/>
        </w:rPr>
        <w:t xml:space="preserve"> </w:t>
      </w:r>
      <w:r w:rsidRPr="001B2AD1">
        <w:rPr>
          <w:rFonts w:ascii="Times New Roman" w:hAnsi="Times New Roman"/>
          <w:color w:val="000000" w:themeColor="text1"/>
          <w:sz w:val="24"/>
          <w:szCs w:val="24"/>
        </w:rPr>
        <w:t xml:space="preserve">y se centrará a lo largo de su libro en por lo menos dos elementos constitutivos y fundacionales para interpretar el pensamiento político de Kant. Estos elementos son la idea del deseo de propiedad privada como la raíz de un orden civil y la idea de una ley permisiva antes del estado de derecho. Estos dos aspectos apuntan al origen y razón de ser de una sociedad con leyes y en donde se despliega una libertad externa. Los elementos en que Flikschuh </w:t>
      </w:r>
      <w:r w:rsidRPr="009666E0">
        <w:rPr>
          <w:rFonts w:ascii="Times New Roman" w:hAnsi="Times New Roman"/>
          <w:sz w:val="24"/>
          <w:szCs w:val="24"/>
        </w:rPr>
        <w:t xml:space="preserve">se </w:t>
      </w:r>
      <w:r w:rsidRPr="009666E0">
        <w:rPr>
          <w:rFonts w:ascii="Times New Roman" w:hAnsi="Times New Roman"/>
          <w:sz w:val="24"/>
          <w:szCs w:val="24"/>
        </w:rPr>
        <w:lastRenderedPageBreak/>
        <w:t xml:space="preserve">enfocará representan condiciones de posibilidad para la existencia de un orden político de acuerdo a la forma de gobierno republicana que delinea Kant en la sección que se refiere a la administración del gobierno de los estados, es decir, sobre el derecho público.  </w:t>
      </w:r>
    </w:p>
    <w:p w14:paraId="7A12EA16"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Sobre la recepción de la doctrina del derecho, la autora indica que: “El texto originalmente publicado ha impactado a una generación de escolares de Kant no solo como oscura, sino como directamente confundida. (…) La manera de argumentar de Kant les ha parecido a muchos lectores pacientes como frustrantemente indisciplinada, confundida, incluso como incoherente. La famosa tesis de la senilidad en la consecuente virtualmente completa negligencia de la doctrina del derecho tiene sus orígenes en estas distorsiones textuales y en la resultante sensación de frustración. (2000; p.8) Sin embargo, de acuerdo a B. Ludwig, ella atribuye el efecto posible de confusión a problemas editoriales, cuando señala que: “Una alternativa de interpretación influyente de la doctrina del derecho fue presentada por Bernd Ludwig en 1986. De acuerdo a Ludwig, las distorsiones textuales no son un reflejo del estado mental de Kant en el tiempo en que escribió, sino que son el producto de errores editoriales en la etapa de impresión sobre las cuales Kant no tenía control.” (2000; p.9)</w:t>
      </w:r>
    </w:p>
    <w:p w14:paraId="42AB4581"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Consideradas estas ideas introductorias sobre el libro de Flikschuh, podemos pasar a analizar los primeros capítulos. En la introducción se había anticipado lo siguiente respecto al tema central del primer capítulo: “Es un postulado central de este libro que la absorción del pensamiento político de Kant en el liberalismo contemporáneo es a lo mucho parcial.” (2000; p.2) y había agregado en seguida que: “Los escritos políticos de Kant, especialmente la doctrina del derecho, continúan siendo vistos negligentemente por los contemporáneos liberales.” (2000; p.3)</w:t>
      </w:r>
    </w:p>
    <w:p w14:paraId="3F9634E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primer capítulo, llamado: “La metafísica kantiana en el liberalismo contemporáneo” la autora sostiene la primera tesis del libro. 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 Una de las características que define el pensamiento político filosófico de Kant, apartado de las del liberalismo contemporáneo, es su soporte explícito hacia la metafísica.” (2000; p.5)</w:t>
      </w:r>
    </w:p>
    <w:p w14:paraId="0078C0B1"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Respecto de los conceptos metafísicos que forman la base del pensamiento político de Kant, Flikschuh identifica que: “La metafísica de la justicia de Kant está basada en las perspectivas de la libertad y las restricciones de la naturaleza, y su eventual reconciliación por medio de un acto de un juicio práctico político que refleja la concepción positiva de Kant sobre la finitud humana. En otras palabras, la idea de libertad, las restricciones naturales y una concepción particular de finitud humana en relación al razonamiento político práctico informa de una subyacente estructura categórica o marco categorial en la doctrina del derecho de Kant. Es la presencia de este subyacente marco categorial o encuadre metafísico, lo que da forma al pensamiento político de Kant y lo deja últimamente en una perspectiva muy diferente de aquella de los liberalistas contemporáneos.” (2000; p.6) </w:t>
      </w:r>
    </w:p>
    <w:p w14:paraId="3384E4F3"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primer capítulo, la autora se remite a lo que S. Körner se refiere como un marco categorial. Ella señala que: “Al desarrollar una noción de un marco categorial (…) espero conseguir un delineado de una posible aproximación a la metafísica de Kant. Esto proveería una estructura unificante para los argumentos exegéticos presentados en los capítulos subsecuentes. Sin anticipar mucho,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 (2000; p.13)</w:t>
      </w:r>
    </w:p>
    <w:p w14:paraId="0C4FFCE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lo comprensivo, se considera, que incluye el compromiso público a unas presuposiciones de una metafísica particular que soportan la perspectiva del bien en cuestión.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(2000; p.13) Como una posibilidad </w:t>
      </w:r>
      <w:r w:rsidRPr="009666E0">
        <w:rPr>
          <w:rFonts w:ascii="Times New Roman" w:hAnsi="Times New Roman"/>
          <w:sz w:val="24"/>
          <w:szCs w:val="24"/>
        </w:rPr>
        <w:lastRenderedPageBreak/>
        <w:t xml:space="preserve">contraria, la autora propone que la tesis podría tener la carga 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73A6A30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Flikschuh separa varios bandos en la controversia, para analizar el impacto de Kant y resaltar la repetida negligencia de la dimensión metafísica. Ella señala a los liberales clásicos, los liberales críticos y los comunitaristas, aunque se centra en los dos primeros. La autora, de esta forma, sobre los primeros, refiere que: “Dibujo una distinción entre los 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 (2000; p.14)</w:t>
      </w:r>
    </w:p>
    <w:p w14:paraId="5AC8B84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Luego, Flikschuh, retrata a los comunitaristas como críticos de los liberales, pero no como propulsores de propuestas. Así, ella refiere que: “El trasfondo intelectual del comunitarismo es más diverso. Los autores comunitaristas toman de las filosofías de Aristóteles, Hegel y el segundo Wittgenstein. Lo que les une es una versión común en contra de la abstracción filosófica y la gran teorización. En contra de esto, los comunitaristas enfatizan la atención al detalle, la sensibilidad contextual y la 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 (2000; p.14)</w:t>
      </w:r>
    </w:p>
    <w:p w14:paraId="6151E8D6"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último, Flikschuh señala que: “Finalmente está el liberalismo crítico. A pesar de ser más influyente en la Europa continental, ofrece una contraparte interesante al liberalismo clásico. Respecto de la recepción de la metafísica kantiana, como su nombre sugiere, el </w:t>
      </w:r>
      <w:r w:rsidRPr="009666E0">
        <w:rPr>
          <w:rFonts w:ascii="Times New Roman" w:hAnsi="Times New Roman"/>
          <w:sz w:val="24"/>
          <w:szCs w:val="24"/>
        </w:rPr>
        <w:lastRenderedPageBreak/>
        <w:t xml:space="preserve">liberalismo crítico fue desarrollado desde la teoría crítica, sacando ideas de Marx, Weber, Adorno y Horkheimer, entre otros. Para ellos, el liberalismo crítico agrega la idea de estado de derecho, lo que </w:t>
      </w:r>
      <w:proofErr w:type="gramStart"/>
      <w:r w:rsidRPr="009666E0">
        <w:rPr>
          <w:rFonts w:ascii="Times New Roman" w:hAnsi="Times New Roman"/>
          <w:sz w:val="24"/>
          <w:szCs w:val="24"/>
        </w:rPr>
        <w:t>les</w:t>
      </w:r>
      <w:proofErr w:type="gramEnd"/>
      <w:r w:rsidRPr="009666E0">
        <w:rPr>
          <w:rFonts w:ascii="Times New Roman" w:hAnsi="Times New Roman"/>
          <w:sz w:val="24"/>
          <w:szCs w:val="24"/>
        </w:rPr>
        <w:t xml:space="preserve"> vincula a la filosofía política de Kant.” (2000; p.15)</w:t>
      </w:r>
    </w:p>
    <w:p w14:paraId="1E5E354F"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la consideración de estos tres amplios bandos, la autora considera que difícilmente se puede tomar la etiqueta como una categoría cerrada y restrictiva, por cuanto: “Esta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 (2000; p.15) Para la autora, esto último es lo fundamental, por cuanto, por lo general, estos bandos conceden el despliegue de lo metafísico a nivel personal, pero no en un sentido público. </w:t>
      </w:r>
    </w:p>
    <w:p w14:paraId="1F2FC9D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este mismo último sentido, ella refiere que: “A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 (2000; p.20) Esto refuerza la idea que discute la autora, respecto a que la metafísica, por lo general, en las discusiones contemporáneas, ha sido relegada en todo esfuerzo teórico de filosofía política.</w:t>
      </w:r>
    </w:p>
    <w:p w14:paraId="075E915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Esto resulta en el corazón de la primera tesis de Flikschuh. Ella nos dirá que: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 (2000; p.20) En este sentido, la tesis central de la autora se encuentra dirigida a esos dos frentes, representados por Rawls y Habermas, en donde se sostiene que el papel de la metafísica en debates políticos no debería entenderse como meramente privado y que ese uso de la metafísica no tiene porqué desentenderse de la realidad como podría ocurrir en el horizonte de un idealismo extremo. Basta tener en cuenta la naturaleza de los principios que postula la razón pura práctica para poder considerar que su enfoque es normativo y apunta a concretar algo en la realidad, que muchas veces todavía no existe en lo concreto de la práctica, pero si en la fuerza de su idea regulativa. </w:t>
      </w:r>
    </w:p>
    <w:p w14:paraId="51FADA2C" w14:textId="7146128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En el panorama de los tres bandos descritos, todos parecen sostener una idea en común, a pesar de sus diferencias. Flikschuh señala que: “La contención es directa, que las creencias metafísicas no son de importancia en el contexto de la justificación política.” (2000; p.21)</w:t>
      </w:r>
      <w:r w:rsidR="000C264A">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p>
    <w:p w14:paraId="1F90B7D5" w14:textId="2840D62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rescata cuatro elementos que deriva de la idea de marco categorial de Körner. Ella indica que: “El marco categorial de una persona tiene una evidente orientación epistemológica, reflejando asunciones particulares acerca de la condición de la experiencia cognitiva que no puedo discutir aquí. Sin embargo, cuatro características de la exposición de Korner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(2000; p.33) </w:t>
      </w:r>
    </w:p>
    <w:p w14:paraId="0DE924C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Estos cuatro elementos del marco categorial son el fundamento para interpretarle como la estructura de un trasfondo metafísico necesario e inevitable para toda persona, sin que se desentienda de la experiencia real. Flikschuh concluye que: “En suma, el pensamiento metafísico, entendido en términos de un marco categorial, constituye la reconstrucción reflectiva de una persona de su experiencia cognitiva del mundo público accesible a la estructura válida intersubjetiva de la cual el marco categorial apunta a identificar y elucidar para el propósito de guiar el pensamiento y la acción.” (2000; p.35)</w:t>
      </w:r>
    </w:p>
    <w:p w14:paraId="4435655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esta forma, la autora afirma que: “Ciertamente Korner explícitamente estipula que el marco categorial de una persona define su metafísica inmanente.” (2000; p.36) Y precisamente, en este sentido, Flikschuh aboga por “Defender la función pública de la metafísica en el pensamiento político.” (2000; p.47) </w:t>
      </w:r>
    </w:p>
    <w:p w14:paraId="4F7DECD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uso de la metafísica en la reflexión política, entendido de esta manera, no se desentiende del resto del sistema crítico del pensamiento de Kant. Flikschuh, en esta línea, estipula que: “La metafísica inmanente de Kant - la organización e integración de sus supremos principios teóricos y prácticos - está articulada en términos de su doctrina filosófica de idealismo trascendental.” (2000; p.48) </w:t>
      </w:r>
    </w:p>
    <w:p w14:paraId="2CF4927C" w14:textId="5B46D68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Flikschuh señala el encuadre de la doctrina del derecho, como parte de los esfuerzos de la razón práctica, en el escenario del contraste entre las leyes naturales y las leyes de la libertad. Este tema es desarrollado por Kant en la </w:t>
      </w:r>
      <w:r w:rsidRPr="000C264A">
        <w:rPr>
          <w:rFonts w:ascii="Times New Roman" w:hAnsi="Times New Roman"/>
          <w:i/>
          <w:iCs/>
          <w:sz w:val="24"/>
          <w:szCs w:val="24"/>
        </w:rPr>
        <w:t>C</w:t>
      </w:r>
      <w:r w:rsidR="000C264A" w:rsidRPr="000C264A">
        <w:rPr>
          <w:rFonts w:ascii="Times New Roman" w:hAnsi="Times New Roman"/>
          <w:i/>
          <w:iCs/>
          <w:sz w:val="24"/>
          <w:szCs w:val="24"/>
        </w:rPr>
        <w:t xml:space="preserve">rítica de la </w:t>
      </w:r>
      <w:r w:rsidRPr="000C264A">
        <w:rPr>
          <w:rFonts w:ascii="Times New Roman" w:hAnsi="Times New Roman"/>
          <w:i/>
          <w:iCs/>
          <w:sz w:val="24"/>
          <w:szCs w:val="24"/>
        </w:rPr>
        <w:t>R</w:t>
      </w:r>
      <w:r w:rsidR="000C264A" w:rsidRPr="000C264A">
        <w:rPr>
          <w:rFonts w:ascii="Times New Roman" w:hAnsi="Times New Roman"/>
          <w:i/>
          <w:iCs/>
          <w:sz w:val="24"/>
          <w:szCs w:val="24"/>
        </w:rPr>
        <w:t xml:space="preserve">azón </w:t>
      </w:r>
      <w:r w:rsidRPr="000C264A">
        <w:rPr>
          <w:rFonts w:ascii="Times New Roman" w:hAnsi="Times New Roman"/>
          <w:i/>
          <w:iCs/>
          <w:sz w:val="24"/>
          <w:szCs w:val="24"/>
        </w:rPr>
        <w:t>P</w:t>
      </w:r>
      <w:r w:rsidR="000C264A" w:rsidRPr="000C264A">
        <w:rPr>
          <w:rFonts w:ascii="Times New Roman" w:hAnsi="Times New Roman"/>
          <w:i/>
          <w:iCs/>
          <w:sz w:val="24"/>
          <w:szCs w:val="24"/>
        </w:rPr>
        <w:t>ura</w:t>
      </w:r>
      <w:r w:rsidRPr="009666E0">
        <w:rPr>
          <w:rFonts w:ascii="Times New Roman" w:hAnsi="Times New Roman"/>
          <w:sz w:val="24"/>
          <w:szCs w:val="24"/>
        </w:rPr>
        <w:t xml:space="preserve"> en la tercera antinomia de la razón, en donde se confronta la idea racional de causalidad</w:t>
      </w:r>
      <w:r w:rsidR="000C264A">
        <w:rPr>
          <w:rFonts w:ascii="Times New Roman" w:hAnsi="Times New Roman"/>
          <w:sz w:val="24"/>
          <w:szCs w:val="24"/>
        </w:rPr>
        <w:t xml:space="preserve"> material</w:t>
      </w:r>
      <w:r w:rsidRPr="009666E0">
        <w:rPr>
          <w:rFonts w:ascii="Times New Roman" w:hAnsi="Times New Roman"/>
          <w:sz w:val="24"/>
          <w:szCs w:val="24"/>
        </w:rPr>
        <w:t xml:space="preserve"> con la idea de libertad</w:t>
      </w:r>
      <w:r w:rsidR="000C264A">
        <w:rPr>
          <w:rFonts w:ascii="Times New Roman" w:hAnsi="Times New Roman"/>
          <w:sz w:val="24"/>
          <w:szCs w:val="24"/>
        </w:rPr>
        <w:t xml:space="preserve"> de la voluntad.</w:t>
      </w:r>
      <w:r w:rsidRPr="009666E0">
        <w:rPr>
          <w:rFonts w:ascii="Times New Roman" w:hAnsi="Times New Roman"/>
          <w:sz w:val="24"/>
          <w:szCs w:val="24"/>
        </w:rPr>
        <w:t xml:space="preserve"> Esta antigua controversia entre determinismo y libertad es resuelta de tal modo, que resulta fundamental para el ámbito del pensamiento político. Este tema se encuentra desarrollado más precisamente en el siguiente capítulo del libro de Flikschuh. </w:t>
      </w:r>
    </w:p>
    <w:p w14:paraId="3DA45B5D"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sentido en que Flikschuh rescata la solución de Kant al problema del libre albedrío, en el marco de su filosofía trascendental o crítica, es que ella establece una perspectiva para pensar en la libertad externa.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constricciones de la realidad empírica.” (2000; p.48)</w:t>
      </w:r>
    </w:p>
    <w:p w14:paraId="6551E11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primer capítulo del libro de Flikschuh concluye habiendo establecido la tesis de la importancia de la metafísica para la reflexión política, y abriendo paso a los elementos que constituyen los pilares de la metafísica particular que soporta el pensamiento político de Kant. En este sentido, ella refiere que: “La reconciliación entre la causalidad y la libertad en la doctrina del derecho puede ser concedida solo en términos prácticos, y esto presupone un reconocimiento de la finitud del conocimiento humano. En los siguientes capítulos, el tratamiento del concepto de causalidad, la idea de libertad y la noción de finitud humana se consideran como tres categorías centrales metafísicas que dan forma a la aproximación de Kant al problema del derecho en su doctrina.” (2000; p.48)</w:t>
      </w:r>
    </w:p>
    <w:p w14:paraId="11351530" w14:textId="2D6BEDC0" w:rsidR="00670045" w:rsidRPr="009666E0" w:rsidRDefault="00C3561F" w:rsidP="00670045">
      <w:pPr>
        <w:spacing w:line="360" w:lineRule="auto"/>
        <w:rPr>
          <w:rFonts w:ascii="Times New Roman" w:hAnsi="Times New Roman"/>
          <w:sz w:val="24"/>
          <w:szCs w:val="24"/>
        </w:rPr>
      </w:pPr>
      <w:r>
        <w:rPr>
          <w:rFonts w:ascii="Times New Roman" w:hAnsi="Times New Roman"/>
          <w:sz w:val="24"/>
          <w:szCs w:val="24"/>
        </w:rPr>
        <w:t>La autora realizará un</w:t>
      </w:r>
      <w:r w:rsidR="009323C5">
        <w:rPr>
          <w:rFonts w:ascii="Times New Roman" w:hAnsi="Times New Roman"/>
          <w:sz w:val="24"/>
          <w:szCs w:val="24"/>
        </w:rPr>
        <w:t xml:space="preserve"> desarrollo de la idea de</w:t>
      </w:r>
      <w:r w:rsidR="00670045" w:rsidRPr="009666E0">
        <w:rPr>
          <w:rFonts w:ascii="Times New Roman" w:hAnsi="Times New Roman"/>
          <w:sz w:val="24"/>
          <w:szCs w:val="24"/>
        </w:rPr>
        <w:t xml:space="preserve">: “La metafísica de la libertad como una idea de la razón” y caracteriza al ámbito práctico en general, pero específicamente al concepto de libertad, como una idea que toma de modelo el tipo de leyes que existen en la naturaleza, por lo que su poder normativo se formula con la atribución de ser algo semejante-a-la-ley. (Flikschuh usa el término </w:t>
      </w:r>
      <w:proofErr w:type="spellStart"/>
      <w:r w:rsidR="00670045" w:rsidRPr="009666E0">
        <w:rPr>
          <w:rFonts w:ascii="Times New Roman" w:hAnsi="Times New Roman"/>
          <w:i/>
          <w:iCs/>
          <w:sz w:val="24"/>
          <w:szCs w:val="24"/>
        </w:rPr>
        <w:t>lawlikeness</w:t>
      </w:r>
      <w:proofErr w:type="spellEnd"/>
      <w:r w:rsidR="00670045" w:rsidRPr="009666E0">
        <w:rPr>
          <w:rFonts w:ascii="Times New Roman" w:hAnsi="Times New Roman"/>
          <w:sz w:val="24"/>
          <w:szCs w:val="24"/>
        </w:rPr>
        <w:t xml:space="preserve">). Además, la autora enfatiza el hecho de que la idea de libertad es una idea “compartida”. </w:t>
      </w:r>
    </w:p>
    <w:p w14:paraId="3C7A8025" w14:textId="7B1F75C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w:t>
      </w:r>
      <w:r w:rsidRPr="009666E0">
        <w:rPr>
          <w:rFonts w:ascii="Times New Roman" w:hAnsi="Times New Roman"/>
          <w:sz w:val="24"/>
          <w:szCs w:val="24"/>
        </w:rPr>
        <w:lastRenderedPageBreak/>
        <w:t>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(2000; p.50)</w:t>
      </w:r>
    </w:p>
    <w:p w14:paraId="4292DDA3" w14:textId="6A9F5BD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a la libertad, pensada desde su contexto y en virtud de un debate tradicional. Ella señala que: “El problema de la libertad en Kant no ha sido ignorado del todo, pero ha tendido a ocupar un lugar separado desde el que ha sido abordado como una versión del clásico debate entre voluntad libre y determinismo.” (2000; p.51) </w:t>
      </w:r>
      <w:r w:rsidR="008B4E13">
        <w:rPr>
          <w:rFonts w:ascii="Times New Roman" w:hAnsi="Times New Roman"/>
          <w:sz w:val="24"/>
          <w:szCs w:val="24"/>
        </w:rPr>
        <w:t>(</w:t>
      </w:r>
      <w:r w:rsidRPr="009666E0">
        <w:rPr>
          <w:rFonts w:ascii="Times New Roman" w:hAnsi="Times New Roman"/>
          <w:sz w:val="24"/>
          <w:szCs w:val="24"/>
        </w:rPr>
        <w:t>Esta controversia, en Kant,</w:t>
      </w:r>
      <w:r w:rsidR="008B4E13">
        <w:rPr>
          <w:rFonts w:ascii="Times New Roman" w:hAnsi="Times New Roman"/>
          <w:sz w:val="24"/>
          <w:szCs w:val="24"/>
        </w:rPr>
        <w:t xml:space="preserve"> como se ha comentado antes,</w:t>
      </w:r>
      <w:r w:rsidRPr="009666E0">
        <w:rPr>
          <w:rFonts w:ascii="Times New Roman" w:hAnsi="Times New Roman"/>
          <w:sz w:val="24"/>
          <w:szCs w:val="24"/>
        </w:rPr>
        <w:t xml:space="preserve"> se puede pensar bajo la consideración de que el ser humano parece pertenecer a dos ámbitos al mismo tiempo, a la causalidad natural y a la libertad moral.</w:t>
      </w:r>
      <w:r w:rsidR="008B4E13">
        <w:rPr>
          <w:rFonts w:ascii="Times New Roman" w:hAnsi="Times New Roman"/>
          <w:sz w:val="24"/>
          <w:szCs w:val="24"/>
        </w:rPr>
        <w:t>)</w:t>
      </w:r>
      <w:r w:rsidRPr="009666E0">
        <w:rPr>
          <w:rFonts w:ascii="Times New Roman" w:hAnsi="Times New Roman"/>
          <w:sz w:val="24"/>
          <w:szCs w:val="24"/>
        </w:rPr>
        <w:t xml:space="preserve"> Flikschuh defiende una lectura que no hace de Kant un compatibilista, ni un incompatibilista, sino algo distinto. </w:t>
      </w:r>
    </w:p>
    <w:p w14:paraId="174D9A06" w14:textId="17EF2B93"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sidR="008B4E13">
        <w:rPr>
          <w:rFonts w:ascii="Times New Roman" w:hAnsi="Times New Roman"/>
          <w:sz w:val="24"/>
          <w:szCs w:val="24"/>
        </w:rPr>
        <w:t>,</w:t>
      </w:r>
      <w:r w:rsidRPr="009666E0">
        <w:rPr>
          <w:rFonts w:ascii="Times New Roman" w:hAnsi="Times New Roman"/>
          <w:sz w:val="24"/>
          <w:szCs w:val="24"/>
        </w:rPr>
        <w:t xml:space="preserve"> por lo tanto</w:t>
      </w:r>
      <w:r w:rsidR="008B4E13">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(2000; p.51) </w:t>
      </w:r>
    </w:p>
    <w:p w14:paraId="171A898F"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(2000; p.53) </w:t>
      </w:r>
    </w:p>
    <w:p w14:paraId="5DF5A128" w14:textId="77777777" w:rsidR="008B4E13"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w:t>
      </w:r>
      <w:r w:rsidR="008B4E13" w:rsidRPr="008B4E13">
        <w:rPr>
          <w:rFonts w:ascii="Times New Roman" w:hAnsi="Times New Roman"/>
          <w:i/>
          <w:iCs/>
          <w:sz w:val="24"/>
          <w:szCs w:val="24"/>
        </w:rPr>
        <w:t xml:space="preserve">rítica de la </w:t>
      </w:r>
      <w:r w:rsidRPr="008B4E13">
        <w:rPr>
          <w:rFonts w:ascii="Times New Roman" w:hAnsi="Times New Roman"/>
          <w:i/>
          <w:iCs/>
          <w:sz w:val="24"/>
          <w:szCs w:val="24"/>
        </w:rPr>
        <w:t>R</w:t>
      </w:r>
      <w:r w:rsidR="008B4E13" w:rsidRPr="008B4E13">
        <w:rPr>
          <w:rFonts w:ascii="Times New Roman" w:hAnsi="Times New Roman"/>
          <w:i/>
          <w:iCs/>
          <w:sz w:val="24"/>
          <w:szCs w:val="24"/>
        </w:rPr>
        <w:t xml:space="preserve">azón </w:t>
      </w:r>
      <w:r w:rsidRPr="008B4E13">
        <w:rPr>
          <w:rFonts w:ascii="Times New Roman" w:hAnsi="Times New Roman"/>
          <w:i/>
          <w:iCs/>
          <w:sz w:val="24"/>
          <w:szCs w:val="24"/>
        </w:rPr>
        <w:t>P</w:t>
      </w:r>
      <w:r w:rsidR="008B4E13" w:rsidRPr="008B4E13">
        <w:rPr>
          <w:rFonts w:ascii="Times New Roman" w:hAnsi="Times New Roman"/>
          <w:i/>
          <w:iCs/>
          <w:sz w:val="24"/>
          <w:szCs w:val="24"/>
        </w:rPr>
        <w:t>ura</w:t>
      </w:r>
      <w:r w:rsidRPr="009666E0">
        <w:rPr>
          <w:rFonts w:ascii="Times New Roman" w:hAnsi="Times New Roman"/>
          <w:sz w:val="24"/>
          <w:szCs w:val="24"/>
        </w:rPr>
        <w:t xml:space="preserve">. Bajo su interpretación de la epistemología, con el giro copernicano que realiza, es posible distinguir una metafísica dogmática de una metafísica crítica. La primera puede entenderse como trascendente y la segunda como trascendental. </w:t>
      </w:r>
    </w:p>
    <w:p w14:paraId="701C0152" w14:textId="5E64D96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crítica 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 </w:t>
      </w:r>
    </w:p>
    <w:p w14:paraId="7D6BA6D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 importante tener en mente la distinción que hace Kant entre razón teórica y razón práctica. La primera tiene una función constitutiva del objeto de experiencia o fenómeno, mientras que la segunda tiene una función regulativa para la acción. En el contexto del pensamiento crítico de Kant, la libertad es una idea regulativa que produce la razón práctica. </w:t>
      </w:r>
    </w:p>
    <w:p w14:paraId="25EC704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Flikschuh habrá de girar su atención hacia 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(2000; p.54)</w:t>
      </w:r>
    </w:p>
    <w:p w14:paraId="7A62A7AE" w14:textId="77777777" w:rsidR="008B4E13"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señala al respecto que: “Kant define una antinomia como un conflicto de la razón. Más específicamente, es un conflicto de la razón consigo misma.” (2000; p.58) </w:t>
      </w:r>
    </w:p>
    <w:p w14:paraId="7A9C3C77" w14:textId="333459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determinista y sin libertad. En el campo nouménico, sin embargo, más allá de la experiencia posible, la razón puede pensar en la libertad como algo que tiene una causalidad en sí misma y es propia de los seres racionales. </w:t>
      </w:r>
      <w:r w:rsidRPr="009666E0">
        <w:rPr>
          <w:rFonts w:ascii="Times New Roman" w:hAnsi="Times New Roman"/>
          <w:sz w:val="24"/>
          <w:szCs w:val="24"/>
        </w:rPr>
        <w:lastRenderedPageBreak/>
        <w:t xml:space="preserve">La libertad moral no contradice el mundo determinado, porque se encuentra en otro ámbito distinto del de los fenómenos de leyes naturales. </w:t>
      </w:r>
    </w:p>
    <w:p w14:paraId="56C897EA" w14:textId="55C8F3B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sidR="00BB4933">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p>
    <w:p w14:paraId="6878E16B" w14:textId="77777777"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incompatibilista dualista. Al mismo tiempo, sería un error concluir que Kant es un compatibilista. (2000; p.54) Y por lo anteriormente discutido, ella concluye que: “Si Kant no es un incompatibilista, tampoco es un compatibilista. Como Wood lo expresa, la búsqueda de Kant por una tercera alternativa le hace un “incompatibilista compatibilista”, o lo que yo llamo un no-compatibilista. (2000; p.54) </w:t>
      </w:r>
    </w:p>
    <w:p w14:paraId="196BBFEF" w14:textId="72D37EC9" w:rsidR="00BB4933" w:rsidRPr="009666E0" w:rsidRDefault="00BB4933" w:rsidP="00670045">
      <w:pPr>
        <w:spacing w:line="360" w:lineRule="auto"/>
        <w:rPr>
          <w:rFonts w:ascii="Times New Roman" w:hAnsi="Times New Roman"/>
          <w:sz w:val="24"/>
          <w:szCs w:val="24"/>
        </w:rPr>
      </w:pPr>
      <w:r>
        <w:rPr>
          <w:rFonts w:ascii="Times New Roman" w:hAnsi="Times New Roman"/>
          <w:sz w:val="24"/>
          <w:szCs w:val="24"/>
        </w:rPr>
        <w:t xml:space="preserve">Esto refuerza la idea de que Kant no cae en la vieja discusión de la libertad,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precisamente, una idea de libertad en cuanto algo jurídico, civil y político, al nivel racional que nos exhorta a un acuerdo civil por la mera gravedad de la noción. </w:t>
      </w:r>
    </w:p>
    <w:p w14:paraId="5D318E6F" w14:textId="6818F665" w:rsidR="00572FD8" w:rsidRDefault="00BB4933" w:rsidP="00572FD8">
      <w:pPr>
        <w:spacing w:line="360" w:lineRule="auto"/>
        <w:rPr>
          <w:rFonts w:ascii="Times New Roman" w:hAnsi="Times New Roman"/>
          <w:sz w:val="24"/>
          <w:szCs w:val="24"/>
        </w:rPr>
      </w:pPr>
      <w:r>
        <w:rPr>
          <w:rFonts w:ascii="Times New Roman" w:hAnsi="Times New Roman"/>
          <w:sz w:val="24"/>
          <w:szCs w:val="24"/>
        </w:rPr>
        <w:t>La diferencia entre un modelo y otro es de suma importancia, ya que enriquece la idea de una libertad externa en cuanto obligación política. En el modelo determinista, uno puede caer en lo que Leibniz llamaba “el silogismo del hombre vago”</w:t>
      </w:r>
      <w:r w:rsidR="00572FD8">
        <w:rPr>
          <w:rFonts w:ascii="Times New Roman" w:hAnsi="Times New Roman"/>
          <w:sz w:val="24"/>
          <w:szCs w:val="24"/>
        </w:rPr>
        <w:t xml:space="preserve">, es decir, un argumento que defiende el nihilismo, o el fatalismo “árabe”, como él le refiere en su </w:t>
      </w:r>
      <w:r w:rsidR="00572FD8" w:rsidRPr="00572FD8">
        <w:rPr>
          <w:rFonts w:ascii="Times New Roman" w:hAnsi="Times New Roman"/>
          <w:i/>
          <w:iCs/>
          <w:sz w:val="24"/>
          <w:szCs w:val="24"/>
        </w:rPr>
        <w:t>Teodicea</w:t>
      </w:r>
      <w:r w:rsidR="00572FD8">
        <w:rPr>
          <w:rFonts w:ascii="Times New Roman" w:hAnsi="Times New Roman"/>
          <w:i/>
          <w:iCs/>
          <w:sz w:val="24"/>
          <w:szCs w:val="24"/>
        </w:rPr>
        <w:t>.</w:t>
      </w:r>
      <w:r w:rsidR="00572FD8">
        <w:rPr>
          <w:rFonts w:ascii="Times New Roman" w:hAnsi="Times New Roman"/>
          <w:sz w:val="24"/>
          <w:szCs w:val="24"/>
        </w:rPr>
        <w:t xml:space="preserve"> El argumento supone que no debemos hacer nada, porque ya todo está determinado. Esto, desde Leibniz, supone entregarnos al fatalismo, o a una dejadez, como si no pudiéramos hacer nada para </w:t>
      </w:r>
      <w:r w:rsidR="00572FD8">
        <w:rPr>
          <w:rFonts w:ascii="Times New Roman" w:hAnsi="Times New Roman"/>
          <w:sz w:val="24"/>
          <w:szCs w:val="24"/>
        </w:rPr>
        <w:lastRenderedPageBreak/>
        <w:t>cambiar algunas pocas significativas cosas. En el caso de Kant, la reflexión de una libertad como una idea regulativa para la acción, en cuanto mutua, es una obligación moral y externa</w:t>
      </w:r>
      <w:r w:rsidR="009D11EC">
        <w:rPr>
          <w:rFonts w:ascii="Times New Roman" w:hAnsi="Times New Roman"/>
          <w:sz w:val="24"/>
          <w:szCs w:val="24"/>
        </w:rPr>
        <w:t>, por lo tanto, no un asunto metafísico dogmático, sino uno de metafísica crítica de práctica jurídica, civil, política y cosmopolítica</w:t>
      </w:r>
      <w:r w:rsidR="00572FD8">
        <w:rPr>
          <w:rFonts w:ascii="Times New Roman" w:hAnsi="Times New Roman"/>
          <w:sz w:val="24"/>
          <w:szCs w:val="24"/>
        </w:rPr>
        <w:t xml:space="preserve">. </w:t>
      </w:r>
    </w:p>
    <w:p w14:paraId="65D85104" w14:textId="20B167A5" w:rsidR="00670045" w:rsidRPr="009666E0" w:rsidRDefault="00572FD8" w:rsidP="00670045">
      <w:pPr>
        <w:spacing w:line="360" w:lineRule="auto"/>
        <w:rPr>
          <w:rFonts w:ascii="Times New Roman" w:hAnsi="Times New Roman"/>
          <w:sz w:val="24"/>
          <w:szCs w:val="24"/>
        </w:rPr>
      </w:pPr>
      <w:r>
        <w:rPr>
          <w:rFonts w:ascii="Times New Roman" w:hAnsi="Times New Roman"/>
          <w:sz w:val="24"/>
          <w:szCs w:val="24"/>
        </w:rPr>
        <w:t xml:space="preserve">En el caso de Leibniz, se puede caer en el problema de la libertad entendida desde Lutero, que exime a las personas de una responsabilidad moral, en virtud de que la salvación depende de la voluntad divina, y no de los actos libres. En el caso de Kant, se enfatiza el sentido del deber, </w:t>
      </w:r>
      <w:r w:rsidR="009D11EC">
        <w:rPr>
          <w:rFonts w:ascii="Times New Roman" w:hAnsi="Times New Roman"/>
          <w:sz w:val="24"/>
          <w:szCs w:val="24"/>
        </w:rPr>
        <w:t>y,</w:t>
      </w:r>
      <w:r>
        <w:rPr>
          <w:rFonts w:ascii="Times New Roman" w:hAnsi="Times New Roman"/>
          <w:sz w:val="24"/>
          <w:szCs w:val="24"/>
        </w:rPr>
        <w:t xml:space="preserve"> por lo tanto, la misma idea de libertad considera una necesidad de que todos colaboren con la libertad de otros, </w:t>
      </w:r>
      <w:r w:rsidR="009D11EC">
        <w:rPr>
          <w:rFonts w:ascii="Times New Roman" w:hAnsi="Times New Roman"/>
          <w:sz w:val="24"/>
          <w:szCs w:val="24"/>
        </w:rPr>
        <w:t>y por ello</w:t>
      </w:r>
      <w:r>
        <w:rPr>
          <w:rFonts w:ascii="Times New Roman" w:hAnsi="Times New Roman"/>
          <w:sz w:val="24"/>
          <w:szCs w:val="24"/>
        </w:rPr>
        <w:t xml:space="preserve">, que la libertad supone una obligación necesaria de convivencia mutua. </w:t>
      </w:r>
      <w:r w:rsidR="00670045"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 (2000; p.64)</w:t>
      </w:r>
    </w:p>
    <w:p w14:paraId="36A8EB7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este marco que engloba lo propuesto por Kant, la libertad humana se entiende de un modo muy preciso, y de esta forma: “Lo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(2000; p.73) Y es precisamente en este sentido, que ella defiende: “El concepto de Kant de la libertad como algo semejante a la ley, en cuanto idea de la razón.” (2000; p.74)</w:t>
      </w:r>
    </w:p>
    <w:p w14:paraId="095DC71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(2000; p.75) Ella habrá de proponer las leyes de la libertad como unas que toman de un modelo a las ciencias. En este horizonte, ella afirma que: “Tal como las leyes de la causalidad gobiernan nuestro ordenamiento sistemático de los eventos en la naturaleza, así las leyes de la razón, en su capacidad práctica, regulan las acciones libremente determinadas de los agentes humanos.” (2000; p.75)</w:t>
      </w:r>
    </w:p>
    <w:p w14:paraId="6DAC74AE" w14:textId="47A9935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sidR="000F1E6A">
        <w:rPr>
          <w:rFonts w:ascii="Times New Roman" w:hAnsi="Times New Roman"/>
          <w:sz w:val="24"/>
          <w:szCs w:val="24"/>
        </w:rPr>
        <w:t>“</w:t>
      </w:r>
      <w:r w:rsidRPr="009666E0">
        <w:rPr>
          <w:rFonts w:ascii="Times New Roman" w:hAnsi="Times New Roman"/>
          <w:sz w:val="24"/>
          <w:szCs w:val="24"/>
        </w:rPr>
        <w:t>finitud humana</w:t>
      </w:r>
      <w:r w:rsidR="000F1E6A">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w:t>
      </w:r>
      <w:r w:rsidRPr="009666E0">
        <w:rPr>
          <w:rFonts w:ascii="Times New Roman" w:hAnsi="Times New Roman"/>
          <w:sz w:val="24"/>
          <w:szCs w:val="24"/>
        </w:rPr>
        <w:lastRenderedPageBreak/>
        <w:t>libertad. Para considerar esto, considérese la forma en que la noción humana de finitud media entre la causalidad y la idea de libertad. (2000; p.76) En esta línea, 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(2000; p.77)</w:t>
      </w:r>
    </w:p>
    <w:p w14:paraId="0C052C8D"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(2000; p.77)</w:t>
      </w:r>
    </w:p>
    <w:p w14:paraId="3D8AE21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(2000; p.77)</w:t>
      </w:r>
    </w:p>
    <w:p w14:paraId="141016B3" w14:textId="55E90780" w:rsidR="00670045" w:rsidRPr="009666E0" w:rsidRDefault="00670045" w:rsidP="00670045">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ámbito, el natural y el moral. Ella señala que: “Para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(2000; p.78) Esto relaciona los actos de la libertad exterior con las máximas o principios que gobiernan los actos razonados, y, por lo tanto, libres</w:t>
      </w:r>
      <w:r w:rsidR="00C3561F">
        <w:rPr>
          <w:rFonts w:ascii="Times New Roman" w:hAnsi="Times New Roman"/>
          <w:sz w:val="24"/>
          <w:szCs w:val="24"/>
        </w:rPr>
        <w:t>, dejando así el énfasis en la justificación de los actos externos, y con ello, en la obligación moral de la libertad externa</w:t>
      </w:r>
      <w:r w:rsidRPr="009666E0">
        <w:rPr>
          <w:rFonts w:ascii="Times New Roman" w:hAnsi="Times New Roman"/>
          <w:sz w:val="24"/>
          <w:szCs w:val="24"/>
        </w:rPr>
        <w:t>.</w:t>
      </w:r>
    </w:p>
    <w:p w14:paraId="4843870D" w14:textId="3302514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o generales, pero en el caso de la libertad, las leyes que son apenas aspirantes a esa exactitud, tienen como su origen el reconocimiento de la limitación humana </w:t>
      </w:r>
      <w:r w:rsidRPr="009666E0">
        <w:rPr>
          <w:rFonts w:ascii="Times New Roman" w:hAnsi="Times New Roman"/>
          <w:sz w:val="24"/>
          <w:szCs w:val="24"/>
        </w:rPr>
        <w:lastRenderedPageBreak/>
        <w:t>para la experimentación y el entendimiento. En este sentido, Flikschuh apunta que: “El reconocimiento de las constricciones de la naturaleza debe formar parte integral de la deliberación de los agentes acerca de sus actos.” (2000; p.78) Y luego agrega que: “El conocer las constricciones de la naturaleza en relación a los actos propios es simplemente tomar esas limitaciones en cuenta en las deliberaciones prácticas de uno mismo.” (2000; p.79) Es por esta razón que la autora señalaba el papel de los límites humanos del entendimiento a la hora de reconciliar a las leyes naturales con la libertad</w:t>
      </w:r>
      <w:r w:rsidR="00C3561F">
        <w:rPr>
          <w:rFonts w:ascii="Times New Roman" w:hAnsi="Times New Roman"/>
          <w:sz w:val="24"/>
          <w:szCs w:val="24"/>
        </w:rPr>
        <w:t>, en lugar de contraponerlas como se hacía tradicionalmente</w:t>
      </w:r>
      <w:r w:rsidRPr="009666E0">
        <w:rPr>
          <w:rFonts w:ascii="Times New Roman" w:hAnsi="Times New Roman"/>
          <w:sz w:val="24"/>
          <w:szCs w:val="24"/>
        </w:rPr>
        <w:t xml:space="preserve">. Este elemento de limitación humana que se busca reconciliar, se convierte en la base de su consideración de la libertad, en lugar de tener un fundamento dogmático. </w:t>
      </w:r>
    </w:p>
    <w:p w14:paraId="61A0D623" w14:textId="1A5C3DA3" w:rsidR="00670045" w:rsidRDefault="00C3561F" w:rsidP="00670045">
      <w:pPr>
        <w:spacing w:line="360" w:lineRule="auto"/>
        <w:rPr>
          <w:rFonts w:ascii="Times New Roman" w:hAnsi="Times New Roman"/>
          <w:sz w:val="24"/>
          <w:szCs w:val="24"/>
        </w:rPr>
      </w:pPr>
      <w:r>
        <w:rPr>
          <w:rFonts w:ascii="Times New Roman" w:hAnsi="Times New Roman"/>
          <w:sz w:val="24"/>
          <w:szCs w:val="24"/>
        </w:rPr>
        <w:t xml:space="preserve">La autora </w:t>
      </w:r>
      <w:r w:rsidR="00670045" w:rsidRPr="009666E0">
        <w:rPr>
          <w:rFonts w:ascii="Times New Roman" w:hAnsi="Times New Roman"/>
          <w:sz w:val="24"/>
          <w:szCs w:val="24"/>
        </w:rPr>
        <w:t xml:space="preserve">asienta su concepto de </w:t>
      </w:r>
      <w:r>
        <w:rPr>
          <w:rFonts w:ascii="Times New Roman" w:hAnsi="Times New Roman"/>
          <w:sz w:val="24"/>
          <w:szCs w:val="24"/>
        </w:rPr>
        <w:t xml:space="preserve">la libertad práctica y externa como </w:t>
      </w:r>
      <w:r w:rsidR="00670045" w:rsidRPr="009666E0">
        <w:rPr>
          <w:rFonts w:ascii="Times New Roman" w:hAnsi="Times New Roman"/>
          <w:sz w:val="24"/>
          <w:szCs w:val="24"/>
        </w:rPr>
        <w:t>algo semejante-a-la-ley</w:t>
      </w:r>
      <w:r>
        <w:rPr>
          <w:rFonts w:ascii="Times New Roman" w:hAnsi="Times New Roman"/>
          <w:sz w:val="24"/>
          <w:szCs w:val="24"/>
        </w:rPr>
        <w:t xml:space="preserve"> cuando señala que</w:t>
      </w:r>
      <w:r w:rsidR="00670045" w:rsidRPr="009666E0">
        <w:rPr>
          <w:rFonts w:ascii="Times New Roman" w:hAnsi="Times New Roman"/>
          <w:sz w:val="24"/>
          <w:szCs w:val="24"/>
        </w:rPr>
        <w:t>: “Estos dos aspectos: la semejanza-a-la-ley de la libertad práctica y la capacidad humana de enmarcar un concepto de un posible futuro gobernado por leyes que es conocedor de sus constricciones naturales en la agencia humana, sin encontrarse determinados por los mismos, son cruciales para la concepción de Kant sobre libertad política en la doctrina del derecho. (2000; p.79) En términos de S. Körner, Flikschuh había referido que estos elementos representan el marco categorial que fundamenta el pensamiento político de Kant.</w:t>
      </w:r>
      <w:r w:rsidR="00993B8A">
        <w:rPr>
          <w:rFonts w:ascii="Times New Roman" w:hAnsi="Times New Roman"/>
          <w:sz w:val="24"/>
          <w:szCs w:val="24"/>
        </w:rPr>
        <w:t xml:space="preserve"> </w:t>
      </w:r>
    </w:p>
    <w:p w14:paraId="49DE7134" w14:textId="4ED657B5" w:rsidR="00993B8A" w:rsidRDefault="00993B8A" w:rsidP="00670045">
      <w:pPr>
        <w:spacing w:line="360" w:lineRule="auto"/>
        <w:rPr>
          <w:rFonts w:ascii="Times New Roman" w:hAnsi="Times New Roman"/>
          <w:sz w:val="24"/>
          <w:szCs w:val="24"/>
        </w:rPr>
      </w:pPr>
      <w:r>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 en una necesidad, e involucra el beneficio público, en cuanto es una libertad compartida.</w:t>
      </w:r>
    </w:p>
    <w:p w14:paraId="2F0923A1" w14:textId="44AF44C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Este alcance permite que, lejos de entender la libertad como algo exclusivamente individual, en realidad, es un fundamento para pensar el encuentro a un nivel mucho más extenso, como lo es el hecho de constatar 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w:t>
      </w:r>
      <w:proofErr w:type="spellStart"/>
      <w:r w:rsidRPr="009666E0">
        <w:rPr>
          <w:rFonts w:ascii="Times New Roman" w:hAnsi="Times New Roman"/>
          <w:sz w:val="24"/>
          <w:szCs w:val="24"/>
        </w:rPr>
        <w:t>cosmopolitanismo</w:t>
      </w:r>
      <w:proofErr w:type="spellEnd"/>
      <w:r w:rsidRPr="009666E0">
        <w:rPr>
          <w:rFonts w:ascii="Times New Roman" w:hAnsi="Times New Roman"/>
          <w:sz w:val="24"/>
          <w:szCs w:val="24"/>
        </w:rPr>
        <w:t>.” (2000; p.83)</w:t>
      </w:r>
    </w:p>
    <w:p w14:paraId="3E1DBB65" w14:textId="0F7C9EAE" w:rsidR="00670045" w:rsidRPr="009666E0" w:rsidRDefault="001904BB" w:rsidP="00670045">
      <w:pPr>
        <w:spacing w:line="360" w:lineRule="auto"/>
        <w:rPr>
          <w:rFonts w:ascii="Times New Roman" w:hAnsi="Times New Roman"/>
          <w:sz w:val="24"/>
          <w:szCs w:val="24"/>
        </w:rPr>
      </w:pPr>
      <w:r>
        <w:rPr>
          <w:rFonts w:ascii="Times New Roman" w:hAnsi="Times New Roman"/>
          <w:sz w:val="24"/>
          <w:szCs w:val="24"/>
        </w:rPr>
        <w:lastRenderedPageBreak/>
        <w:t>C</w:t>
      </w:r>
      <w:r w:rsidR="00670045" w:rsidRPr="009666E0">
        <w:rPr>
          <w:rFonts w:ascii="Times New Roman" w:hAnsi="Times New Roman"/>
          <w:sz w:val="24"/>
          <w:szCs w:val="24"/>
        </w:rPr>
        <w:t xml:space="preserve">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(2000; p.83) </w:t>
      </w:r>
    </w:p>
    <w:p w14:paraId="43E5DBB5" w14:textId="3BCC1724" w:rsidR="001904BB"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role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(2000; p.84) </w:t>
      </w:r>
    </w:p>
    <w:p w14:paraId="6E746718" w14:textId="33EB811A" w:rsidR="001904BB" w:rsidRDefault="001904BB" w:rsidP="00670045">
      <w:pPr>
        <w:spacing w:line="360" w:lineRule="auto"/>
        <w:rPr>
          <w:rFonts w:ascii="Times New Roman" w:hAnsi="Times New Roman"/>
          <w:sz w:val="24"/>
          <w:szCs w:val="24"/>
        </w:rPr>
      </w:pPr>
      <w:r>
        <w:rPr>
          <w:rFonts w:ascii="Times New Roman" w:hAnsi="Times New Roman"/>
          <w:sz w:val="24"/>
          <w:szCs w:val="24"/>
        </w:rPr>
        <w:t>En la libertad interna, la relación entre la libertad y las facultades del alma era el deseo</w:t>
      </w:r>
      <w:r w:rsidR="002448F8">
        <w:rPr>
          <w:rFonts w:ascii="Times New Roman" w:hAnsi="Times New Roman"/>
          <w:sz w:val="24"/>
          <w:szCs w:val="24"/>
        </w:rPr>
        <w:t xml:space="preserve"> que se orienta hacia una inclinación gobernada por máximas, y sólo así el arbitrio se entiende como una voluntad libre</w:t>
      </w:r>
      <w:r>
        <w:rPr>
          <w:rFonts w:ascii="Times New Roman" w:hAnsi="Times New Roman"/>
          <w:sz w:val="24"/>
          <w:szCs w:val="24"/>
        </w:rPr>
        <w:t xml:space="preserve">, pero en la libertad externa, la relación no era sino entre la libertad de uno contra la libertad de otros. En este sentido, lo que inaugura la idea de libertad externa radica en los reclamos legítimos que pueda tener alguien sobre la posesión de algo, ya que permite un horizonte en que se reconoce públicamente el derecho que </w:t>
      </w:r>
      <w:r w:rsidR="002448F8">
        <w:rPr>
          <w:rFonts w:ascii="Times New Roman" w:hAnsi="Times New Roman"/>
          <w:sz w:val="24"/>
          <w:szCs w:val="24"/>
        </w:rPr>
        <w:t xml:space="preserve">se </w:t>
      </w:r>
      <w:r>
        <w:rPr>
          <w:rFonts w:ascii="Times New Roman" w:hAnsi="Times New Roman"/>
          <w:sz w:val="24"/>
          <w:szCs w:val="24"/>
        </w:rPr>
        <w:t>tiene sobre algo o alguien. El énfasis que hace la autora, lejos de los asuntos del derecho público, se enfocan en este punto, sobre el derecho privado, ya que las obligaciones de justicia que se tiene</w:t>
      </w:r>
      <w:r w:rsidR="002448F8">
        <w:rPr>
          <w:rFonts w:ascii="Times New Roman" w:hAnsi="Times New Roman"/>
          <w:sz w:val="24"/>
          <w:szCs w:val="24"/>
        </w:rPr>
        <w:t>n</w:t>
      </w:r>
      <w:r>
        <w:rPr>
          <w:rFonts w:ascii="Times New Roman" w:hAnsi="Times New Roman"/>
          <w:sz w:val="24"/>
          <w:szCs w:val="24"/>
        </w:rPr>
        <w:t xml:space="preserve"> recíprocamente, </w:t>
      </w:r>
      <w:r w:rsidR="002448F8">
        <w:rPr>
          <w:rFonts w:ascii="Times New Roman" w:hAnsi="Times New Roman"/>
          <w:sz w:val="24"/>
          <w:szCs w:val="24"/>
        </w:rPr>
        <w:t>(</w:t>
      </w:r>
      <w:r>
        <w:rPr>
          <w:rFonts w:ascii="Times New Roman" w:hAnsi="Times New Roman"/>
          <w:sz w:val="24"/>
          <w:szCs w:val="24"/>
        </w:rPr>
        <w:t>los que poseen una libertad externa y civil</w:t>
      </w:r>
      <w:r w:rsidR="002448F8">
        <w:rPr>
          <w:rFonts w:ascii="Times New Roman" w:hAnsi="Times New Roman"/>
          <w:sz w:val="24"/>
          <w:szCs w:val="24"/>
        </w:rPr>
        <w:t>)</w:t>
      </w:r>
      <w:r>
        <w:rPr>
          <w:rFonts w:ascii="Times New Roman" w:hAnsi="Times New Roman"/>
          <w:sz w:val="24"/>
          <w:szCs w:val="24"/>
        </w:rPr>
        <w:t xml:space="preserve">, es un tipo de exhortación racional política y mutua. </w:t>
      </w:r>
    </w:p>
    <w:p w14:paraId="15AAF114" w14:textId="02F1740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sidR="002448F8">
        <w:rPr>
          <w:rFonts w:ascii="Times New Roman" w:hAnsi="Times New Roman"/>
          <w:sz w:val="24"/>
          <w:szCs w:val="24"/>
        </w:rPr>
        <w:t xml:space="preserve">y beneficia </w:t>
      </w:r>
      <w:r w:rsidRPr="009666E0">
        <w:rPr>
          <w:rFonts w:ascii="Times New Roman" w:hAnsi="Times New Roman"/>
          <w:sz w:val="24"/>
          <w:szCs w:val="24"/>
        </w:rPr>
        <w:t xml:space="preserve">a todos tener las garantías implícitas en la propiedad privada, se puede decir que la idea de contrato originario </w:t>
      </w:r>
      <w:r w:rsidRPr="009666E0">
        <w:rPr>
          <w:rFonts w:ascii="Times New Roman" w:hAnsi="Times New Roman"/>
          <w:sz w:val="24"/>
          <w:szCs w:val="24"/>
        </w:rPr>
        <w:lastRenderedPageBreak/>
        <w:t>responde a esta exigencia de la libertad externa de las personas, como una idea compartida de la razón.</w:t>
      </w:r>
    </w:p>
    <w:p w14:paraId="59EF4882" w14:textId="657D093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sidR="00104779">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tienen la capacidad de razonar, es que los seres racionales finitos tienen capacidad para formar deseos. En lo que respecta a la capacidad para desear, se presupone la habilidad de un ser para razonar, los deseos de una criatura racional son susceptibles a las constricciones de la razón en general. Son, por lo tanto, también susceptibles, al menos por implicación, a las constricciones de la razón pura práctica, por ejemplo, a las leyes de la libertad.” (2000; p.84) </w:t>
      </w:r>
    </w:p>
    <w:p w14:paraId="3A3248E8" w14:textId="77777777" w:rsidR="00104779" w:rsidRDefault="00670045" w:rsidP="00670045">
      <w:pPr>
        <w:spacing w:line="360" w:lineRule="auto"/>
        <w:rPr>
          <w:rFonts w:ascii="Times New Roman" w:hAnsi="Times New Roman"/>
          <w:sz w:val="24"/>
          <w:szCs w:val="24"/>
        </w:rPr>
      </w:pPr>
      <w:r w:rsidRPr="009666E0">
        <w:rPr>
          <w:rFonts w:ascii="Times New Roman" w:hAnsi="Times New Roman"/>
          <w:sz w:val="24"/>
          <w:szCs w:val="24"/>
        </w:rPr>
        <w:t>Flikschuh agrega, en esta interpretación suya, a la relación de los conceptos de libertad y razón, el elemento del deseo. Para Kant, las elecciones razonadas son libres; para Flikschuh la formulación de deseos presupone a la razón en su facultad para producir representaciones.</w:t>
      </w:r>
      <w:r w:rsidR="00104779">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4BBD7E90" w14:textId="6D7B9C9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constricciones de las leyes de la libertad.” (2000; p.85) </w:t>
      </w:r>
    </w:p>
    <w:p w14:paraId="4728029A" w14:textId="202C0FF8" w:rsidR="006000C1" w:rsidRDefault="00670045" w:rsidP="00670045">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 tanto en Hobbes, como Locke</w:t>
      </w:r>
      <w:r w:rsidR="0037522B">
        <w:rPr>
          <w:rFonts w:ascii="Times New Roman" w:hAnsi="Times New Roman"/>
          <w:sz w:val="24"/>
          <w:szCs w:val="24"/>
        </w:rPr>
        <w:t>, Rousseau</w:t>
      </w:r>
      <w:r w:rsidRPr="009666E0">
        <w:rPr>
          <w:rFonts w:ascii="Times New Roman" w:hAnsi="Times New Roman"/>
          <w:sz w:val="24"/>
          <w:szCs w:val="24"/>
        </w:rPr>
        <w:t xml:space="preserve"> y Kant, en el estado natural existe una libertad sin marco legal. Con el aparecimiento de la sociedad civil, la libertad tiene un despliegue distinto al natural.</w:t>
      </w:r>
      <w:r w:rsidR="00104779">
        <w:rPr>
          <w:rFonts w:ascii="Times New Roman" w:hAnsi="Times New Roman"/>
          <w:sz w:val="24"/>
          <w:szCs w:val="24"/>
        </w:rPr>
        <w:t xml:space="preserve"> </w:t>
      </w:r>
    </w:p>
    <w:p w14:paraId="75209208" w14:textId="72D0D49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 Así, Flikschuh señala que: “La novedosa concepción de libertad externa se deriva de las </w:t>
      </w:r>
      <w:r w:rsidRPr="009666E0">
        <w:rPr>
          <w:rFonts w:ascii="Times New Roman" w:hAnsi="Times New Roman"/>
          <w:sz w:val="24"/>
          <w:szCs w:val="24"/>
        </w:rPr>
        <w:lastRenderedPageBreak/>
        <w:t>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(2000; p.88)</w:t>
      </w:r>
      <w:r w:rsidR="00800971">
        <w:rPr>
          <w:rFonts w:ascii="Times New Roman" w:hAnsi="Times New Roman"/>
          <w:sz w:val="24"/>
          <w:szCs w:val="24"/>
        </w:rPr>
        <w:t xml:space="preserve"> Esta consideración es la que se encuentra en la base de la libertad que es externa. </w:t>
      </w:r>
    </w:p>
    <w:p w14:paraId="5EB1F96E" w14:textId="77777777" w:rsidR="00800971"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autora hace la precisión de la relación que tiene la idea de una libertad externa con el concepto y principio general del derecho, que pone los límites de toda libertad, en la libertad de los otros. Así, ella señala que: “Esta definición preliminar de la libertad externa como afirmando los derechos individuales de libertad de elección y acción, se encuentra substanciada en la subsecuente definición de Kant del concepto del derecho, que regula la forma de las relaciones externas entre agentes, en virtud de sus elecciones.” (2000; p.88) </w:t>
      </w:r>
    </w:p>
    <w:p w14:paraId="7D8F38FC" w14:textId="5079760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Debemos tener en cuenta que, para Kant, desde la doctrina del derecho, la idea de un derecho como ciencia supone el marco normativo para todas las relaciones externas y prácticas de las personas unas con otras, en el contexto en que sus actos y elecciones tienen efectos de influencia mutua. En este sentido, cabe recordar que, para Kant,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(2000; p.89)</w:t>
      </w:r>
    </w:p>
    <w:p w14:paraId="1AE19E29" w14:textId="77777777" w:rsidR="00B82DEF" w:rsidRDefault="00670045" w:rsidP="00670045">
      <w:pPr>
        <w:spacing w:line="360" w:lineRule="auto"/>
        <w:rPr>
          <w:rFonts w:ascii="Times New Roman" w:hAnsi="Times New Roman"/>
          <w:sz w:val="24"/>
          <w:szCs w:val="24"/>
        </w:rPr>
      </w:pPr>
      <w:r w:rsidRPr="009666E0">
        <w:rPr>
          <w:rFonts w:ascii="Times New Roman" w:hAnsi="Times New Roman"/>
          <w:sz w:val="24"/>
          <w:szCs w:val="24"/>
        </w:rPr>
        <w:t>Es de suma importancia considerar en dónde yace la soberanía y solidez de la ley, en su sentido interno, y externo. Ambas pueden ser pensadas autónomamente por cualquiera, pero las leyes externas pueden hacerse cumplir por la fuerza legal. Esto no equivale a decir que cualquiera puede convertir sus deseos de interés personal en una ley universal, sino que precisamente, el carácter y autoridad de una ley, proviene de su validez incondicionada e impersonal, en lugar de estar especificada contingentemente</w:t>
      </w:r>
      <w:r w:rsidR="00B82DEF">
        <w:rPr>
          <w:rFonts w:ascii="Times New Roman" w:hAnsi="Times New Roman"/>
          <w:sz w:val="24"/>
          <w:szCs w:val="24"/>
        </w:rPr>
        <w:t xml:space="preserve"> en un lugar distinto del de la razón compartida</w:t>
      </w:r>
      <w:r w:rsidRPr="009666E0">
        <w:rPr>
          <w:rFonts w:ascii="Times New Roman" w:hAnsi="Times New Roman"/>
          <w:sz w:val="24"/>
          <w:szCs w:val="24"/>
        </w:rPr>
        <w:t>.</w:t>
      </w:r>
    </w:p>
    <w:p w14:paraId="7A8A13F4" w14:textId="02B2A7F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 En este sentido, Flikschuh refiere que: “Kant distingue entre ley y ética en términos de sus respectivas esferas de competencia moral. Desde que todas las leyes de la libertad son leyes de </w:t>
      </w:r>
      <w:proofErr w:type="spellStart"/>
      <w:r w:rsidRPr="009666E0">
        <w:rPr>
          <w:rFonts w:ascii="Times New Roman" w:hAnsi="Times New Roman"/>
          <w:sz w:val="24"/>
          <w:szCs w:val="24"/>
        </w:rPr>
        <w:t>auto-legislación</w:t>
      </w:r>
      <w:proofErr w:type="spellEnd"/>
      <w:r w:rsidRPr="009666E0">
        <w:rPr>
          <w:rFonts w:ascii="Times New Roman" w:hAnsi="Times New Roman"/>
          <w:sz w:val="24"/>
          <w:szCs w:val="24"/>
        </w:rPr>
        <w:t xml:space="preserve"> moral, las leyes jurídicas pueden ser </w:t>
      </w:r>
      <w:proofErr w:type="spellStart"/>
      <w:r w:rsidRPr="009666E0">
        <w:rPr>
          <w:rFonts w:ascii="Times New Roman" w:hAnsi="Times New Roman"/>
          <w:sz w:val="24"/>
          <w:szCs w:val="24"/>
        </w:rPr>
        <w:t>auto-legisladas</w:t>
      </w:r>
      <w:proofErr w:type="spellEnd"/>
      <w:r w:rsidRPr="009666E0">
        <w:rPr>
          <w:rFonts w:ascii="Times New Roman" w:hAnsi="Times New Roman"/>
          <w:sz w:val="24"/>
          <w:szCs w:val="24"/>
        </w:rPr>
        <w:t xml:space="preserve">, aunque en contraste con las leyes éticas, estas también pueden hacerse cumplir externamente. Por ello, el campo normativo de las leyes jurídicas de la libertad yace en la capacidad para </w:t>
      </w:r>
      <w:proofErr w:type="spellStart"/>
      <w:r w:rsidRPr="009666E0">
        <w:rPr>
          <w:rFonts w:ascii="Times New Roman" w:hAnsi="Times New Roman"/>
          <w:sz w:val="24"/>
          <w:szCs w:val="24"/>
        </w:rPr>
        <w:t>auto-legistación</w:t>
      </w:r>
      <w:proofErr w:type="spellEnd"/>
      <w:r w:rsidRPr="009666E0">
        <w:rPr>
          <w:rFonts w:ascii="Times New Roman" w:hAnsi="Times New Roman"/>
          <w:sz w:val="24"/>
          <w:szCs w:val="24"/>
        </w:rPr>
        <w:t xml:space="preserve"> de los sujetos, no en una apelación a sus propios intereses prudenciales.” (2000; </w:t>
      </w:r>
      <w:r w:rsidRPr="009666E0">
        <w:rPr>
          <w:rFonts w:ascii="Times New Roman" w:hAnsi="Times New Roman"/>
          <w:sz w:val="24"/>
          <w:szCs w:val="24"/>
        </w:rPr>
        <w:lastRenderedPageBreak/>
        <w:t xml:space="preserve">p.91) Por esto último, es que se puede considerar que la ley exterior no responde al deseo privado de nadie, sino que se establece en la línea de la autonomía de la razón compartida. </w:t>
      </w:r>
    </w:p>
    <w:p w14:paraId="1E2C73F3" w14:textId="2D3524C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 acuerdo con esta postura, según Flikschuh, se encuentra C. Koorsgard. Según nuestra autora: “</w:t>
      </w:r>
      <w:proofErr w:type="spellStart"/>
      <w:r w:rsidRPr="009666E0">
        <w:rPr>
          <w:rFonts w:ascii="Times New Roman" w:hAnsi="Times New Roman"/>
          <w:sz w:val="24"/>
          <w:szCs w:val="24"/>
        </w:rPr>
        <w:t>Koorsgard</w:t>
      </w:r>
      <w:proofErr w:type="spellEnd"/>
      <w:r w:rsidRPr="009666E0">
        <w:rPr>
          <w:rFonts w:ascii="Times New Roman" w:hAnsi="Times New Roman"/>
          <w:sz w:val="24"/>
          <w:szCs w:val="24"/>
        </w:rPr>
        <w:t>, rechaza lecturas de la doctrina del derecho que hacen que el propio interés sea central a la justificación normativa del principio universal del derecho.” (2000; p.95) El corazón de la doctrina del derecho, tiene en realidad, un interés público y general de acuerdo al marco de la razón compartida.</w:t>
      </w:r>
      <w:r w:rsidR="00DE318C">
        <w:rPr>
          <w:rFonts w:ascii="Times New Roman" w:hAnsi="Times New Roman"/>
          <w:sz w:val="24"/>
          <w:szCs w:val="24"/>
        </w:rPr>
        <w:t xml:space="preserve"> No es individualista, sino que la libertad externa, entendida como una obligación política mutua, se entiende con un alcance universal y cosmopolita. </w:t>
      </w:r>
    </w:p>
    <w:p w14:paraId="620950D2" w14:textId="5ECA27A4" w:rsidR="00DE318C"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Mientras la idea de libertad exterior se despliega hacia los sentidos de una libertad jurídica, civil y política, mediante los respectivos conceptos del principio general del derecho, la co-legislación y el consentimiento ante la ley, Flikschuh se centra en el punto en que se relaciona la formación de deseos con la libertad, para poder tener en mente el papel que tienen los intereses económicos en esta relación indicada.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 (2000; p.99) Lo que surge como efecto, de acuerdo a esta lectura que </w:t>
      </w:r>
      <w:r w:rsidR="00805278">
        <w:rPr>
          <w:rFonts w:ascii="Times New Roman" w:hAnsi="Times New Roman"/>
          <w:sz w:val="24"/>
          <w:szCs w:val="24"/>
        </w:rPr>
        <w:t xml:space="preserve">se </w:t>
      </w:r>
      <w:r w:rsidRPr="009666E0">
        <w:rPr>
          <w:rFonts w:ascii="Times New Roman" w:hAnsi="Times New Roman"/>
          <w:sz w:val="24"/>
          <w:szCs w:val="24"/>
        </w:rPr>
        <w:t>centra el énfasis en los intereses económicos de la libertad, es el panorama de una necesidad de un horizonte civil que admita, garantice y proteja la propiedad privada perentoria.</w:t>
      </w:r>
      <w:r w:rsidR="00805278">
        <w:rPr>
          <w:rFonts w:ascii="Times New Roman" w:hAnsi="Times New Roman"/>
          <w:sz w:val="24"/>
          <w:szCs w:val="24"/>
        </w:rPr>
        <w:t xml:space="preserve"> Si esto se cumple, se podría inferir que funcionará igualmente</w:t>
      </w:r>
      <w:r w:rsidR="00833B69">
        <w:rPr>
          <w:rFonts w:ascii="Times New Roman" w:hAnsi="Times New Roman"/>
          <w:sz w:val="24"/>
          <w:szCs w:val="24"/>
        </w:rPr>
        <w:t>, cuando menos hasta cierto punto,</w:t>
      </w:r>
      <w:r w:rsidR="00805278">
        <w:rPr>
          <w:rFonts w:ascii="Times New Roman" w:hAnsi="Times New Roman"/>
          <w:sz w:val="24"/>
          <w:szCs w:val="24"/>
        </w:rPr>
        <w:t xml:space="preserve"> en lo que se sigue del derecho público. </w:t>
      </w:r>
      <w:r w:rsidRPr="009666E0">
        <w:rPr>
          <w:rFonts w:ascii="Times New Roman" w:hAnsi="Times New Roman"/>
          <w:sz w:val="24"/>
          <w:szCs w:val="24"/>
        </w:rPr>
        <w:t xml:space="preserve"> </w:t>
      </w:r>
    </w:p>
    <w:p w14:paraId="63ACD647" w14:textId="77777777" w:rsidR="00833B69" w:rsidRDefault="00670045" w:rsidP="00DE318C">
      <w:pPr>
        <w:spacing w:line="360" w:lineRule="auto"/>
        <w:rPr>
          <w:rFonts w:ascii="Times New Roman" w:hAnsi="Times New Roman"/>
          <w:sz w:val="24"/>
          <w:szCs w:val="24"/>
        </w:rPr>
      </w:pPr>
      <w:r w:rsidRPr="009666E0">
        <w:rPr>
          <w:rFonts w:ascii="Times New Roman" w:hAnsi="Times New Roman"/>
          <w:sz w:val="24"/>
          <w:szCs w:val="24"/>
        </w:rPr>
        <w:t>Para la autora, este</w:t>
      </w:r>
      <w:r w:rsidR="00833B69">
        <w:rPr>
          <w:rFonts w:ascii="Times New Roman" w:hAnsi="Times New Roman"/>
          <w:sz w:val="24"/>
          <w:szCs w:val="24"/>
        </w:rPr>
        <w:t xml:space="preserve"> punto del derecho privado a la propiedad, basado en el deseo económico,</w:t>
      </w:r>
      <w:r w:rsidRPr="009666E0">
        <w:rPr>
          <w:rFonts w:ascii="Times New Roman" w:hAnsi="Times New Roman"/>
          <w:sz w:val="24"/>
          <w:szCs w:val="24"/>
        </w:rPr>
        <w:t xml:space="preserve"> es el núcleo principal de la doctrina del derecho. Desde que es necesario regular institucionalmente a la libertad externa, con la instauración de un estado civil, luego de la libertad externa se desprende una conminación recíproca para atender a lo que se convierte en una obligación política mutua. </w:t>
      </w:r>
      <w:r w:rsidR="00DE318C">
        <w:rPr>
          <w:rFonts w:ascii="Times New Roman" w:hAnsi="Times New Roman"/>
          <w:sz w:val="24"/>
          <w:szCs w:val="24"/>
        </w:rPr>
        <w:t xml:space="preserve">Ella señala que: </w:t>
      </w:r>
      <w:r w:rsidRPr="009666E0">
        <w:rPr>
          <w:rFonts w:ascii="Times New Roman" w:hAnsi="Times New Roman"/>
          <w:sz w:val="24"/>
          <w:szCs w:val="24"/>
        </w:rPr>
        <w:t xml:space="preserve">“El objetivo </w:t>
      </w:r>
      <w:r w:rsidR="00DE318C">
        <w:rPr>
          <w:rFonts w:ascii="Times New Roman" w:hAnsi="Times New Roman"/>
          <w:sz w:val="24"/>
          <w:szCs w:val="24"/>
        </w:rPr>
        <w:t>(…)</w:t>
      </w:r>
      <w:r w:rsidRPr="009666E0">
        <w:rPr>
          <w:rFonts w:ascii="Times New Roman" w:hAnsi="Times New Roman"/>
          <w:sz w:val="24"/>
          <w:szCs w:val="24"/>
        </w:rPr>
        <w:t xml:space="preserve"> ha sido esbozar una posible interpretación de la libertad externa como basada en elecciones y actos autónomos sin reducirlo al concepto de la libertad interna de Kant. Este objetivo fue motivado por la necesidad de reconocer el distintivo y legítimo rol de los deseos económicos en relación a la </w:t>
      </w:r>
      <w:r w:rsidRPr="009666E0">
        <w:rPr>
          <w:rFonts w:ascii="Times New Roman" w:hAnsi="Times New Roman"/>
          <w:sz w:val="24"/>
          <w:szCs w:val="24"/>
        </w:rPr>
        <w:lastRenderedPageBreak/>
        <w:t xml:space="preserve">agencia política mientras se resiste la conclusión de que la agencia política debe, por lo tanto, basarse en el propio interés prudencial”. (2000; p.110) Flikschuh agrega que: “Desde que el deseo económico es inevitablemente orientado a objetos, entonces es imposible para los agentes abstraer las consideraciones materiales en sus elecciones y acciones económicas.” (2000; p.111) Luego, finaliza diciendo que: “Esto nos lleva al corazón de la doctrina del derecho, es decir, a la justificación de Kant de los derechos a la propiedad individual y de su resultante obligación de justicia de los unos con los otros.” (2000; p.112) </w:t>
      </w:r>
    </w:p>
    <w:p w14:paraId="17167B07" w14:textId="1F5D91BE" w:rsidR="00670045" w:rsidRPr="009666E0" w:rsidRDefault="00670045" w:rsidP="00DE318C">
      <w:pPr>
        <w:spacing w:line="360" w:lineRule="auto"/>
        <w:rPr>
          <w:rFonts w:ascii="Times New Roman" w:hAnsi="Times New Roman"/>
          <w:sz w:val="24"/>
          <w:szCs w:val="24"/>
        </w:rPr>
      </w:pPr>
      <w:r w:rsidRPr="009666E0">
        <w:rPr>
          <w:rFonts w:ascii="Times New Roman" w:hAnsi="Times New Roman"/>
          <w:sz w:val="24"/>
          <w:szCs w:val="24"/>
        </w:rPr>
        <w:t>En este sentido, para Flikschuh, la libertad externa entendida como una obligación política mutua representa el centro de la doctrina del derecho y da pie a los contenidos del derecho público que han sido dejados de lado, pero que parten del derecho privado, en reconocimiento al derecho innato de la humanidad, es decir, en nombre de su libertad, lo que se extiende hacia su independencia e igualdad.</w:t>
      </w:r>
    </w:p>
    <w:p w14:paraId="338927E8" w14:textId="77777777"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w:t>
      </w:r>
      <w:proofErr w:type="spellStart"/>
      <w:r w:rsidRPr="009666E0">
        <w:rPr>
          <w:rFonts w:ascii="Times New Roman" w:hAnsi="Times New Roman"/>
          <w:sz w:val="24"/>
          <w:szCs w:val="24"/>
        </w:rPr>
        <w:t>auto-legislar</w:t>
      </w:r>
      <w:proofErr w:type="spellEnd"/>
      <w:r w:rsidRPr="009666E0">
        <w:rPr>
          <w:rFonts w:ascii="Times New Roman" w:hAnsi="Times New Roman"/>
          <w:sz w:val="24"/>
          <w:szCs w:val="24"/>
        </w:rPr>
        <w:t xml:space="preserve"> del agente en la formulación de deseos. </w:t>
      </w:r>
    </w:p>
    <w:p w14:paraId="5EBC96E3" w14:textId="77777777"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w:t>
      </w:r>
    </w:p>
    <w:p w14:paraId="787A9F0E" w14:textId="03F57AF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tesis de Flikschuh asocia la libertad externa a esta obligación recíproca de carácter político, fundándose en los intereses legítimos de los individuos para desarrollar un tipo de libertad compartida que encuentra un límite personal en la libertad exterior ajena. Flikschuh se habrá de preguntar retrospectivamente cómo se implanta un horizonte civil, ya que, si son la ley y la propiedad privada lo que se busca establecer, se presupone que no se puede valer de estos medios y nociones para instaurarse, pues, en la idea de un estado natural, estos conceptos no se encuentran presentes. Por ello, la ley, al menos en un principio, y por única vez, debe ser instaurado por un tipo de fuerza. Esto permite a la autora desarrollar la idea kantiana de una ley permisiva (</w:t>
      </w:r>
      <w:r w:rsidRPr="009666E0">
        <w:rPr>
          <w:rFonts w:ascii="Times New Roman" w:hAnsi="Times New Roman"/>
          <w:i/>
          <w:iCs/>
          <w:sz w:val="24"/>
          <w:szCs w:val="24"/>
        </w:rPr>
        <w:t xml:space="preserve">lex </w:t>
      </w:r>
      <w:proofErr w:type="spellStart"/>
      <w:r w:rsidRPr="009666E0">
        <w:rPr>
          <w:rFonts w:ascii="Times New Roman" w:hAnsi="Times New Roman"/>
          <w:i/>
          <w:iCs/>
          <w:sz w:val="24"/>
          <w:szCs w:val="24"/>
        </w:rPr>
        <w:t>permissiva</w:t>
      </w:r>
      <w:proofErr w:type="spellEnd"/>
      <w:r w:rsidRPr="009666E0">
        <w:rPr>
          <w:rFonts w:ascii="Times New Roman" w:hAnsi="Times New Roman"/>
          <w:sz w:val="24"/>
          <w:szCs w:val="24"/>
        </w:rPr>
        <w:t xml:space="preserve">) a la hora de pensar en el problema de la propiedad en el transcurso de un orden natural a uno legal. </w:t>
      </w:r>
    </w:p>
    <w:p w14:paraId="1334C836"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noción de obligación política mutua supone, para la autora que: “mis obligaciones de justicia hacia ti se siguen como un corolario directo de mi ejercicio de la libertad de elección </w:t>
      </w:r>
      <w:r w:rsidRPr="009666E0">
        <w:rPr>
          <w:rFonts w:ascii="Times New Roman" w:hAnsi="Times New Roman"/>
          <w:sz w:val="24"/>
          <w:szCs w:val="24"/>
        </w:rPr>
        <w:lastRenderedPageBreak/>
        <w:t xml:space="preserve">y acción.” (2000; p.142) Y luego agrega que: “Este reconocimiento de los agentes sobre los deberes de justicia imponen restricciones en sus reclamos de la libertad, lo que hace posible la construcción práctica del concepto del derecho en la forma de una sociedad civil.” (2000; p.143) De esta manera, la idea de obligación política recíproca se deriva del concepto de la libertad jurídica, de acuerdo al principio universal del derecho y a la apelación al único derecho innato que poseemos: la libertad. </w:t>
      </w:r>
    </w:p>
    <w:p w14:paraId="4C7A2A26" w14:textId="7C141C12" w:rsidR="00670045" w:rsidRPr="009666E0" w:rsidRDefault="00670045" w:rsidP="007C3B89">
      <w:pPr>
        <w:spacing w:line="360" w:lineRule="auto"/>
        <w:rPr>
          <w:rFonts w:ascii="Times New Roman" w:hAnsi="Times New Roman"/>
          <w:sz w:val="24"/>
          <w:szCs w:val="24"/>
        </w:rPr>
      </w:pPr>
      <w:r w:rsidRPr="009666E0">
        <w:rPr>
          <w:rFonts w:ascii="Times New Roman" w:hAnsi="Times New Roman"/>
          <w:sz w:val="24"/>
          <w:szCs w:val="24"/>
        </w:rPr>
        <w:t>Este capítulo ha buscado esbozar las tesis principales del libro de Flikschuh en su lectura de la doctrina del derecho.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 En tercer lugar, </w:t>
      </w:r>
      <w:r w:rsidRPr="009666E0">
        <w:rPr>
          <w:rFonts w:ascii="Times New Roman" w:hAnsi="Times New Roman"/>
          <w:sz w:val="24"/>
          <w:szCs w:val="24"/>
        </w:rPr>
        <w:t>se ha establecido</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 así como el alcance cosmopolita de toda la propuesta del pensamiento filosófico y político de Kant.</w:t>
      </w:r>
      <w:r w:rsidR="007C3B89">
        <w:rPr>
          <w:rFonts w:ascii="Times New Roman" w:hAnsi="Times New Roman"/>
          <w:sz w:val="24"/>
          <w:szCs w:val="24"/>
        </w:rPr>
        <w:t xml:space="preserve"> Todos estos elementos ayudan a delimitar una noción de la libertad externa. </w:t>
      </w:r>
    </w:p>
    <w:p w14:paraId="05AFCCC0" w14:textId="77777777" w:rsidR="00670045" w:rsidRDefault="00670045" w:rsidP="00670045">
      <w:pPr>
        <w:spacing w:line="360" w:lineRule="auto"/>
        <w:rPr>
          <w:rFonts w:ascii="Times New Roman" w:hAnsi="Times New Roman"/>
          <w:sz w:val="24"/>
          <w:szCs w:val="24"/>
        </w:rPr>
      </w:pPr>
    </w:p>
    <w:p w14:paraId="45886E41" w14:textId="65ECC151" w:rsidR="009C59C1" w:rsidRPr="009C59C1" w:rsidRDefault="009C59C1" w:rsidP="00670045">
      <w:pPr>
        <w:spacing w:line="360" w:lineRule="auto"/>
        <w:rPr>
          <w:rFonts w:ascii="Times New Roman" w:hAnsi="Times New Roman"/>
          <w:color w:val="EE0000"/>
          <w:sz w:val="24"/>
          <w:szCs w:val="24"/>
        </w:rPr>
      </w:pPr>
      <w:r w:rsidRPr="009C59C1">
        <w:rPr>
          <w:rFonts w:ascii="Times New Roman" w:hAnsi="Times New Roman"/>
          <w:color w:val="EE0000"/>
          <w:sz w:val="24"/>
          <w:szCs w:val="24"/>
        </w:rPr>
        <w:t>BTW revisar bien esto</w:t>
      </w:r>
    </w:p>
    <w:p w14:paraId="7B60FA1E" w14:textId="0AF3E227" w:rsidR="009C59C1" w:rsidRPr="009666E0" w:rsidRDefault="009C59C1" w:rsidP="00670045">
      <w:pPr>
        <w:spacing w:line="360" w:lineRule="auto"/>
        <w:rPr>
          <w:rFonts w:ascii="Times New Roman" w:hAnsi="Times New Roman"/>
          <w:sz w:val="24"/>
          <w:szCs w:val="24"/>
        </w:rPr>
      </w:pPr>
      <w:r>
        <w:rPr>
          <w:noProof/>
        </w:rPr>
        <w:drawing>
          <wp:inline distT="0" distB="0" distL="0" distR="0" wp14:anchorId="4937AC63" wp14:editId="77DD30F9">
            <wp:extent cx="6048375" cy="1524000"/>
            <wp:effectExtent l="0" t="0" r="9525" b="0"/>
            <wp:docPr id="54493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4818" name=""/>
                    <pic:cNvPicPr/>
                  </pic:nvPicPr>
                  <pic:blipFill>
                    <a:blip r:embed="rId9"/>
                    <a:stretch>
                      <a:fillRect/>
                    </a:stretch>
                  </pic:blipFill>
                  <pic:spPr>
                    <a:xfrm>
                      <a:off x="0" y="0"/>
                      <a:ext cx="6048375" cy="1524000"/>
                    </a:xfrm>
                    <a:prstGeom prst="rect">
                      <a:avLst/>
                    </a:prstGeom>
                  </pic:spPr>
                </pic:pic>
              </a:graphicData>
            </a:graphic>
          </wp:inline>
        </w:drawing>
      </w: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77777777"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Capítulo 3: La doctrina del derecho y la libertad externa 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Una revisión bastante completa de la doctrina del derecho de Kant se puede encontrar en el libro de Arthur Ripstein titulado </w:t>
      </w:r>
      <w:r w:rsidRPr="009666E0">
        <w:rPr>
          <w:rFonts w:ascii="Times New Roman" w:hAnsi="Times New Roman"/>
          <w:i/>
          <w:iCs/>
          <w:sz w:val="24"/>
          <w:szCs w:val="24"/>
          <w:lang w:val="es-MX"/>
        </w:rPr>
        <w:t xml:space="preserve">Force and Freedom: </w:t>
      </w:r>
      <w:proofErr w:type="spellStart"/>
      <w:r w:rsidRPr="009666E0">
        <w:rPr>
          <w:rFonts w:ascii="Times New Roman" w:hAnsi="Times New Roman"/>
          <w:i/>
          <w:iCs/>
          <w:sz w:val="24"/>
          <w:szCs w:val="24"/>
          <w:lang w:val="es-MX"/>
        </w:rPr>
        <w:t>Kant’s</w:t>
      </w:r>
      <w:proofErr w:type="spellEnd"/>
      <w:r w:rsidRPr="009666E0">
        <w:rPr>
          <w:rFonts w:ascii="Times New Roman" w:hAnsi="Times New Roman"/>
          <w:i/>
          <w:iCs/>
          <w:sz w:val="24"/>
          <w:szCs w:val="24"/>
          <w:lang w:val="es-MX"/>
        </w:rPr>
        <w:t xml:space="preserve"> legal and </w:t>
      </w:r>
      <w:proofErr w:type="spellStart"/>
      <w:r w:rsidRPr="009666E0">
        <w:rPr>
          <w:rFonts w:ascii="Times New Roman" w:hAnsi="Times New Roman"/>
          <w:i/>
          <w:iCs/>
          <w:sz w:val="24"/>
          <w:szCs w:val="24"/>
          <w:lang w:val="es-MX"/>
        </w:rPr>
        <w:t>political</w:t>
      </w:r>
      <w:proofErr w:type="spellEnd"/>
      <w:r w:rsidRPr="009666E0">
        <w:rPr>
          <w:rFonts w:ascii="Times New Roman" w:hAnsi="Times New Roman"/>
          <w:i/>
          <w:iCs/>
          <w:sz w:val="24"/>
          <w:szCs w:val="24"/>
          <w:lang w:val="es-MX"/>
        </w:rPr>
        <w:t xml:space="preserve"> </w:t>
      </w:r>
      <w:proofErr w:type="spellStart"/>
      <w:r w:rsidRPr="009666E0">
        <w:rPr>
          <w:rFonts w:ascii="Times New Roman" w:hAnsi="Times New Roman"/>
          <w:i/>
          <w:iCs/>
          <w:sz w:val="24"/>
          <w:szCs w:val="24"/>
          <w:lang w:val="es-MX"/>
        </w:rPr>
        <w:t>philosophy</w:t>
      </w:r>
      <w:proofErr w:type="spellEnd"/>
      <w:r w:rsidRPr="009666E0">
        <w:rPr>
          <w:rFonts w:ascii="Times New Roman" w:hAnsi="Times New Roman"/>
          <w:i/>
          <w:iCs/>
          <w:sz w:val="24"/>
          <w:szCs w:val="24"/>
          <w:lang w:val="es-MX"/>
        </w:rPr>
        <w:t xml:space="preserve"> </w:t>
      </w:r>
      <w:r w:rsidRPr="009666E0">
        <w:rPr>
          <w:rFonts w:ascii="Times New Roman" w:hAnsi="Times New Roman"/>
          <w:sz w:val="24"/>
          <w:szCs w:val="24"/>
          <w:lang w:val="es-MX"/>
        </w:rPr>
        <w:t>(2009), en donde se ofrece una visión sistemática y organizada de los principios y contenidos principales del pensamiento político y jurídico de Kant.</w:t>
      </w:r>
    </w:p>
    <w:p w14:paraId="027D5FE3" w14:textId="587C500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revisaremos algunas dimensiones de la libertad externa (a la que Ripstein se remite como libertad igual), en virtud de estar relacionada a las ideas del (3.1) uso normativo de los principios metafísicos para el derecho, (3.2) la soberanía y el consentimiento, de (3.3) una condición innata, (3.4) de equidad y finalmente, relacionada al concepto de la (3.5) fuerza en su uso legítimo.</w:t>
      </w:r>
    </w:p>
    <w:p w14:paraId="1ED42B8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dimensiones de la libertad externa se dan a lo largo de la revisión de la doctrina del derecho de Kant e involucran distintas consideraciones complementarias. Ripstein comienza por establecer el sentido de la libertad en cuanto derecho innato, y prosigue a definir el marco del derecho privado. Luego de analizar tres defectos del estado natural, propondrá las bases de lo que corresponde al derecho público, enfocándose ulteriormente en el sentido del uso de la fuerza legítima. Ripstein también habrá de notar la implicancia de la idea de lo cosmopolita desde los fundamentos mismos de la doctrina del derecho de Kant. Para establecer un marco de la libertad externa,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06F312E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Ripstein subscribe la idea de K. Flikschuh y otros, cuando refieren la relevancia de la dimensión metafísica en el pensamiento político de Kant. De esta forma, se resalta la fuerza normativa que representa la idea de libertad externa. Este es un primer modo de entender la libertad externa como un principio normativo de la razón. </w:t>
      </w:r>
    </w:p>
    <w:p w14:paraId="3627D9A4" w14:textId="1B49E62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primer capítulo, el autor presentará una idea fundamental referida al derecho kantiano como fundado en la idea normativa de la libertad externa bajo leyes universales, en donde Ripstein señala que: “La presentación de Kant de sus argumentos, sus fundamentos para rechazar puntos de partida empíricos y antropológicos en la filosofía política descansan </w:t>
      </w:r>
      <w:r w:rsidRPr="009666E0">
        <w:rPr>
          <w:rFonts w:ascii="Times New Roman" w:hAnsi="Times New Roman"/>
          <w:sz w:val="24"/>
          <w:szCs w:val="24"/>
          <w:lang w:val="es-MX"/>
        </w:rPr>
        <w:lastRenderedPageBreak/>
        <w:t xml:space="preserve">en la simple pero atractiva idea normativa que, en cuanto materia de derecho, cada persona tiene el derecho a ser su propia maestra, no en relación de gozar de una forma especial de relación consigo misma, sino en el sentido contrastante de no verse subordinado a la elección de ninguna otra persona particular.” (2009; p.4) Esta idea corresponde </w:t>
      </w:r>
      <w:r w:rsidR="00A54C41">
        <w:rPr>
          <w:rFonts w:ascii="Times New Roman" w:hAnsi="Times New Roman"/>
          <w:sz w:val="24"/>
          <w:szCs w:val="24"/>
          <w:lang w:val="es-MX"/>
        </w:rPr>
        <w:t xml:space="preserve">en paralelo </w:t>
      </w:r>
      <w:r w:rsidRPr="009666E0">
        <w:rPr>
          <w:rFonts w:ascii="Times New Roman" w:hAnsi="Times New Roman"/>
          <w:sz w:val="24"/>
          <w:szCs w:val="24"/>
          <w:lang w:val="es-MX"/>
        </w:rPr>
        <w:t>a una dimensión de la noción de libertad comprendida en cuanto no existe interferencia externa</w:t>
      </w:r>
      <w:r w:rsidR="00A54C41">
        <w:rPr>
          <w:rFonts w:ascii="Times New Roman" w:hAnsi="Times New Roman"/>
          <w:sz w:val="24"/>
          <w:szCs w:val="24"/>
          <w:lang w:val="es-MX"/>
        </w:rPr>
        <w:t xml:space="preserve">, como sostenía la perspectiva de libertad negativa de I. </w:t>
      </w:r>
      <w:proofErr w:type="spellStart"/>
      <w:r w:rsidR="00A54C41">
        <w:rPr>
          <w:rFonts w:ascii="Times New Roman" w:hAnsi="Times New Roman"/>
          <w:sz w:val="24"/>
          <w:szCs w:val="24"/>
          <w:lang w:val="es-MX"/>
        </w:rPr>
        <w:t>Berlin</w:t>
      </w:r>
      <w:proofErr w:type="spellEnd"/>
      <w:r w:rsidR="00A54C41">
        <w:rPr>
          <w:rFonts w:ascii="Times New Roman" w:hAnsi="Times New Roman"/>
          <w:sz w:val="24"/>
          <w:szCs w:val="24"/>
          <w:lang w:val="es-MX"/>
        </w:rPr>
        <w:t>, y puede complementarse con la idea de P. Pettit, interpretando la libertad como no dominación, o el no estar sujeto a un poder arbitrario. En el caso de Ripstein, la libertad parece asociarse más a la independencia, en donde el individuo no se vea sujeto a la elección y determinación por otros.</w:t>
      </w:r>
    </w:p>
    <w:p w14:paraId="31D5403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plantea que la libertad se convierte en un principio rector del derecho, ya que éste se plantea normativamente como una idea de la razón práctica con la finalidad de garantizar una libertad exterior o recíproca. En este sentido, se demarca la autonomía del derecho frente a la moral, ya que lo jurídico y exterior no dependen de las virtudes internas, sino de reglas para la conducta externa y que pueden ser coercibles por el horizonte civil, de acuerdo a una voluntad unificada o integrada. </w:t>
      </w:r>
    </w:p>
    <w:p w14:paraId="5D0E784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 El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justicia. </w:t>
      </w:r>
    </w:p>
    <w:p w14:paraId="0F29B30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su propia </w:t>
      </w:r>
      <w:r w:rsidRPr="009666E0">
        <w:rPr>
          <w:rFonts w:ascii="Times New Roman" w:hAnsi="Times New Roman"/>
          <w:sz w:val="24"/>
          <w:szCs w:val="24"/>
          <w:lang w:val="es-MX"/>
        </w:rPr>
        <w:lastRenderedPageBreak/>
        <w:t xml:space="preserve">maestra impuesta a la conducta de los otros.” (2009; p.6) De acuerdo a Ripstein, la libertad externa opera como un principio normativo para establecer un tipo de libertad recíproca que se ajusta al principio universal del derecho. </w:t>
      </w:r>
    </w:p>
    <w:p w14:paraId="4DC709C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derecho. (…) Los principios del derecho que Kant presenta son altamente abstractos, y requieren del ejercicio del juicio para aplicarle a casos particulares.” (2009; p.10)</w:t>
      </w:r>
    </w:p>
    <w:p w14:paraId="67D02F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apéndice final del libro, titulado “Un postulado incapaz de subsecuente prueba”,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p>
    <w:p w14:paraId="38B571C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lastRenderedPageBreak/>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Se puede interpretar, en un segundo sentido, la idea de libertad externa en cuanto soberanía. Ripstein habrá de hacer constante énfasis en la idea del derecho como un sistema de principios que posibilita pensar en la persona como señor, o dueño, de sí mismo sin la interferencia de otros. </w:t>
      </w:r>
    </w:p>
    <w:p w14:paraId="7E64177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 su propio señor.” (2009; p.4)</w:t>
      </w:r>
    </w:p>
    <w:p w14:paraId="60E5D41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final hacia el uso legítimo de la fuerza, en un sentido de restricciones jurídicas y civiles, (ante las cuales los individuos modelan las máximas de sus acciones exteriores) que permitan precisamente que cada uno cuente con una libertad externa. De esta forma, el autor refiere que: “La explicación completa de Kant sobre lo que es para cada persona ser su propia maestra, en lugar de ser el sirviente de otro, es lo que habrá de ocupar la mayor parte de este libro.” (2009; p.5)</w:t>
      </w:r>
    </w:p>
    <w:p w14:paraId="6C05C99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(2009; p.5)</w:t>
      </w:r>
    </w:p>
    <w:p w14:paraId="3514C81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sentido del derecho, por cuanto persigue la justicia, representa un norte ante el cual inclinamos y evaluamos la idea de lo que delimita la libertad civil. De esta manera la libertad externa, como un principio normativo, orienta el sentido del derecho en el sentido privado, público y cosmopolita. Ripstein enfatiza que: “La autoridad de cualquier persona o mandato institucional para balancear valores en competencia debe por sí mismo ser reconciliado con el derecho de cada persona para ser su propio maestro/a.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(2009; p.5) Esto equivale a señalar que la libertad externa, pensada fundamentalmente como soberanía, es uno de los sentidos últimos y razones de ser del derecho. Toda ley e institución debe actuar con este derecho innato en mente, a la hora de desplegarse. Esto equivale a subrayar la necesidad de un horizonte civil en las relaciones externas. </w:t>
      </w:r>
    </w:p>
    <w:p w14:paraId="794D8AA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Ello se complementa con el siguiente pasaje, en donde Ripstein enfatiza que: “Kant no provee una fórmula detallada para la resolución de disputas privadas o el contenido de la legislación pública. Su argumento muestra que esos asuntos deben ser enmarcados, de forma consistente con el derecho de cada persona a ser su propia maestra, y además porqué las instituciones públicas deben establecerse para resolverlo.” (2009; p.11)</w:t>
      </w:r>
    </w:p>
    <w:p w14:paraId="2ECCF027"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representa un derecho innato (incluso en un estado natural), pero su sentido externo sólo puede darse plenamente en un horizonte civil con autoridades e instituciones legítimas. En este puntual sentido, Ripstein refiere que Kant tiene la idea: “que cada derecho de la persona a ser su propia maestra es solo consistente con el derecho de otros si las instituciones legales públicas están vigentes.” (2009; p.9) La libertad precisa a la que se hace referencia, es aquella en que confluyen los actos de unos sobre otros, es decir, que podemos interpretar que Ripstein apunta en este pasaje a la libertad externa como presente únicamente en el marco jurídico de una sociedad que ha integrado su voluntad. </w:t>
      </w:r>
    </w:p>
    <w:p w14:paraId="0725C6B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(2009; p.9) Esto nos permite distinguir entre una libertad ilimitada, sin restricciones, </w:t>
      </w:r>
      <w:r w:rsidRPr="009666E0">
        <w:rPr>
          <w:rFonts w:ascii="Times New Roman" w:hAnsi="Times New Roman"/>
          <w:sz w:val="24"/>
          <w:szCs w:val="24"/>
          <w:lang w:val="es-MX"/>
        </w:rPr>
        <w:lastRenderedPageBreak/>
        <w:t xml:space="preserve">o salvaje (en el sentido del estado natural), de una libertad civilizada o externa, en donde la soberanía de una libertad externa únicamente es concebible bajo el trasfondo de un marco civil. Esto se hará patente en los siguientes capítulos del libro. </w:t>
      </w:r>
    </w:p>
    <w:p w14:paraId="4F45E779" w14:textId="56FD00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también distingue los derechos que son innatos, y aquellos que son adquiridos. En el marco de su interpretación de Kant, la libertad por sí sola es un derecho innato, mientras que la libertad externa o jurídica</w:t>
      </w:r>
      <w:r w:rsidR="002E32FB">
        <w:rPr>
          <w:rFonts w:ascii="Times New Roman" w:hAnsi="Times New Roman"/>
          <w:sz w:val="24"/>
          <w:szCs w:val="24"/>
          <w:lang w:val="es-MX"/>
        </w:rPr>
        <w:t xml:space="preserve"> </w:t>
      </w:r>
      <w:r w:rsidRPr="009666E0">
        <w:rPr>
          <w:rFonts w:ascii="Times New Roman" w:hAnsi="Times New Roman"/>
          <w:sz w:val="24"/>
          <w:szCs w:val="24"/>
          <w:lang w:val="es-MX"/>
        </w:rPr>
        <w:t>requiere un horizonte civil</w:t>
      </w:r>
      <w:r w:rsidR="002E32FB">
        <w:rPr>
          <w:rFonts w:ascii="Times New Roman" w:hAnsi="Times New Roman"/>
          <w:sz w:val="24"/>
          <w:szCs w:val="24"/>
          <w:lang w:val="es-MX"/>
        </w:rPr>
        <w:t xml:space="preserve"> de garantías públicas.</w:t>
      </w:r>
    </w:p>
    <w:p w14:paraId="47CDEA3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cuarto capítulo,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(2009; p.106)</w:t>
      </w:r>
    </w:p>
    <w:p w14:paraId="38BE660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(2009; p.144)</w:t>
      </w:r>
    </w:p>
    <w:p w14:paraId="7B5C86E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 “Tan austera perspectiva de la libertad no permite ninguna evaluación sobre diferentes elecciones sobre la base de un índice público de su </w:t>
      </w:r>
      <w:r w:rsidRPr="009666E0">
        <w:rPr>
          <w:rFonts w:ascii="Times New Roman" w:hAnsi="Times New Roman"/>
          <w:sz w:val="24"/>
          <w:szCs w:val="24"/>
        </w:rPr>
        <w:lastRenderedPageBreak/>
        <w:t>importancia. En su lugar, requiere solamente que las personas libres sean moralmente capaces de juntarse para cambiar sus respectivos derechos y obligaciones.” (2009; p.144)</w:t>
      </w:r>
    </w:p>
    <w:p w14:paraId="27B08238" w14:textId="37B8829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la soberanía no se trata meramente de la autonomía para dirigir los propios actos, sino que se extiende hasta la necesidad de una aprobación consentida de la ley pública, ante la cual todos nos sometemos para permitir una libertad exterior, compartida, </w:t>
      </w:r>
      <w:r w:rsidR="00157CD1">
        <w:rPr>
          <w:rFonts w:ascii="Times New Roman" w:hAnsi="Times New Roman"/>
          <w:sz w:val="24"/>
          <w:szCs w:val="24"/>
        </w:rPr>
        <w:t>igual</w:t>
      </w:r>
      <w:r w:rsidRPr="009666E0">
        <w:rPr>
          <w:rFonts w:ascii="Times New Roman" w:hAnsi="Times New Roman"/>
          <w:sz w:val="24"/>
          <w:szCs w:val="24"/>
        </w:rPr>
        <w:t xml:space="preserve"> y recíproca. </w:t>
      </w:r>
    </w:p>
    <w:p w14:paraId="398075A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segunda gran parte del libro de Ripstein se ocupa del derecho público. El séptimo capítulo tiene por título “dándonos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suele ser encarnada por constituciones que adoptan una forma de gobierno y política republicanas.</w:t>
      </w:r>
    </w:p>
    <w:p w14:paraId="102DB925" w14:textId="5BA3E6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 xml:space="preserve">Ripstein explica en el capítulo sexto, estos tres defectos en el estado de naturaleza, considerando que en el estado natural podemos tener 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coercer. Pero los derechos adquiridos no pueden hacerse cumplir en un estado natural. Tercero, en cuanto aspectos de un sistema de libertad </w:t>
      </w:r>
      <w:r w:rsidR="00157CD1">
        <w:rPr>
          <w:rFonts w:ascii="Times New Roman" w:hAnsi="Times New Roman"/>
          <w:sz w:val="24"/>
          <w:szCs w:val="24"/>
        </w:rPr>
        <w:t>igual</w:t>
      </w:r>
      <w:r w:rsidRPr="009666E0">
        <w:rPr>
          <w:rFonts w:ascii="Times New Roman" w:hAnsi="Times New Roman"/>
          <w:sz w:val="24"/>
          <w:szCs w:val="24"/>
        </w:rPr>
        <w:t>, la aplicación de los derechos privados a particulares solo puede determinarse de acuerdo con estándares que no sean ejercicios unilaterales del juicio de una de las partes en disputa.” (2009; p.146)</w:t>
      </w:r>
    </w:p>
    <w:p w14:paraId="45248C7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Estos tres defectos deben solucionarse de formas que sean consistentes con el derecho a la libertad, y la forma en que pueden resolverse, es mediante el derecho público, desde un punto de vista que mantenga el norte del derecho innato a la humanidad y que, además, admita una perspectiva omnilateral, en lugar de una que sea unilateral. De esta forma, se considera a un colectivo como teniendo una voluntad integrada, unificada o unida, en virtud de la </w:t>
      </w:r>
      <w:r w:rsidRPr="009666E0">
        <w:rPr>
          <w:rFonts w:ascii="Times New Roman" w:hAnsi="Times New Roman"/>
          <w:sz w:val="24"/>
          <w:szCs w:val="24"/>
        </w:rPr>
        <w:lastRenderedPageBreak/>
        <w:t>deliberación, el darse leyes unos a otros y a sí mismos, que deben pasar por el 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(2009; p.230)</w:t>
      </w:r>
    </w:p>
    <w:p w14:paraId="262EA5A0"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(2009; p.230) Y Ripstein agrega, en la misma línea que: “En su lugar, deben ejercer sus mandatos de forma consistente con el derecho innato de humanidad de cada persona y el estatus de cada persona en cuanto miembro de una voluntad unificada. Una condición legítima entre personas privadas es requerida para reconciliar la intencionalidad de una pluralidad de personas separadas, consistente con el derecho de cada persona a ser su propio señor/a.” (2009; p.230)</w:t>
      </w:r>
    </w:p>
    <w:p w14:paraId="6694BB8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 </w:t>
      </w:r>
    </w:p>
    <w:p w14:paraId="72EAD9B2" w14:textId="77777777" w:rsidR="00670045" w:rsidRPr="009666E0" w:rsidRDefault="00670045" w:rsidP="00670045">
      <w:pPr>
        <w:spacing w:line="360" w:lineRule="auto"/>
        <w:rPr>
          <w:rFonts w:ascii="Times New Roman" w:hAnsi="Times New Roman"/>
          <w:sz w:val="24"/>
          <w:szCs w:val="24"/>
        </w:rPr>
      </w:pPr>
    </w:p>
    <w:p w14:paraId="36AE6F96" w14:textId="5438D53A"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w:t>
      </w:r>
      <w:r w:rsidR="002E32FB">
        <w:rPr>
          <w:rFonts w:ascii="Times New Roman" w:hAnsi="Times New Roman"/>
          <w:sz w:val="24"/>
          <w:szCs w:val="24"/>
          <w:lang w:val="es-MX"/>
        </w:rPr>
        <w:t xml:space="preserve"> y el</w:t>
      </w:r>
      <w:r w:rsidR="006000C1">
        <w:rPr>
          <w:rFonts w:ascii="Times New Roman" w:hAnsi="Times New Roman"/>
          <w:sz w:val="24"/>
          <w:szCs w:val="24"/>
          <w:lang w:val="es-MX"/>
        </w:rPr>
        <w:t xml:space="preserve"> </w:t>
      </w:r>
      <w:r w:rsidRPr="009666E0">
        <w:rPr>
          <w:rFonts w:ascii="Times New Roman" w:hAnsi="Times New Roman"/>
          <w:sz w:val="24"/>
          <w:szCs w:val="24"/>
          <w:lang w:val="es-MX"/>
        </w:rPr>
        <w:t>derecho innato de la humanidad</w:t>
      </w:r>
      <w:r w:rsidR="006000C1">
        <w:rPr>
          <w:rFonts w:ascii="Times New Roman" w:hAnsi="Times New Roman"/>
          <w:sz w:val="24"/>
          <w:szCs w:val="24"/>
          <w:lang w:val="es-MX"/>
        </w:rPr>
        <w:t xml:space="preserve"> </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20BF43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se puede pensar la libertad externa en cuanto se deriva de un derecho básico e innato de la humanidad que se posee antes de la condición jurídica misma, o un estado civil como tal. La primera gran parte del libro se ocupa del derecho privado y en el segundo capítulo, Ripstein nos habla del derecho innato de la humanidad. Esto supone que </w:t>
      </w:r>
      <w:r w:rsidRPr="009666E0">
        <w:rPr>
          <w:rFonts w:ascii="Times New Roman" w:hAnsi="Times New Roman"/>
          <w:sz w:val="24"/>
          <w:szCs w:val="24"/>
          <w:lang w:val="es-MX"/>
        </w:rPr>
        <w:lastRenderedPageBreak/>
        <w:t xml:space="preserve">cada ser humano posee un derecho básico a la libertad que es universal e independiente de las condiciones sociales, materiales o cualquier otra contingencia. Este derecho innato a la libertad es un paso formal para un tipo de libertad que es civil y amparado por el derecho público. Esta última libertad civil, sería precisamente la externa. </w:t>
      </w:r>
    </w:p>
    <w:p w14:paraId="788F2D59" w14:textId="6A53456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9666E0">
        <w:rPr>
          <w:rFonts w:ascii="Times New Roman" w:hAnsi="Times New Roman"/>
          <w:sz w:val="24"/>
          <w:szCs w:val="24"/>
        </w:rPr>
        <w:t>“El derecho innato de la humanidad es la base para cualesquiera subsecuentes derechos que una persona debe tener, debido a que es el tener derecho para ser su propio señor/a que cada persona tiene, y así, como resultado, también un derecho que limita las formas en las cuales la fuerza pueda ser usada.” (2009;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7D6389E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“Esta misma estructura de libertad </w:t>
      </w:r>
      <w:r w:rsidR="00157CD1">
        <w:rPr>
          <w:rFonts w:ascii="Times New Roman" w:hAnsi="Times New Roman"/>
          <w:sz w:val="24"/>
          <w:szCs w:val="24"/>
        </w:rPr>
        <w:t>igual</w:t>
      </w:r>
      <w:r w:rsidRPr="009666E0">
        <w:rPr>
          <w:rFonts w:ascii="Times New Roman" w:hAnsi="Times New Roman"/>
          <w:sz w:val="24"/>
          <w:szCs w:val="24"/>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(2009; p.56) El derecho innato de la humanidad es la base para otro tipo de derechos.</w:t>
      </w:r>
    </w:p>
    <w:p w14:paraId="4C5649B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tercer capítulo se ocupa de los derechos adquiridos, como unos que son distintos del derecho innato y le presuponen. Ripstein analiza de qué forma los individuos pueden adquirir derechos sobre objetos externos, es decir, a algo distinto que a sus propias personas. Esto abre la perspectiva de los derechos a la propiedad, que representan un núcleo importante del derecho privado en la obra de Kant. </w:t>
      </w:r>
    </w:p>
    <w:p w14:paraId="25573425" w14:textId="6AF0B953"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Mientras que la libertad como algo innato apunta principalmente al cuerpo</w:t>
      </w:r>
      <w:r w:rsidR="002E32FB">
        <w:rPr>
          <w:rFonts w:ascii="Times New Roman" w:hAnsi="Times New Roman"/>
          <w:sz w:val="24"/>
          <w:szCs w:val="24"/>
          <w:lang w:val="es-MX"/>
        </w:rPr>
        <w:t xml:space="preserve"> y la soberanía que le confiere a cada persona sobre su propio ser</w:t>
      </w:r>
      <w:r w:rsidRPr="009666E0">
        <w:rPr>
          <w:rFonts w:ascii="Times New Roman" w:hAnsi="Times New Roman"/>
          <w:sz w:val="24"/>
          <w:szCs w:val="24"/>
          <w:lang w:val="es-MX"/>
        </w:rPr>
        <w:t xml:space="preserve">, la libertad de algunos derechos adquiridos expande el dominio de la libertad en las relaciones interpersonales.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w:t>
      </w:r>
      <w:r w:rsidRPr="009666E0">
        <w:rPr>
          <w:rFonts w:ascii="Times New Roman" w:hAnsi="Times New Roman"/>
          <w:sz w:val="24"/>
          <w:szCs w:val="24"/>
          <w:lang w:val="es-MX"/>
        </w:rPr>
        <w:lastRenderedPageBreak/>
        <w:t>debe extenderse para hacer de su uso algo consistente con la libertad de cada persona.”</w:t>
      </w:r>
      <w:r w:rsidRPr="009666E0">
        <w:rPr>
          <w:rFonts w:ascii="Times New Roman" w:hAnsi="Times New Roman"/>
          <w:sz w:val="24"/>
          <w:szCs w:val="24"/>
        </w:rPr>
        <w:t xml:space="preserve"> (2009; p.85)</w:t>
      </w:r>
    </w:p>
    <w:p w14:paraId="1D78458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derecho de otros para usar sus medios externos como vean adecuado, en lugar de tener su base en los fines particulares que son perseguidos.” (2009; p.85)</w:t>
      </w:r>
    </w:p>
    <w:p w14:paraId="2A10674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(2009; p.85)</w:t>
      </w:r>
    </w:p>
    <w:p w14:paraId="52578FDF" w14:textId="6A51013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Es necesari</w:t>
      </w:r>
      <w:r w:rsidR="00354AFF">
        <w:rPr>
          <w:rFonts w:ascii="Times New Roman" w:hAnsi="Times New Roman"/>
          <w:sz w:val="24"/>
          <w:szCs w:val="24"/>
          <w:lang w:val="es-MX"/>
        </w:rPr>
        <w:t>o</w:t>
      </w:r>
      <w:r w:rsidRPr="009666E0">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(2009; p.181)</w:t>
      </w:r>
    </w:p>
    <w:p w14:paraId="04373FDF"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(2009; p.181) El punto de vista omnilateral, en este sentido, representa el sentido del derecho público, y extiende de esta forma, el derecho innato de la humanidad, desde una libertad innata hacia una libertad jurídica de actos exteriores. Como Ripstein refiere: “Incluso el derecho innato de la humanidad es inseguro en tal condición, tanto porque no hay remedio posible en caso de completarse un perjuicio en contra de una persona, y porque aún el derecho protectivo para defender tu propia persona en contra de un </w:t>
      </w:r>
      <w:r w:rsidRPr="009666E0">
        <w:rPr>
          <w:rFonts w:ascii="Times New Roman" w:hAnsi="Times New Roman"/>
          <w:sz w:val="24"/>
          <w:szCs w:val="24"/>
        </w:rPr>
        <w:lastRenderedPageBreak/>
        <w:t>ataque que se lleva a cabo es indeterminado en su aplicación. Estos problemas solo pueden ser resueltos mediante una forma de asociación capaz de hacer leyes en nombre de todos, y autorizando ambos, el hacerse cumplir y la adjudicación bajo el amparo de la ley.” (2009; p.181)</w:t>
      </w:r>
    </w:p>
    <w:p w14:paraId="569A0A07" w14:textId="46EA4BF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Por lo revisado, se puede considerar que la libertad externa presupone y requiere, el horizonte de un marco legal público que se oriente por el sentido normativo de la libertad; Esto podría considerarse</w:t>
      </w:r>
      <w:r w:rsidR="006000C1">
        <w:rPr>
          <w:rFonts w:ascii="Times New Roman" w:hAnsi="Times New Roman"/>
          <w:sz w:val="24"/>
          <w:szCs w:val="24"/>
        </w:rPr>
        <w:t>, como un complemento,</w:t>
      </w:r>
      <w:r w:rsidRPr="009666E0">
        <w:rPr>
          <w:rFonts w:ascii="Times New Roman" w:hAnsi="Times New Roman"/>
          <w:sz w:val="24"/>
          <w:szCs w:val="24"/>
        </w:rPr>
        <w:t xml:space="preserve"> como una libertad igual para todos.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DDD1E3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 xml:space="preserve">3.4 Libertad externa como </w:t>
      </w:r>
      <w:r w:rsidR="00157CD1">
        <w:rPr>
          <w:rFonts w:ascii="Times New Roman" w:hAnsi="Times New Roman"/>
          <w:sz w:val="24"/>
          <w:szCs w:val="24"/>
          <w:lang w:val="es-MX"/>
        </w:rPr>
        <w:t>libertad igual</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0C2D35C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tienes diversos matices. En primer lugar, se piensa que, para todos, por igual, estando bajo la coacción de la ley pública, nos encontramos en reciprocidad de los límites de nuestros actos. En este sentido la libertad externa es </w:t>
      </w:r>
      <w:r w:rsidR="00157CD1">
        <w:rPr>
          <w:rFonts w:ascii="Times New Roman" w:hAnsi="Times New Roman"/>
          <w:sz w:val="24"/>
          <w:szCs w:val="24"/>
          <w:lang w:val="es-MX"/>
        </w:rPr>
        <w:t>igual para todos</w:t>
      </w:r>
      <w:r w:rsidRPr="009666E0">
        <w:rPr>
          <w:rFonts w:ascii="Times New Roman" w:hAnsi="Times New Roman"/>
          <w:sz w:val="24"/>
          <w:szCs w:val="24"/>
          <w:lang w:val="es-MX"/>
        </w:rPr>
        <w:t xml:space="preserve">,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la libertad se entiende como igual para todos por cuanto podemos exigirnos unos a otros el cumplir la ley, y a su vez, debemos otorgar nuestro consentimiento 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w:t>
      </w:r>
      <w:r w:rsidRPr="009666E0">
        <w:rPr>
          <w:rFonts w:ascii="Times New Roman" w:hAnsi="Times New Roman"/>
          <w:sz w:val="24"/>
          <w:szCs w:val="24"/>
          <w:lang w:val="es-MX"/>
        </w:rPr>
        <w:lastRenderedPageBreak/>
        <w:t xml:space="preserve">sentido deliberativo que confluye con el sentido del consentimiento ante las leyes públicas, es decir, generales. </w:t>
      </w:r>
    </w:p>
    <w:p w14:paraId="3223B844" w14:textId="3C4259D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w:t>
      </w:r>
      <w:r w:rsidR="00157CD1">
        <w:rPr>
          <w:rFonts w:ascii="Times New Roman" w:hAnsi="Times New Roman"/>
          <w:sz w:val="24"/>
          <w:szCs w:val="24"/>
          <w:lang w:val="es-MX"/>
        </w:rPr>
        <w:t>igual</w:t>
      </w:r>
      <w:r w:rsidRPr="009666E0">
        <w:rPr>
          <w:rFonts w:ascii="Times New Roman" w:hAnsi="Times New Roman"/>
          <w:sz w:val="24"/>
          <w:szCs w:val="24"/>
          <w:lang w:val="es-MX"/>
        </w:rPr>
        <w:t xml:space="preserve"> en una serie de perspectivas que involucran los matices anteriores. La legitimidad de la fuerza pública radica en qué tanto se guía normativamente por los principios de la libertad como </w:t>
      </w:r>
      <w:r w:rsidR="00354AFF">
        <w:rPr>
          <w:rFonts w:ascii="Times New Roman" w:hAnsi="Times New Roman"/>
          <w:sz w:val="24"/>
          <w:szCs w:val="24"/>
          <w:lang w:val="es-MX"/>
        </w:rPr>
        <w:t xml:space="preserve">un </w:t>
      </w:r>
      <w:r w:rsidRPr="009666E0">
        <w:rPr>
          <w:rFonts w:ascii="Times New Roman" w:hAnsi="Times New Roman"/>
          <w:sz w:val="24"/>
          <w:szCs w:val="24"/>
          <w:lang w:val="es-MX"/>
        </w:rPr>
        <w:t xml:space="preserve">derecho innato de la humanidad; Ripstein señala que: “Espero adelantarme a cualquier impresión de que todo lo que un estado legítimo hace, debe ser una aplicación directa del punto de partida de Kant en la idea de libertad </w:t>
      </w:r>
      <w:r w:rsidR="00157CD1">
        <w:rPr>
          <w:rFonts w:ascii="Times New Roman" w:hAnsi="Times New Roman"/>
          <w:sz w:val="24"/>
          <w:szCs w:val="24"/>
          <w:lang w:val="es-MX"/>
        </w:rPr>
        <w:t>igual</w:t>
      </w:r>
      <w:r w:rsidRPr="009666E0">
        <w:rPr>
          <w:rFonts w:ascii="Times New Roman" w:hAnsi="Times New Roman"/>
          <w:sz w:val="24"/>
          <w:szCs w:val="24"/>
          <w:lang w:val="es-MX"/>
        </w:rPr>
        <w:t>.” (2009; p.6)</w:t>
      </w:r>
    </w:p>
    <w:p w14:paraId="1F60C3F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Si la legitimidad del estado y las leyes radica en el principio de libertad, queda señalado que el sistema que Kant propone, como se ha dicho antes,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(2009; p.10)</w:t>
      </w:r>
    </w:p>
    <w:p w14:paraId="5E4AF4E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Lejos de una perspectiva instrumental o utilitarista, que Kant rechazaría por favorecer una respuesta de principios normativos y en la línea de la deontología, la naturaleza 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(2009; p.298) Y esto nos pone frente a otro problema que la idea de libertad externa supone, referido a los usos y modos en que se ejercita la fuerza, la coerción y el castigo. </w:t>
      </w:r>
    </w:p>
    <w:p w14:paraId="7CA3479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(2009; p.298) </w:t>
      </w:r>
    </w:p>
    <w:p w14:paraId="1EFF6D97" w14:textId="0BBEF6F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w:t>
      </w:r>
      <w:r w:rsidR="00157CD1">
        <w:rPr>
          <w:rFonts w:ascii="Times New Roman" w:hAnsi="Times New Roman"/>
          <w:sz w:val="24"/>
          <w:szCs w:val="24"/>
        </w:rPr>
        <w:t>igual</w:t>
      </w:r>
      <w:r w:rsidRPr="009666E0">
        <w:rPr>
          <w:rFonts w:ascii="Times New Roman" w:hAnsi="Times New Roman"/>
          <w:sz w:val="24"/>
          <w:szCs w:val="24"/>
        </w:rPr>
        <w:t xml:space="preserve">, atraviesa y contiene las ideas regulativas que han conformado su noción a lo largo de las perspectivas que se han </w:t>
      </w:r>
      <w:r w:rsidRPr="009666E0">
        <w:rPr>
          <w:rFonts w:ascii="Times New Roman" w:hAnsi="Times New Roman"/>
          <w:sz w:val="24"/>
          <w:szCs w:val="24"/>
        </w:rPr>
        <w:lastRenderedPageBreak/>
        <w:t xml:space="preserve">detallado en este apartado y a lo largo del capítulo. Hace falta complementar lo revisado con la idea que relaciona el uso de la fuerza con la posibilidad de una libertad que tenga estas características.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representa el uso de la fuerza por parte del estado para poder ejercer la coacción civil a la libertad jurídica, de forma que se posibilite la libertad de todos los demás. Este sería un uso legítimo que se distingue del uso de la fuerza en un estado natural, o el uso de la fuerza en una tiranía o despotismo. </w:t>
      </w:r>
    </w:p>
    <w:p w14:paraId="2C662833" w14:textId="0FA55E89"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La tesis de Ripstein supone 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 xml:space="preserve">cómo (y cuando) las inequidades en riquezas y poder son consistentes con la equidad innata de todas las personas. También muestra que darles poderes especiales a los funcionarios es consistente con la libertad </w:t>
      </w:r>
      <w:r w:rsidR="00157CD1">
        <w:rPr>
          <w:rFonts w:ascii="Times New Roman" w:hAnsi="Times New Roman"/>
          <w:sz w:val="24"/>
          <w:szCs w:val="24"/>
        </w:rPr>
        <w:t>igual</w:t>
      </w:r>
      <w:r w:rsidRPr="009666E0">
        <w:rPr>
          <w:rFonts w:ascii="Times New Roman" w:hAnsi="Times New Roman"/>
          <w:sz w:val="24"/>
          <w:szCs w:val="24"/>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(2009; p.29)</w:t>
      </w:r>
    </w:p>
    <w:p w14:paraId="6621027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octavo capítulo llamado “caminos a la libertad” contiene el análisis de cómo 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Pr="009666E0">
        <w:rPr>
          <w:rFonts w:ascii="Times New Roman" w:hAnsi="Times New Roman"/>
          <w:sz w:val="24"/>
          <w:szCs w:val="24"/>
        </w:rPr>
        <w:t xml:space="preserve">“He presentado una forma distinta de pensar acerca del legítimo uso del poder del estado, enfocado en las condiciones de la libertad en lugar de los intereses. (…) La autoridad pública es sólo eso: es pública, constituida por los ciudadanos en cuanto un </w:t>
      </w:r>
      <w:r w:rsidRPr="009666E0">
        <w:rPr>
          <w:rFonts w:ascii="Times New Roman" w:hAnsi="Times New Roman"/>
          <w:sz w:val="24"/>
          <w:szCs w:val="24"/>
        </w:rPr>
        <w:lastRenderedPageBreak/>
        <w:t xml:space="preserve">cuerpo colectivo, y es una autoridad; Esto es, dentro del mandato, su decisión es vinculante al margen de sus méritos, solamente porque es la decisión de una competente autoridad pública.” (2009; p.265) 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1B689C8C" w14:textId="62A20859"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Pr>
          <w:rFonts w:ascii="Times New Roman" w:hAnsi="Times New Roman"/>
          <w:sz w:val="24"/>
          <w:szCs w:val="24"/>
        </w:rPr>
        <w:t>igual</w:t>
      </w:r>
      <w:r w:rsidRPr="009666E0">
        <w:rPr>
          <w:rFonts w:ascii="Times New Roman" w:hAnsi="Times New Roman"/>
          <w:sz w:val="24"/>
          <w:szCs w:val="24"/>
        </w:rPr>
        <w:t xml:space="preserve">, el estado no debe usar medios inconsistentes con el derecho innato a la humanidad de sus ciudadanos.” (2009; p.265) Como se había referido anteriormente, el poder público debe orientarse siempre por las líneas de la justicia y la libertad como ideas, es decir, no debe hacer daño a nadie, no puede ser privada ni instrumental, y especialmente, debe seguir la línea de la libertad como </w:t>
      </w:r>
      <w:r w:rsidR="00354AFF">
        <w:rPr>
          <w:rFonts w:ascii="Times New Roman" w:hAnsi="Times New Roman"/>
          <w:sz w:val="24"/>
          <w:szCs w:val="24"/>
        </w:rPr>
        <w:t xml:space="preserve">un </w:t>
      </w:r>
      <w:r w:rsidRPr="009666E0">
        <w:rPr>
          <w:rFonts w:ascii="Times New Roman" w:hAnsi="Times New Roman"/>
          <w:sz w:val="24"/>
          <w:szCs w:val="24"/>
        </w:rPr>
        <w:t>derecho innato de la humanidad</w:t>
      </w:r>
      <w:r w:rsidR="00354AFF">
        <w:rPr>
          <w:rFonts w:ascii="Times New Roman" w:hAnsi="Times New Roman"/>
          <w:sz w:val="24"/>
          <w:szCs w:val="24"/>
        </w:rPr>
        <w:t>.</w:t>
      </w:r>
    </w:p>
    <w:p w14:paraId="174A705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(2009; p.265)</w:t>
      </w:r>
    </w:p>
    <w:p w14:paraId="1DC580E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décimo capítulo habla del castigo como una legítima respuesta necesaria para poder asegurar la igualdad de la libertad. En este apartado, </w:t>
      </w:r>
      <w:r w:rsidRPr="009666E0">
        <w:rPr>
          <w:rFonts w:ascii="Times New Roman" w:hAnsi="Times New Roman"/>
          <w:sz w:val="24"/>
          <w:szCs w:val="24"/>
        </w:rPr>
        <w:t xml:space="preserve">Ripstein indica que: “La filosofía legal y política de Kant está presentada como un sistema a priori, lo cual quiere decir que se aplica a los finitos seres racionales encarnados, sin ninguna referencia a la malevolencia o los defectos de la naturaleza humana o las difíciles circunstancias en las cuales los humanos se encuentran.” (2009; p.323) Lo que equivale a señalar el poder normativo del sistema metafísico-crítico kantiano. Agrega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w:t>
      </w:r>
      <w:r w:rsidRPr="009666E0">
        <w:rPr>
          <w:rFonts w:ascii="Times New Roman" w:hAnsi="Times New Roman"/>
          <w:sz w:val="24"/>
          <w:szCs w:val="24"/>
        </w:rPr>
        <w:lastRenderedPageBreak/>
        <w:t>mutuamente una a otra. Al serlo así, he buscado proveer una perspectiva que es a la vez fiel a los textos de Kant, y al mismo tiempo, resueltamente no instrumentalista.” (2009; p.323)</w:t>
      </w:r>
    </w:p>
    <w:p w14:paraId="3CEE9441"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 y luego sublimado civilmente. A su vez, el acento se coloca en la idea normativa de la libertad como compatible con la del uso legítimo de la fuerza, en lugar de apelar a argumento utilitarista. Ripstein nos señala que: “El castigo retributivo no sirve para supervisar que los malvados sufran como se lo merecen; tampoco el castigar a una persona sirve como medida </w:t>
      </w:r>
      <w:proofErr w:type="spellStart"/>
      <w:r w:rsidRPr="009666E0">
        <w:rPr>
          <w:rFonts w:ascii="Times New Roman" w:hAnsi="Times New Roman"/>
          <w:sz w:val="24"/>
          <w:szCs w:val="24"/>
        </w:rPr>
        <w:t>detrimental</w:t>
      </w:r>
      <w:proofErr w:type="spellEnd"/>
      <w:r w:rsidRPr="009666E0">
        <w:rPr>
          <w:rFonts w:ascii="Times New Roman" w:hAnsi="Times New Roman"/>
          <w:sz w:val="24"/>
          <w:szCs w:val="24"/>
        </w:rPr>
        <w:t xml:space="preserve"> para prevenir que otros se involucren en comportamiento mal recibidos.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(2009; p.323)</w:t>
      </w:r>
    </w:p>
    <w:p w14:paraId="27BA4AE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el decimoprimer capítulo, 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(2009; p.339, Kant citado en </w:t>
      </w:r>
      <w:proofErr w:type="spellStart"/>
      <w:r w:rsidRPr="009666E0">
        <w:rPr>
          <w:rFonts w:ascii="Times New Roman" w:hAnsi="Times New Roman"/>
          <w:sz w:val="24"/>
          <w:szCs w:val="24"/>
        </w:rPr>
        <w:t>Ripsten</w:t>
      </w:r>
      <w:proofErr w:type="spellEnd"/>
      <w:r w:rsidRPr="009666E0">
        <w:rPr>
          <w:rFonts w:ascii="Times New Roman" w:hAnsi="Times New Roman"/>
          <w:sz w:val="24"/>
          <w:szCs w:val="24"/>
        </w:rPr>
        <w:t>, 2006, 7:330)</w:t>
      </w:r>
    </w:p>
    <w:p w14:paraId="1C9C0D13" w14:textId="55F8E1E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acuerdo a este panorama, el uso legítimo del uso de la fuerza no puede disociarse de la ley ni de la idea de libertad. Cabe resaltar, que, para Kant, el único uso legítimo de la fuerza pública es uno de tipo republicano, que se caracteriza, dentro de otras cosas, por unificar una </w:t>
      </w:r>
      <w:r w:rsidRPr="009666E0">
        <w:rPr>
          <w:rFonts w:ascii="Times New Roman" w:hAnsi="Times New Roman"/>
          <w:sz w:val="24"/>
          <w:szCs w:val="24"/>
        </w:rPr>
        <w:lastRenderedPageBreak/>
        <w:t>voluntad general que sea omnilateral y se ajuste al principio normativo de la libertad,</w:t>
      </w:r>
      <w:r w:rsidR="00354AFF">
        <w:rPr>
          <w:rFonts w:ascii="Times New Roman" w:hAnsi="Times New Roman"/>
          <w:sz w:val="24"/>
          <w:szCs w:val="24"/>
        </w:rPr>
        <w:t xml:space="preserve"> en cuanto</w:t>
      </w:r>
      <w:r w:rsidRPr="009666E0">
        <w:rPr>
          <w:rFonts w:ascii="Times New Roman" w:hAnsi="Times New Roman"/>
          <w:sz w:val="24"/>
          <w:szCs w:val="24"/>
        </w:rPr>
        <w:t xml:space="preserve"> una libertad exterior. </w:t>
      </w:r>
    </w:p>
    <w:p w14:paraId="29AE547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rPr>
        <w:t xml:space="preserve">En un apartado que se titula: “Desde el derecho innato a la humanidad hacia el derecho de los seres humanos como tal” Ripstein expresa lo siguiente: “El punto de partida para la teoría del derecho de Kant es el derecho innato a la humanidad en cada persona, y así, el tener derechos para cada ser humano de ser independiente de cualquier elección de otra persona, el ser tratado como su propio señor/a, en cuanto persona y no una cosa.”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 xml:space="preserve">“La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(2009; p.352) Esto representa un puente que nos lleva al sentido pleno y público de la libertad entendida como externa e igual para todos. Ripstein concluye 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Pr="009666E0">
        <w:rPr>
          <w:rFonts w:ascii="Times New Roman" w:hAnsi="Times New Roman"/>
          <w:sz w:val="24"/>
          <w:szCs w:val="24"/>
          <w:lang w:val="es-MX"/>
        </w:rPr>
        <w:t>(2009; p.352)</w:t>
      </w:r>
    </w:p>
    <w:p w14:paraId="1FEA31EB" w14:textId="0AD5BD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 se ha planteado el papel del uso legítimo de la fuerza pública. De todo ello, tenemos una delimitación del concepto de libertad externa, de acuerdo a </w:t>
      </w:r>
      <w:proofErr w:type="spellStart"/>
      <w:r w:rsidRPr="009666E0">
        <w:rPr>
          <w:rFonts w:ascii="Times New Roman" w:hAnsi="Times New Roman"/>
          <w:sz w:val="24"/>
          <w:szCs w:val="24"/>
          <w:lang w:val="es-MX"/>
        </w:rPr>
        <w:t>A</w:t>
      </w:r>
      <w:proofErr w:type="spellEnd"/>
      <w:r w:rsidRPr="009666E0">
        <w:rPr>
          <w:rFonts w:ascii="Times New Roman" w:hAnsi="Times New Roman"/>
          <w:sz w:val="24"/>
          <w:szCs w:val="24"/>
          <w:lang w:val="es-MX"/>
        </w:rPr>
        <w:t>. Ripstein, que se ajusta precisamente a la doctrina del derecho de Kant</w:t>
      </w:r>
      <w:r w:rsidR="00354AFF">
        <w:rPr>
          <w:rFonts w:ascii="Times New Roman" w:hAnsi="Times New Roman"/>
          <w:sz w:val="24"/>
          <w:szCs w:val="24"/>
          <w:lang w:val="es-MX"/>
        </w:rPr>
        <w:t>,</w:t>
      </w:r>
      <w:r w:rsidRPr="009666E0">
        <w:rPr>
          <w:rFonts w:ascii="Times New Roman" w:hAnsi="Times New Roman"/>
          <w:sz w:val="24"/>
          <w:szCs w:val="24"/>
          <w:lang w:val="es-MX"/>
        </w:rPr>
        <w:t xml:space="preserve"> de acuerdo a una voluntad </w:t>
      </w:r>
      <w:proofErr w:type="spellStart"/>
      <w:r w:rsidRPr="009666E0">
        <w:rPr>
          <w:rFonts w:ascii="Times New Roman" w:hAnsi="Times New Roman"/>
          <w:sz w:val="24"/>
          <w:szCs w:val="24"/>
          <w:lang w:val="es-MX"/>
        </w:rPr>
        <w:t>ominlateral</w:t>
      </w:r>
      <w:proofErr w:type="spellEnd"/>
      <w:r w:rsidRPr="009666E0">
        <w:rPr>
          <w:rFonts w:ascii="Times New Roman" w:hAnsi="Times New Roman"/>
          <w:sz w:val="24"/>
          <w:szCs w:val="24"/>
          <w:lang w:val="es-MX"/>
        </w:rPr>
        <w:t xml:space="preserve">, que incluye una fuerza pública legítima que tiene un propósito guiado por las ideas regulativas de la justicia y la libertad. </w:t>
      </w:r>
    </w:p>
    <w:p w14:paraId="7689C70E" w14:textId="77777777" w:rsidR="00670045" w:rsidRPr="009666E0" w:rsidRDefault="00670045" w:rsidP="00670045">
      <w:pPr>
        <w:rPr>
          <w:rFonts w:ascii="Times New Roman" w:hAnsi="Times New Roman"/>
          <w:sz w:val="24"/>
          <w:szCs w:val="24"/>
          <w:lang w:val="es-MX"/>
        </w:rPr>
      </w:pPr>
      <w:r w:rsidRPr="009666E0">
        <w:rPr>
          <w:rFonts w:ascii="Times New Roman" w:hAnsi="Times New Roman"/>
          <w:sz w:val="24"/>
          <w:szCs w:val="24"/>
          <w:lang w:val="es-MX"/>
        </w:rPr>
        <w:br w:type="page"/>
      </w:r>
    </w:p>
    <w:p w14:paraId="1EA65741" w14:textId="0964AB48" w:rsidR="00670045" w:rsidRPr="00670045" w:rsidRDefault="00670045" w:rsidP="00670045">
      <w:pPr>
        <w:spacing w:line="360" w:lineRule="auto"/>
        <w:ind w:firstLine="708"/>
        <w:jc w:val="center"/>
        <w:rPr>
          <w:rFonts w:ascii="Times New Roman" w:hAnsi="Times New Roman"/>
          <w:b/>
          <w:bCs/>
          <w:sz w:val="24"/>
          <w:szCs w:val="24"/>
          <w:u w:val="single"/>
          <w:lang w:val="es-MX"/>
        </w:rPr>
      </w:pPr>
      <w:r w:rsidRPr="00670045">
        <w:rPr>
          <w:rFonts w:ascii="Times New Roman" w:hAnsi="Times New Roman"/>
          <w:b/>
          <w:bCs/>
          <w:sz w:val="24"/>
          <w:szCs w:val="24"/>
          <w:u w:val="single"/>
        </w:rPr>
        <w:lastRenderedPageBreak/>
        <w:t xml:space="preserve">Capítulo 4: </w:t>
      </w:r>
      <w:r w:rsidRPr="00670045">
        <w:rPr>
          <w:rFonts w:ascii="Times New Roman" w:hAnsi="Times New Roman"/>
          <w:b/>
          <w:bCs/>
          <w:sz w:val="24"/>
          <w:szCs w:val="24"/>
          <w:u w:val="single"/>
          <w:lang w:val="es-MX"/>
        </w:rPr>
        <w:t xml:space="preserve">Conclusiones </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00479456"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 su perfil interno, hacia lo que le completa, que es una consideración externa y compartida.</w:t>
      </w:r>
    </w:p>
    <w:p w14:paraId="1465227A" w14:textId="09CA2608"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delimitación del concepto de libertad externa, en el pensamiento de Kant, nos puede dejar cuando menos cinco conclusiones que se siguen del desarrollo establecido. Tres provienen de forma directa de Kant y dos le complementan desde lecturas recientes en la literatura especializada en el tema abordado. </w:t>
      </w:r>
    </w:p>
    <w:p w14:paraId="1D57ADFB" w14:textId="51732E7C"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sentido es originario del estado de derecho.</w:t>
      </w:r>
    </w:p>
    <w:p w14:paraId="5D93B14A" w14:textId="2B7224A8"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pública, siempre y cuando esta no perjudique a nadie. El sentido civil de la libertad externa radica en su cercanía con la idea de ciudadanía en la forma de gobierno republicana que confronta cualquier tipo de despotismo.</w:t>
      </w:r>
    </w:p>
    <w:p w14:paraId="55AB0182" w14:textId="50736432"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 expresión y la deliberación como fundamento de una voz unificada del bienestar de los asuntos públicos. </w:t>
      </w:r>
    </w:p>
    <w:p w14:paraId="6C2853EE" w14:textId="752C9F5C"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basada incluso en una lectura de los intereses económicos, ya que ese horizonte requiere de instituciones legales que hagan posible que el deseo de adquirir posesiones sea perenne, y reconocido por todos, en lugar de provisional y dependa de la fuerza de nadie. En este sentido, la fuerza normativa de la libertad </w:t>
      </w:r>
      <w:r>
        <w:rPr>
          <w:rFonts w:ascii="Times New Roman" w:hAnsi="Times New Roman"/>
          <w:sz w:val="24"/>
          <w:szCs w:val="24"/>
          <w:lang w:val="es-MX"/>
        </w:rPr>
        <w:lastRenderedPageBreak/>
        <w:t>externa nos compele, por la fuerza de su idea, a entrar en relaciones civiles de acuerdo a una voluntad razonable, para instaurar un orden civil y público.</w:t>
      </w:r>
    </w:p>
    <w:p w14:paraId="7C9270F1" w14:textId="60BD3673"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Pr>
          <w:rFonts w:ascii="Times New Roman" w:hAnsi="Times New Roman"/>
          <w:sz w:val="24"/>
          <w:szCs w:val="24"/>
          <w:lang w:val="es-MX"/>
        </w:rPr>
        <w:t>Esto equivale a poner un obstáculo a aquellos a quienes obstaculizan la libertad de otros.</w:t>
      </w:r>
    </w:p>
    <w:p w14:paraId="70E24CA6" w14:textId="77777777"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 </w:t>
      </w:r>
    </w:p>
    <w:p w14:paraId="253764F5" w14:textId="4ACB35F8" w:rsidR="006858F9"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todo ello, la libertad externa, parece ser fundamental para entender la ciudadanía en el contexto de una sociedad educada bajo los ideales de la forma de gobierno que es republicana, que es la única que parece admitir una noción regulativa articulada acerca del tipo de libertad que es jurídica, civil y política, es decir, la externa. </w:t>
      </w:r>
    </w:p>
    <w:p w14:paraId="66A7E107" w14:textId="77777777" w:rsidR="00605106" w:rsidRDefault="00605106" w:rsidP="00670045">
      <w:pPr>
        <w:spacing w:line="360" w:lineRule="auto"/>
        <w:rPr>
          <w:rFonts w:ascii="Times New Roman" w:hAnsi="Times New Roman"/>
          <w:sz w:val="24"/>
          <w:szCs w:val="24"/>
          <w:lang w:val="es-MX"/>
        </w:rPr>
      </w:pPr>
    </w:p>
    <w:p w14:paraId="5D66E5F8" w14:textId="77777777" w:rsidR="00605106" w:rsidRPr="009666E0" w:rsidRDefault="00605106" w:rsidP="00670045">
      <w:pPr>
        <w:spacing w:line="360" w:lineRule="auto"/>
        <w:rPr>
          <w:rFonts w:ascii="Times New Roman" w:hAnsi="Times New Roman"/>
          <w:sz w:val="24"/>
          <w:szCs w:val="24"/>
          <w:lang w:val="es-MX"/>
        </w:rPr>
      </w:pPr>
    </w:p>
    <w:bookmarkEnd w:id="1"/>
    <w:p w14:paraId="25EB4F66" w14:textId="11F9318C" w:rsidR="00670045" w:rsidRPr="00BA441A" w:rsidRDefault="00670045">
      <w:pPr>
        <w:spacing w:after="0"/>
        <w:ind w:left="0" w:firstLine="0"/>
        <w:jc w:val="left"/>
        <w:rPr>
          <w:rFonts w:ascii="Times New Roman" w:hAnsi="Times New Roman"/>
          <w:b/>
          <w:sz w:val="24"/>
          <w:szCs w:val="24"/>
          <w:u w:val="single"/>
          <w:lang w:val="es-PE"/>
        </w:rPr>
      </w:pPr>
      <w:r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A23F94" w:rsidRDefault="00142CCE" w:rsidP="000579A5">
      <w:pPr>
        <w:spacing w:line="360" w:lineRule="auto"/>
        <w:ind w:left="0" w:firstLine="0"/>
        <w:jc w:val="center"/>
        <w:rPr>
          <w:rFonts w:ascii="Times New Roman" w:hAnsi="Times New Roman"/>
          <w:b/>
          <w:sz w:val="24"/>
          <w:szCs w:val="24"/>
          <w:u w:val="single"/>
          <w:lang w:val="es-PE"/>
        </w:rPr>
      </w:pPr>
      <w:r w:rsidRPr="00A23F94">
        <w:rPr>
          <w:rFonts w:ascii="Times New Roman" w:hAnsi="Times New Roman"/>
          <w:b/>
          <w:sz w:val="24"/>
          <w:szCs w:val="24"/>
          <w:u w:val="single"/>
          <w:lang w:val="es-PE"/>
        </w:rPr>
        <w:t>Referencias bibliográficas</w:t>
      </w:r>
    </w:p>
    <w:p w14:paraId="02502B2A" w14:textId="77777777" w:rsidR="0053194A" w:rsidRPr="00A23F94" w:rsidRDefault="0053194A" w:rsidP="00FD640E">
      <w:pPr>
        <w:ind w:left="720" w:hanging="720"/>
        <w:rPr>
          <w:rFonts w:ascii="Times New Roman" w:hAnsi="Times New Roman"/>
          <w:color w:val="000000" w:themeColor="text1"/>
          <w:sz w:val="24"/>
          <w:szCs w:val="24"/>
          <w:lang w:val="es-PE"/>
        </w:rPr>
      </w:pPr>
    </w:p>
    <w:p w14:paraId="395E00EF"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Agazzi, A. (1966) </w:t>
      </w:r>
      <w:r w:rsidRPr="00D44DD4">
        <w:rPr>
          <w:rFonts w:ascii="Times New Roman" w:hAnsi="Times New Roman"/>
          <w:i/>
          <w:sz w:val="24"/>
          <w:szCs w:val="24"/>
        </w:rPr>
        <w:t xml:space="preserve">Historia de la filosofía y de la pedagogía. </w:t>
      </w:r>
      <w:proofErr w:type="spellStart"/>
      <w:r w:rsidRPr="00D44DD4">
        <w:rPr>
          <w:rFonts w:ascii="Times New Roman" w:hAnsi="Times New Roman"/>
          <w:i/>
          <w:sz w:val="24"/>
          <w:szCs w:val="24"/>
          <w:lang w:val="en-US"/>
        </w:rPr>
        <w:t>Tomo</w:t>
      </w:r>
      <w:proofErr w:type="spellEnd"/>
      <w:r w:rsidRPr="00D44DD4">
        <w:rPr>
          <w:rFonts w:ascii="Times New Roman" w:hAnsi="Times New Roman"/>
          <w:i/>
          <w:sz w:val="24"/>
          <w:szCs w:val="24"/>
          <w:lang w:val="en-US"/>
        </w:rPr>
        <w:t xml:space="preserve"> II.</w:t>
      </w:r>
      <w:r w:rsidRPr="00D44DD4">
        <w:rPr>
          <w:rFonts w:ascii="Times New Roman" w:hAnsi="Times New Roman"/>
          <w:sz w:val="24"/>
          <w:szCs w:val="24"/>
          <w:lang w:val="en-US"/>
        </w:rPr>
        <w:t xml:space="preserve"> Ed. Marfil.</w:t>
      </w:r>
    </w:p>
    <w:p w14:paraId="6656AAE3"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Arendt, H. (1992) </w:t>
      </w:r>
      <w:r w:rsidRPr="00D44DD4">
        <w:rPr>
          <w:rFonts w:ascii="Times New Roman" w:hAnsi="Times New Roman"/>
          <w:i/>
          <w:sz w:val="24"/>
          <w:szCs w:val="24"/>
          <w:lang w:val="en-US"/>
        </w:rPr>
        <w:t>Lectures on Kant´s political philosophy</w:t>
      </w:r>
      <w:r w:rsidRPr="00D44DD4">
        <w:rPr>
          <w:rFonts w:ascii="Times New Roman" w:hAnsi="Times New Roman"/>
          <w:sz w:val="24"/>
          <w:szCs w:val="24"/>
          <w:lang w:val="en-US"/>
        </w:rPr>
        <w:t>. Ed. Ronald Beiner. University of Chicago Press.</w:t>
      </w:r>
    </w:p>
    <w:p w14:paraId="25E6AD0B" w14:textId="77777777" w:rsidR="00510A3D" w:rsidRPr="00BA441A" w:rsidRDefault="00510A3D" w:rsidP="009F2DB2">
      <w:pPr>
        <w:ind w:left="720" w:hanging="720"/>
        <w:rPr>
          <w:rFonts w:ascii="Times New Roman" w:hAnsi="Times New Roman"/>
          <w:sz w:val="24"/>
          <w:szCs w:val="24"/>
          <w:lang w:val="en-US"/>
        </w:rPr>
      </w:pPr>
      <w:r w:rsidRPr="002B1489">
        <w:rPr>
          <w:rFonts w:ascii="Times New Roman" w:hAnsi="Times New Roman"/>
          <w:sz w:val="24"/>
          <w:szCs w:val="24"/>
          <w:lang w:val="en-US"/>
        </w:rPr>
        <w:t>Cassirer, E. (</w:t>
      </w:r>
      <w:r>
        <w:rPr>
          <w:rFonts w:ascii="Times New Roman" w:hAnsi="Times New Roman"/>
          <w:sz w:val="24"/>
          <w:szCs w:val="24"/>
          <w:lang w:val="en-US"/>
        </w:rPr>
        <w:t>1946</w:t>
      </w:r>
      <w:r w:rsidRPr="002B1489">
        <w:rPr>
          <w:rFonts w:ascii="Times New Roman" w:hAnsi="Times New Roman"/>
          <w:sz w:val="24"/>
          <w:szCs w:val="24"/>
          <w:lang w:val="en-US"/>
        </w:rPr>
        <w:t xml:space="preserve">) </w:t>
      </w:r>
      <w:r w:rsidRPr="002B1489">
        <w:rPr>
          <w:rFonts w:ascii="Times New Roman" w:hAnsi="Times New Roman"/>
          <w:i/>
          <w:sz w:val="24"/>
          <w:szCs w:val="24"/>
          <w:lang w:val="en-US"/>
        </w:rPr>
        <w:t>The myth of the state</w:t>
      </w:r>
      <w:r w:rsidRPr="002B1489">
        <w:rPr>
          <w:rFonts w:ascii="Times New Roman" w:hAnsi="Times New Roman"/>
          <w:sz w:val="24"/>
          <w:szCs w:val="24"/>
          <w:lang w:val="en-US"/>
        </w:rPr>
        <w:t xml:space="preserve">. </w:t>
      </w:r>
      <w:r w:rsidRPr="00BA441A">
        <w:rPr>
          <w:rFonts w:ascii="Times New Roman" w:hAnsi="Times New Roman"/>
          <w:sz w:val="24"/>
          <w:szCs w:val="24"/>
          <w:lang w:val="en-US"/>
        </w:rPr>
        <w:t>Yale University Press</w:t>
      </w:r>
    </w:p>
    <w:p w14:paraId="1D894C06" w14:textId="77777777" w:rsidR="00510A3D" w:rsidRPr="00DA48A9" w:rsidRDefault="00510A3D" w:rsidP="009F2DB2">
      <w:pPr>
        <w:ind w:left="720" w:hanging="720"/>
        <w:rPr>
          <w:rFonts w:ascii="Times New Roman" w:hAnsi="Times New Roman"/>
          <w:sz w:val="24"/>
          <w:szCs w:val="24"/>
        </w:rPr>
      </w:pPr>
      <w:r w:rsidRPr="00BA441A">
        <w:rPr>
          <w:rFonts w:ascii="Times New Roman" w:hAnsi="Times New Roman"/>
          <w:sz w:val="24"/>
          <w:szCs w:val="24"/>
          <w:lang w:val="en-US"/>
        </w:rPr>
        <w:t xml:space="preserve">Cassirer, E. (1985) </w:t>
      </w:r>
      <w:r w:rsidRPr="00BA441A">
        <w:rPr>
          <w:rFonts w:ascii="Times New Roman" w:hAnsi="Times New Roman"/>
          <w:i/>
          <w:sz w:val="24"/>
          <w:szCs w:val="24"/>
          <w:lang w:val="en-US"/>
        </w:rPr>
        <w:t xml:space="preserve">Kant, Vida y </w:t>
      </w:r>
      <w:proofErr w:type="spellStart"/>
      <w:r w:rsidRPr="00BA441A">
        <w:rPr>
          <w:rFonts w:ascii="Times New Roman" w:hAnsi="Times New Roman"/>
          <w:i/>
          <w:sz w:val="24"/>
          <w:szCs w:val="24"/>
          <w:lang w:val="en-US"/>
        </w:rPr>
        <w:t>Doctrina</w:t>
      </w:r>
      <w:proofErr w:type="spellEnd"/>
      <w:r w:rsidRPr="00BA441A">
        <w:rPr>
          <w:rFonts w:ascii="Times New Roman" w:hAnsi="Times New Roman"/>
          <w:sz w:val="24"/>
          <w:szCs w:val="24"/>
          <w:lang w:val="en-US"/>
        </w:rPr>
        <w:t xml:space="preserve">. </w:t>
      </w:r>
      <w:r w:rsidRPr="00DA48A9">
        <w:rPr>
          <w:rFonts w:ascii="Times New Roman" w:hAnsi="Times New Roman"/>
          <w:sz w:val="24"/>
          <w:szCs w:val="24"/>
        </w:rPr>
        <w:t xml:space="preserve">Fondo de Cultura Económica. </w:t>
      </w:r>
    </w:p>
    <w:p w14:paraId="37365188"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Caviglia, A. (2005) </w:t>
      </w:r>
      <w:r w:rsidRPr="00D44DD4">
        <w:rPr>
          <w:rFonts w:ascii="Times New Roman" w:hAnsi="Times New Roman"/>
          <w:i/>
          <w:sz w:val="24"/>
          <w:szCs w:val="24"/>
        </w:rPr>
        <w:t>Soberanía de la voluntad unificada del pueblo sobre el gobierno en la filosofía política de Kant</w:t>
      </w:r>
      <w:r w:rsidRPr="00D44DD4">
        <w:rPr>
          <w:rFonts w:ascii="Times New Roman" w:hAnsi="Times New Roman"/>
          <w:sz w:val="24"/>
          <w:szCs w:val="24"/>
        </w:rPr>
        <w:t xml:space="preserve">. PUCP. </w:t>
      </w:r>
    </w:p>
    <w:p w14:paraId="39E28F98"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s-PE"/>
        </w:rPr>
        <w:t xml:space="preserve">Caviglia, A. (2017) </w:t>
      </w:r>
      <w:r w:rsidRPr="00D44DD4">
        <w:rPr>
          <w:rFonts w:ascii="Times New Roman" w:hAnsi="Times New Roman"/>
          <w:i/>
          <w:sz w:val="24"/>
          <w:szCs w:val="24"/>
          <w:lang w:val="es-PE"/>
        </w:rPr>
        <w:t>Crítica Social, Crítica Inmanente y Crítica Trascendente: La cuestión de la Crítica Inmanente en la Teoría Crítica.</w:t>
      </w:r>
      <w:r w:rsidRPr="00D44DD4">
        <w:rPr>
          <w:rFonts w:ascii="Times New Roman" w:hAnsi="Times New Roman"/>
          <w:sz w:val="24"/>
          <w:szCs w:val="24"/>
          <w:lang w:val="es-PE"/>
        </w:rPr>
        <w:t xml:space="preserve"> (En: Derecho &amp; Sociedad, </w:t>
      </w:r>
      <w:proofErr w:type="spellStart"/>
      <w:r w:rsidRPr="00D44DD4">
        <w:rPr>
          <w:rFonts w:ascii="Times New Roman" w:hAnsi="Times New Roman"/>
          <w:sz w:val="24"/>
          <w:szCs w:val="24"/>
          <w:lang w:val="es-PE"/>
        </w:rPr>
        <w:t>Nº</w:t>
      </w:r>
      <w:proofErr w:type="spellEnd"/>
      <w:r w:rsidRPr="00D44DD4">
        <w:rPr>
          <w:rFonts w:ascii="Times New Roman" w:hAnsi="Times New Roman"/>
          <w:sz w:val="24"/>
          <w:szCs w:val="24"/>
          <w:lang w:val="es-PE"/>
        </w:rPr>
        <w:t xml:space="preserve"> 48, </w:t>
      </w:r>
      <w:proofErr w:type="gramStart"/>
      <w:r w:rsidRPr="00D44DD4">
        <w:rPr>
          <w:rFonts w:ascii="Times New Roman" w:hAnsi="Times New Roman"/>
          <w:sz w:val="24"/>
          <w:szCs w:val="24"/>
          <w:lang w:val="es-PE"/>
        </w:rPr>
        <w:t>Marzo</w:t>
      </w:r>
      <w:proofErr w:type="gramEnd"/>
      <w:r w:rsidRPr="00D44DD4">
        <w:rPr>
          <w:rFonts w:ascii="Times New Roman" w:hAnsi="Times New Roman"/>
          <w:sz w:val="24"/>
          <w:szCs w:val="24"/>
          <w:lang w:val="es-PE"/>
        </w:rPr>
        <w:t>, pp. 323 - 332)</w:t>
      </w:r>
    </w:p>
    <w:p w14:paraId="43AB951B"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Caviglia, A. (2023). </w:t>
      </w:r>
      <w:r w:rsidRPr="00D44DD4">
        <w:rPr>
          <w:rFonts w:ascii="Times New Roman" w:hAnsi="Times New Roman"/>
          <w:bCs/>
          <w:i/>
          <w:sz w:val="24"/>
          <w:szCs w:val="24"/>
        </w:rPr>
        <w:t>Responsabilidad y debate público. Sobre el vigésimo aniversario de la entrega del IF-CVR</w:t>
      </w:r>
      <w:r w:rsidRPr="00D44DD4">
        <w:rPr>
          <w:rFonts w:ascii="Times New Roman" w:hAnsi="Times New Roman"/>
          <w:sz w:val="24"/>
          <w:szCs w:val="24"/>
        </w:rPr>
        <w:t>. En: SÍLEX. Vol.13. (pp. 36 - 69).</w:t>
      </w:r>
    </w:p>
    <w:p w14:paraId="28841350"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Cortina, A. (1988) </w:t>
      </w:r>
      <w:r w:rsidRPr="00D44DD4">
        <w:rPr>
          <w:rFonts w:ascii="Times New Roman" w:hAnsi="Times New Roman"/>
          <w:i/>
          <w:sz w:val="24"/>
          <w:szCs w:val="24"/>
        </w:rPr>
        <w:t>El contrato social como ideal del estado de derecho. El dudoso contractualismo de I. Kant</w:t>
      </w:r>
      <w:r w:rsidRPr="00D44DD4">
        <w:rPr>
          <w:rFonts w:ascii="Times New Roman" w:hAnsi="Times New Roman"/>
          <w:sz w:val="24"/>
          <w:szCs w:val="24"/>
        </w:rPr>
        <w:t xml:space="preserve">. (En: Revista de Estudios Políticos, Nueva Época, </w:t>
      </w:r>
      <w:proofErr w:type="spellStart"/>
      <w:r w:rsidRPr="00D44DD4">
        <w:rPr>
          <w:rFonts w:ascii="Times New Roman" w:hAnsi="Times New Roman"/>
          <w:sz w:val="24"/>
          <w:szCs w:val="24"/>
        </w:rPr>
        <w:t>Nº</w:t>
      </w:r>
      <w:proofErr w:type="spellEnd"/>
      <w:r w:rsidRPr="00D44DD4">
        <w:rPr>
          <w:rFonts w:ascii="Times New Roman" w:hAnsi="Times New Roman"/>
          <w:sz w:val="24"/>
          <w:szCs w:val="24"/>
        </w:rPr>
        <w:t xml:space="preserve"> 59. Enero-</w:t>
      </w:r>
      <w:proofErr w:type="gramStart"/>
      <w:r w:rsidRPr="00D44DD4">
        <w:rPr>
          <w:rFonts w:ascii="Times New Roman" w:hAnsi="Times New Roman"/>
          <w:sz w:val="24"/>
          <w:szCs w:val="24"/>
        </w:rPr>
        <w:t>Marzo</w:t>
      </w:r>
      <w:proofErr w:type="gramEnd"/>
      <w:r w:rsidRPr="00D44DD4">
        <w:rPr>
          <w:rFonts w:ascii="Times New Roman" w:hAnsi="Times New Roman"/>
          <w:sz w:val="24"/>
          <w:szCs w:val="24"/>
        </w:rPr>
        <w:t>).</w:t>
      </w:r>
    </w:p>
    <w:p w14:paraId="6DE5AA1E" w14:textId="77777777" w:rsidR="00510A3D" w:rsidRPr="005945A9" w:rsidRDefault="00510A3D" w:rsidP="009F2DB2">
      <w:pPr>
        <w:ind w:left="720" w:hanging="720"/>
        <w:rPr>
          <w:rFonts w:ascii="Times New Roman" w:hAnsi="Times New Roman"/>
          <w:sz w:val="24"/>
          <w:szCs w:val="24"/>
          <w:lang w:val="es-PE"/>
        </w:rPr>
      </w:pPr>
      <w:r>
        <w:rPr>
          <w:rFonts w:ascii="Times New Roman" w:hAnsi="Times New Roman"/>
          <w:sz w:val="24"/>
          <w:szCs w:val="24"/>
          <w:lang w:val="es-PE"/>
        </w:rPr>
        <w:t xml:space="preserve">Dewey, J. (1998) </w:t>
      </w:r>
      <w:r>
        <w:rPr>
          <w:rFonts w:ascii="Times New Roman" w:hAnsi="Times New Roman"/>
          <w:i/>
          <w:sz w:val="24"/>
          <w:szCs w:val="24"/>
          <w:lang w:val="es-PE"/>
        </w:rPr>
        <w:t xml:space="preserve">Democracia y educación. Una introducción a la filosofía de la educación. </w:t>
      </w:r>
      <w:r>
        <w:rPr>
          <w:rFonts w:ascii="Times New Roman" w:hAnsi="Times New Roman"/>
          <w:sz w:val="24"/>
          <w:szCs w:val="24"/>
          <w:lang w:val="es-PE"/>
        </w:rPr>
        <w:t>Morata Ed.</w:t>
      </w:r>
    </w:p>
    <w:p w14:paraId="1EBC3ABC"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Euchner, W. (1974) </w:t>
      </w:r>
      <w:r w:rsidRPr="00D44DD4">
        <w:rPr>
          <w:rFonts w:ascii="Times New Roman" w:hAnsi="Times New Roman"/>
          <w:i/>
          <w:sz w:val="24"/>
          <w:szCs w:val="24"/>
        </w:rPr>
        <w:t>Kant como filósofo del progreso político</w:t>
      </w:r>
      <w:r w:rsidRPr="00D44DD4">
        <w:rPr>
          <w:rFonts w:ascii="Times New Roman" w:hAnsi="Times New Roman"/>
          <w:sz w:val="24"/>
          <w:szCs w:val="24"/>
        </w:rPr>
        <w:t xml:space="preserve">. Pp. 17-26. En: Renker, Euchner et Al, </w:t>
      </w:r>
      <w:r w:rsidRPr="00D44DD4">
        <w:rPr>
          <w:rFonts w:ascii="Times New Roman" w:hAnsi="Times New Roman"/>
          <w:i/>
          <w:sz w:val="24"/>
          <w:szCs w:val="24"/>
        </w:rPr>
        <w:t>Immanuel Kant. Kant como pensador político</w:t>
      </w:r>
      <w:r w:rsidRPr="00D44DD4">
        <w:rPr>
          <w:rFonts w:ascii="Times New Roman" w:hAnsi="Times New Roman"/>
          <w:sz w:val="24"/>
          <w:szCs w:val="24"/>
        </w:rPr>
        <w:t xml:space="preserve">. </w:t>
      </w:r>
      <w:proofErr w:type="spellStart"/>
      <w:r w:rsidRPr="00D44DD4">
        <w:rPr>
          <w:rFonts w:ascii="Times New Roman" w:hAnsi="Times New Roman"/>
          <w:sz w:val="24"/>
          <w:szCs w:val="24"/>
        </w:rPr>
        <w:t>Internationes</w:t>
      </w:r>
      <w:proofErr w:type="spellEnd"/>
      <w:r w:rsidRPr="00D44DD4">
        <w:rPr>
          <w:rFonts w:ascii="Times New Roman" w:hAnsi="Times New Roman"/>
          <w:sz w:val="24"/>
          <w:szCs w:val="24"/>
        </w:rPr>
        <w:t xml:space="preserve">, Bon-Bad </w:t>
      </w:r>
      <w:proofErr w:type="spellStart"/>
      <w:r w:rsidRPr="00D44DD4">
        <w:rPr>
          <w:rFonts w:ascii="Times New Roman" w:hAnsi="Times New Roman"/>
          <w:sz w:val="24"/>
          <w:szCs w:val="24"/>
        </w:rPr>
        <w:t>Godesberg</w:t>
      </w:r>
      <w:proofErr w:type="spellEnd"/>
      <w:r w:rsidRPr="00D44DD4">
        <w:rPr>
          <w:rFonts w:ascii="Times New Roman" w:hAnsi="Times New Roman"/>
          <w:sz w:val="24"/>
          <w:szCs w:val="24"/>
        </w:rPr>
        <w:t>.</w:t>
      </w:r>
    </w:p>
    <w:p w14:paraId="3625FF4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Falla, R. (2022) </w:t>
      </w:r>
      <w:r w:rsidRPr="00D44DD4">
        <w:rPr>
          <w:rFonts w:ascii="Times New Roman" w:hAnsi="Times New Roman"/>
          <w:i/>
          <w:sz w:val="24"/>
          <w:szCs w:val="24"/>
        </w:rPr>
        <w:t>La trama invisible de lo útil</w:t>
      </w:r>
      <w:r w:rsidRPr="00D44DD4">
        <w:rPr>
          <w:rFonts w:ascii="Times New Roman" w:hAnsi="Times New Roman"/>
          <w:sz w:val="24"/>
          <w:szCs w:val="24"/>
        </w:rPr>
        <w:t>. Fondo editorial UARM.</w:t>
      </w:r>
    </w:p>
    <w:p w14:paraId="6ABE7352"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Figueroa, M. (2006) </w:t>
      </w:r>
      <w:r w:rsidRPr="00D44DD4">
        <w:rPr>
          <w:rFonts w:ascii="Times New Roman" w:hAnsi="Times New Roman"/>
          <w:i/>
          <w:sz w:val="24"/>
          <w:szCs w:val="24"/>
        </w:rPr>
        <w:t>Kant y el sentido ético de la educación. Una lectura en la época de la globalización.</w:t>
      </w:r>
      <w:r w:rsidRPr="00D44DD4">
        <w:rPr>
          <w:rFonts w:ascii="Times New Roman" w:hAnsi="Times New Roman"/>
          <w:sz w:val="24"/>
          <w:szCs w:val="24"/>
        </w:rPr>
        <w:t xml:space="preserve"> En: Persona y Sociedad, Universidad Alberto Hurtado, Vol. XX, Nº3, 2006, pp. 73-87. </w:t>
      </w:r>
    </w:p>
    <w:p w14:paraId="275B03A8" w14:textId="77777777" w:rsidR="00510A3D" w:rsidRPr="00BA441A" w:rsidRDefault="00510A3D" w:rsidP="009F2DB2">
      <w:pPr>
        <w:ind w:left="720" w:hanging="720"/>
        <w:rPr>
          <w:rFonts w:ascii="Times New Roman" w:hAnsi="Times New Roman"/>
          <w:sz w:val="24"/>
          <w:szCs w:val="24"/>
          <w:lang w:val="es-PE"/>
        </w:rPr>
      </w:pPr>
      <w:r>
        <w:rPr>
          <w:rFonts w:ascii="Times New Roman" w:hAnsi="Times New Roman"/>
          <w:sz w:val="24"/>
          <w:szCs w:val="24"/>
          <w:lang w:val="en-US"/>
        </w:rPr>
        <w:t xml:space="preserve">Flikschuh, K (2000) </w:t>
      </w:r>
      <w:r>
        <w:rPr>
          <w:rFonts w:ascii="Times New Roman" w:hAnsi="Times New Roman"/>
          <w:i/>
          <w:iCs/>
          <w:sz w:val="24"/>
          <w:szCs w:val="24"/>
          <w:lang w:val="en-US"/>
        </w:rPr>
        <w:t>Kant and modern political philosophy</w:t>
      </w:r>
      <w:r>
        <w:rPr>
          <w:rFonts w:ascii="Times New Roman" w:hAnsi="Times New Roman"/>
          <w:sz w:val="24"/>
          <w:szCs w:val="24"/>
          <w:lang w:val="en-US"/>
        </w:rPr>
        <w:t xml:space="preserve">. </w:t>
      </w:r>
      <w:r w:rsidRPr="00BA441A">
        <w:rPr>
          <w:rFonts w:ascii="Times New Roman" w:hAnsi="Times New Roman"/>
          <w:sz w:val="24"/>
          <w:szCs w:val="24"/>
          <w:lang w:val="es-PE"/>
        </w:rPr>
        <w:t xml:space="preserve">Cambridge </w:t>
      </w:r>
      <w:proofErr w:type="spellStart"/>
      <w:r w:rsidRPr="00BA441A">
        <w:rPr>
          <w:rFonts w:ascii="Times New Roman" w:hAnsi="Times New Roman"/>
          <w:sz w:val="24"/>
          <w:szCs w:val="24"/>
          <w:lang w:val="es-PE"/>
        </w:rPr>
        <w:t>University</w:t>
      </w:r>
      <w:proofErr w:type="spellEnd"/>
      <w:r w:rsidRPr="00BA441A">
        <w:rPr>
          <w:rFonts w:ascii="Times New Roman" w:hAnsi="Times New Roman"/>
          <w:sz w:val="24"/>
          <w:szCs w:val="24"/>
          <w:lang w:val="es-PE"/>
        </w:rPr>
        <w:t xml:space="preserve"> Press</w:t>
      </w:r>
    </w:p>
    <w:p w14:paraId="69A808F7"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Forst, R. (2015) </w:t>
      </w:r>
      <w:r w:rsidRPr="00D44DD4">
        <w:rPr>
          <w:rFonts w:ascii="Times New Roman" w:hAnsi="Times New Roman"/>
          <w:i/>
          <w:sz w:val="24"/>
          <w:szCs w:val="24"/>
        </w:rPr>
        <w:t>Justificación y Crítica</w:t>
      </w:r>
      <w:r w:rsidRPr="00D44DD4">
        <w:rPr>
          <w:rFonts w:ascii="Times New Roman" w:hAnsi="Times New Roman"/>
          <w:sz w:val="24"/>
          <w:szCs w:val="24"/>
        </w:rPr>
        <w:t>. Serie Ensayos.</w:t>
      </w:r>
    </w:p>
    <w:p w14:paraId="6E6CC9C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Goldmann, L. (1945) </w:t>
      </w:r>
      <w:r w:rsidRPr="00D44DD4">
        <w:rPr>
          <w:rFonts w:ascii="Times New Roman" w:hAnsi="Times New Roman"/>
          <w:i/>
          <w:sz w:val="24"/>
          <w:szCs w:val="24"/>
        </w:rPr>
        <w:t>Introducción a la filosofía de Kant</w:t>
      </w:r>
      <w:r w:rsidRPr="00D44DD4">
        <w:rPr>
          <w:rFonts w:ascii="Times New Roman" w:hAnsi="Times New Roman"/>
          <w:sz w:val="24"/>
          <w:szCs w:val="24"/>
        </w:rPr>
        <w:t>. Amorrortu Editores.</w:t>
      </w:r>
    </w:p>
    <w:p w14:paraId="5E853C78" w14:textId="77777777" w:rsidR="00510A3D" w:rsidRPr="009F2DB2" w:rsidRDefault="00510A3D" w:rsidP="009F2DB2">
      <w:pPr>
        <w:ind w:left="720" w:hanging="720"/>
        <w:rPr>
          <w:rFonts w:ascii="Times New Roman" w:hAnsi="Times New Roman"/>
          <w:sz w:val="24"/>
          <w:szCs w:val="24"/>
          <w:lang w:val="en-US"/>
        </w:rPr>
      </w:pPr>
      <w:r w:rsidRPr="00DA48A9">
        <w:rPr>
          <w:rFonts w:ascii="Times New Roman" w:hAnsi="Times New Roman"/>
          <w:sz w:val="24"/>
          <w:szCs w:val="24"/>
        </w:rPr>
        <w:t xml:space="preserve">Gómez Caffarena, J. (1983) </w:t>
      </w:r>
      <w:r w:rsidRPr="00DA48A9">
        <w:rPr>
          <w:rFonts w:ascii="Times New Roman" w:hAnsi="Times New Roman"/>
          <w:i/>
          <w:sz w:val="24"/>
          <w:szCs w:val="24"/>
        </w:rPr>
        <w:t>El teísmo moral de Kant</w:t>
      </w:r>
      <w:r w:rsidRPr="00DA48A9">
        <w:rPr>
          <w:rFonts w:ascii="Times New Roman" w:hAnsi="Times New Roman"/>
          <w:sz w:val="24"/>
          <w:szCs w:val="24"/>
        </w:rPr>
        <w:t xml:space="preserve">. </w:t>
      </w:r>
      <w:proofErr w:type="spellStart"/>
      <w:r w:rsidRPr="009F2DB2">
        <w:rPr>
          <w:rFonts w:ascii="Times New Roman" w:hAnsi="Times New Roman"/>
          <w:sz w:val="24"/>
          <w:szCs w:val="24"/>
          <w:lang w:val="en-US"/>
        </w:rPr>
        <w:t>Ediciones</w:t>
      </w:r>
      <w:proofErr w:type="spellEnd"/>
      <w:r w:rsidRPr="009F2DB2">
        <w:rPr>
          <w:rFonts w:ascii="Times New Roman" w:hAnsi="Times New Roman"/>
          <w:sz w:val="24"/>
          <w:szCs w:val="24"/>
          <w:lang w:val="en-US"/>
        </w:rPr>
        <w:t xml:space="preserve"> </w:t>
      </w:r>
      <w:proofErr w:type="spellStart"/>
      <w:r w:rsidRPr="009F2DB2">
        <w:rPr>
          <w:rFonts w:ascii="Times New Roman" w:hAnsi="Times New Roman"/>
          <w:sz w:val="24"/>
          <w:szCs w:val="24"/>
          <w:lang w:val="en-US"/>
        </w:rPr>
        <w:t>Cristiandad</w:t>
      </w:r>
      <w:proofErr w:type="spellEnd"/>
      <w:r w:rsidRPr="009F2DB2">
        <w:rPr>
          <w:rFonts w:ascii="Times New Roman" w:hAnsi="Times New Roman"/>
          <w:sz w:val="24"/>
          <w:szCs w:val="24"/>
          <w:lang w:val="en-US"/>
        </w:rPr>
        <w:t xml:space="preserve">. </w:t>
      </w:r>
    </w:p>
    <w:p w14:paraId="386DA089"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(1998) </w:t>
      </w:r>
      <w:r w:rsidRPr="007F6A09">
        <w:rPr>
          <w:rFonts w:ascii="Times New Roman" w:hAnsi="Times New Roman"/>
          <w:i/>
          <w:color w:val="000000" w:themeColor="text1"/>
          <w:sz w:val="24"/>
          <w:szCs w:val="24"/>
          <w:lang w:val="en-US"/>
        </w:rPr>
        <w:t>On the miscarriage of al philosophical trials in theodicy.</w:t>
      </w:r>
      <w:r w:rsidRPr="007F6A09">
        <w:rPr>
          <w:rFonts w:ascii="Times New Roman" w:hAnsi="Times New Roman"/>
          <w:color w:val="000000" w:themeColor="text1"/>
          <w:sz w:val="24"/>
          <w:szCs w:val="24"/>
          <w:lang w:val="en-US"/>
        </w:rPr>
        <w:t xml:space="preserve"> En: Kant, I. Religion within the Boundaries of mere Reason</w:t>
      </w:r>
      <w:r w:rsidRPr="007F6A09">
        <w:rPr>
          <w:rFonts w:ascii="Times New Roman" w:hAnsi="Times New Roman"/>
          <w:i/>
          <w:color w:val="000000" w:themeColor="text1"/>
          <w:sz w:val="24"/>
          <w:szCs w:val="24"/>
          <w:lang w:val="en-US"/>
        </w:rPr>
        <w:t xml:space="preserve">. </w:t>
      </w:r>
      <w:r w:rsidRPr="007F6A09">
        <w:rPr>
          <w:rFonts w:ascii="Times New Roman" w:hAnsi="Times New Roman"/>
          <w:color w:val="000000" w:themeColor="text1"/>
          <w:sz w:val="24"/>
          <w:szCs w:val="24"/>
          <w:lang w:val="en-US"/>
        </w:rPr>
        <w:t>Cambridge University Press.</w:t>
      </w:r>
    </w:p>
    <w:p w14:paraId="60B4728C"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(1998) </w:t>
      </w:r>
      <w:r w:rsidRPr="00DA48A9">
        <w:rPr>
          <w:rFonts w:ascii="Times New Roman" w:hAnsi="Times New Roman"/>
          <w:i/>
          <w:sz w:val="24"/>
          <w:szCs w:val="24"/>
          <w:lang w:val="en-US"/>
        </w:rPr>
        <w:t xml:space="preserve">Religion within the Boundaries of mere Reason.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059B4958"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Kant, I (</w:t>
      </w:r>
      <w:r>
        <w:rPr>
          <w:rFonts w:ascii="Times New Roman" w:hAnsi="Times New Roman"/>
          <w:sz w:val="24"/>
          <w:szCs w:val="24"/>
        </w:rPr>
        <w:t>2005</w:t>
      </w:r>
      <w:r w:rsidRPr="00DA48A9">
        <w:rPr>
          <w:rFonts w:ascii="Times New Roman" w:hAnsi="Times New Roman"/>
          <w:sz w:val="24"/>
          <w:szCs w:val="24"/>
        </w:rPr>
        <w:t xml:space="preserve">) </w:t>
      </w:r>
      <w:r w:rsidRPr="00DA48A9">
        <w:rPr>
          <w:rFonts w:ascii="Times New Roman" w:hAnsi="Times New Roman"/>
          <w:i/>
          <w:sz w:val="24"/>
          <w:szCs w:val="24"/>
        </w:rPr>
        <w:t>Crítica de la razón pura</w:t>
      </w:r>
      <w:r w:rsidRPr="00DA48A9">
        <w:rPr>
          <w:rFonts w:ascii="Times New Roman" w:hAnsi="Times New Roman"/>
          <w:sz w:val="24"/>
          <w:szCs w:val="24"/>
        </w:rPr>
        <w:t xml:space="preserve">. Traducción de </w:t>
      </w:r>
      <w:r>
        <w:rPr>
          <w:rFonts w:ascii="Times New Roman" w:hAnsi="Times New Roman"/>
          <w:sz w:val="24"/>
          <w:szCs w:val="24"/>
        </w:rPr>
        <w:t>Pedro Ribas. Ed. Taurus</w:t>
      </w:r>
    </w:p>
    <w:p w14:paraId="31595856"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from a pragmatic point of view (1798)</w:t>
      </w:r>
      <w:r w:rsidRPr="007F6A09">
        <w:rPr>
          <w:rFonts w:ascii="Times New Roman" w:hAnsi="Times New Roman"/>
          <w:color w:val="000000" w:themeColor="text1"/>
          <w:sz w:val="24"/>
          <w:szCs w:val="24"/>
          <w:lang w:val="en-US"/>
        </w:rPr>
        <w:t xml:space="preserve"> En: Kant, I. Anthropology, History and Education. Cambridge University Press.</w:t>
      </w:r>
    </w:p>
    <w:p w14:paraId="4B9EAAE4"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History and Education</w:t>
      </w:r>
      <w:r w:rsidRPr="007F6A09">
        <w:rPr>
          <w:rFonts w:ascii="Times New Roman" w:hAnsi="Times New Roman"/>
          <w:color w:val="000000" w:themeColor="text1"/>
          <w:sz w:val="24"/>
          <w:szCs w:val="24"/>
          <w:lang w:val="en-US"/>
        </w:rPr>
        <w:t>. Cambridge University Press.</w:t>
      </w:r>
    </w:p>
    <w:p w14:paraId="210EC9E4" w14:textId="77777777" w:rsidR="00510A3D" w:rsidRPr="00BA441A"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lastRenderedPageBreak/>
        <w:t xml:space="preserve">Kant, I (2007) </w:t>
      </w:r>
      <w:r w:rsidRPr="00DA48A9">
        <w:rPr>
          <w:rFonts w:ascii="Times New Roman" w:hAnsi="Times New Roman"/>
          <w:i/>
          <w:sz w:val="24"/>
          <w:szCs w:val="24"/>
          <w:lang w:val="en-US"/>
        </w:rPr>
        <w:t>Anthropology, History and Education</w:t>
      </w:r>
      <w:r w:rsidRPr="00DA48A9">
        <w:rPr>
          <w:rFonts w:ascii="Times New Roman" w:hAnsi="Times New Roman"/>
          <w:sz w:val="24"/>
          <w:szCs w:val="24"/>
          <w:lang w:val="en-US"/>
        </w:rPr>
        <w:t xml:space="preserve">. </w:t>
      </w:r>
      <w:r w:rsidRPr="00BA441A">
        <w:rPr>
          <w:rFonts w:ascii="Times New Roman" w:hAnsi="Times New Roman"/>
          <w:sz w:val="24"/>
          <w:szCs w:val="24"/>
          <w:lang w:val="es-PE"/>
        </w:rPr>
        <w:t xml:space="preserve">Cambridge </w:t>
      </w:r>
      <w:proofErr w:type="spellStart"/>
      <w:r w:rsidRPr="00BA441A">
        <w:rPr>
          <w:rFonts w:ascii="Times New Roman" w:hAnsi="Times New Roman"/>
          <w:sz w:val="24"/>
          <w:szCs w:val="24"/>
          <w:lang w:val="es-PE"/>
        </w:rPr>
        <w:t>University</w:t>
      </w:r>
      <w:proofErr w:type="spellEnd"/>
      <w:r w:rsidRPr="00BA441A">
        <w:rPr>
          <w:rFonts w:ascii="Times New Roman" w:hAnsi="Times New Roman"/>
          <w:sz w:val="24"/>
          <w:szCs w:val="24"/>
          <w:lang w:val="es-PE"/>
        </w:rPr>
        <w:t xml:space="preserve"> Press.</w:t>
      </w:r>
    </w:p>
    <w:p w14:paraId="4F63FA3B"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(2007) </w:t>
      </w:r>
      <w:r w:rsidRPr="00DA48A9">
        <w:rPr>
          <w:rFonts w:ascii="Times New Roman" w:hAnsi="Times New Roman"/>
          <w:i/>
          <w:sz w:val="24"/>
          <w:szCs w:val="24"/>
        </w:rPr>
        <w:t>Crítica de la razón pura</w:t>
      </w:r>
      <w:r w:rsidRPr="00DA48A9">
        <w:rPr>
          <w:rFonts w:ascii="Times New Roman" w:hAnsi="Times New Roman"/>
          <w:sz w:val="24"/>
          <w:szCs w:val="24"/>
        </w:rPr>
        <w:t>. Traducción de Mario Caimi. Ed. Colihue Clásica.</w:t>
      </w:r>
    </w:p>
    <w:p w14:paraId="4983916F"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Essay on the maladies of the head (1764)</w:t>
      </w:r>
      <w:r w:rsidRPr="007F6A09">
        <w:rPr>
          <w:rFonts w:ascii="Times New Roman" w:hAnsi="Times New Roman"/>
          <w:color w:val="000000" w:themeColor="text1"/>
          <w:sz w:val="24"/>
          <w:szCs w:val="24"/>
          <w:lang w:val="en-US"/>
        </w:rPr>
        <w:t xml:space="preserve"> En: Kant, I. Anthropology, History and Education. Cambridge University Press.</w:t>
      </w:r>
    </w:p>
    <w:p w14:paraId="576F2DA8"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(2007) </w:t>
      </w:r>
      <w:r w:rsidRPr="00DA48A9">
        <w:rPr>
          <w:rFonts w:ascii="Times New Roman" w:hAnsi="Times New Roman"/>
          <w:i/>
          <w:sz w:val="24"/>
          <w:szCs w:val="24"/>
          <w:lang w:val="en-US"/>
        </w:rPr>
        <w:t>Lectures on pedagogy (1803)</w:t>
      </w:r>
      <w:r w:rsidRPr="00DA48A9">
        <w:rPr>
          <w:rFonts w:ascii="Times New Roman" w:hAnsi="Times New Roman"/>
          <w:sz w:val="24"/>
          <w:szCs w:val="24"/>
          <w:lang w:val="en-US"/>
        </w:rPr>
        <w:t xml:space="preserve"> En: Kant, I. Anthropology, History and Education.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5F377A2B"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el derecho político</w:t>
      </w:r>
      <w:r w:rsidRPr="007F6A09">
        <w:rPr>
          <w:rFonts w:ascii="Times New Roman" w:hAnsi="Times New Roman"/>
          <w:color w:val="000000" w:themeColor="text1"/>
          <w:sz w:val="24"/>
          <w:szCs w:val="24"/>
        </w:rPr>
        <w:t xml:space="preserve">. </w:t>
      </w:r>
      <w:r w:rsidRPr="007F6A09">
        <w:rPr>
          <w:rFonts w:ascii="Times New Roman" w:hAnsi="Times New Roman"/>
          <w:i/>
          <w:color w:val="000000" w:themeColor="text1"/>
          <w:sz w:val="24"/>
          <w:szCs w:val="24"/>
        </w:rPr>
        <w:t>(Contra Hobbes)</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6E56B24A"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la moral y en general</w:t>
      </w:r>
      <w:r w:rsidRPr="007F6A09">
        <w:rPr>
          <w:rFonts w:ascii="Times New Roman" w:hAnsi="Times New Roman"/>
          <w:color w:val="000000" w:themeColor="text1"/>
          <w:sz w:val="24"/>
          <w:szCs w:val="24"/>
        </w:rPr>
        <w:t>. (En: Kant, I. Filosofía de la historia. Ed. Nova)</w:t>
      </w:r>
      <w:r>
        <w:rPr>
          <w:rFonts w:ascii="Times New Roman" w:hAnsi="Times New Roman"/>
          <w:color w:val="000000" w:themeColor="text1"/>
          <w:sz w:val="24"/>
          <w:szCs w:val="24"/>
        </w:rPr>
        <w:t>.</w:t>
      </w:r>
    </w:p>
    <w:p w14:paraId="0F02A59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Definición de la raza humana</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73974A20"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Filosofía de la historia</w:t>
      </w:r>
      <w:r w:rsidRPr="00DA48A9">
        <w:rPr>
          <w:rFonts w:ascii="Times New Roman" w:hAnsi="Times New Roman"/>
          <w:sz w:val="24"/>
          <w:szCs w:val="24"/>
        </w:rPr>
        <w:t>. Ed. Nova.</w:t>
      </w:r>
    </w:p>
    <w:p w14:paraId="0E039747"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 xml:space="preserve">Ideas para una historia universal en sentido cosmopolita </w:t>
      </w:r>
      <w:r w:rsidRPr="00DA48A9">
        <w:rPr>
          <w:rFonts w:ascii="Times New Roman" w:hAnsi="Times New Roman"/>
          <w:sz w:val="24"/>
          <w:szCs w:val="24"/>
        </w:rPr>
        <w:t>(En: Filosofía de la historia. Ed. Nova).</w:t>
      </w:r>
    </w:p>
    <w:p w14:paraId="3ACF36C4"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Replanteamiento de la cuestión sobre si el género humano se halla en continuo progreso hacia lo mejor</w:t>
      </w:r>
      <w:r w:rsidRPr="00DA48A9">
        <w:rPr>
          <w:rFonts w:ascii="Times New Roman" w:hAnsi="Times New Roman"/>
          <w:sz w:val="24"/>
          <w:szCs w:val="24"/>
        </w:rPr>
        <w:t>. (En: Filosofía de la historia. Ed. Nova).</w:t>
      </w:r>
    </w:p>
    <w:p w14:paraId="3A74CAFB" w14:textId="77777777" w:rsidR="00510A3D"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Respuesta a la pregunta: ¿qué es la ilustración?</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2D9BC77E" w14:textId="77777777" w:rsidR="00510A3D" w:rsidRPr="007F6A09" w:rsidRDefault="00510A3D" w:rsidP="00FD640E">
      <w:pPr>
        <w:ind w:left="720" w:hanging="720"/>
        <w:rPr>
          <w:rFonts w:ascii="Times New Roman" w:hAnsi="Times New Roman"/>
          <w:color w:val="000000" w:themeColor="text1"/>
          <w:sz w:val="24"/>
          <w:szCs w:val="24"/>
          <w:shd w:val="clear" w:color="auto" w:fill="FFFFFF"/>
        </w:rPr>
      </w:pPr>
      <w:r w:rsidRPr="007F6A09">
        <w:rPr>
          <w:rFonts w:ascii="Times New Roman" w:hAnsi="Times New Roman"/>
          <w:color w:val="000000" w:themeColor="text1"/>
          <w:sz w:val="24"/>
          <w:szCs w:val="24"/>
          <w:shd w:val="clear" w:color="auto" w:fill="FFFFFF"/>
        </w:rPr>
        <w:t xml:space="preserve">Kant, I. </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1980</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 xml:space="preserve"> </w:t>
      </w:r>
      <w:r w:rsidRPr="007F6A09">
        <w:rPr>
          <w:rFonts w:ascii="Times New Roman" w:hAnsi="Times New Roman"/>
          <w:i/>
          <w:color w:val="000000" w:themeColor="text1"/>
          <w:sz w:val="24"/>
          <w:szCs w:val="24"/>
          <w:shd w:val="clear" w:color="auto" w:fill="FFFFFF"/>
        </w:rPr>
        <w:t>La paz perpetua</w:t>
      </w:r>
      <w:r w:rsidRPr="007F6A09">
        <w:rPr>
          <w:rFonts w:ascii="Times New Roman" w:hAnsi="Times New Roman"/>
          <w:color w:val="000000" w:themeColor="text1"/>
          <w:sz w:val="24"/>
          <w:szCs w:val="24"/>
          <w:shd w:val="clear" w:color="auto" w:fill="FFFFFF"/>
        </w:rPr>
        <w:t>. (En: Kant, I. Fundamentación de la metafísica de las costumbres, Crítica de la razón práctica y la Paz perpetua. Ed. Porrúa)</w:t>
      </w:r>
      <w:r>
        <w:rPr>
          <w:rFonts w:ascii="Times New Roman" w:hAnsi="Times New Roman"/>
          <w:color w:val="000000" w:themeColor="text1"/>
          <w:sz w:val="24"/>
          <w:szCs w:val="24"/>
          <w:shd w:val="clear" w:color="auto" w:fill="FFFFFF"/>
        </w:rPr>
        <w:t>.</w:t>
      </w:r>
    </w:p>
    <w:p w14:paraId="4C40EB1D"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(1988) </w:t>
      </w:r>
      <w:r w:rsidRPr="007F6A09">
        <w:rPr>
          <w:rFonts w:ascii="Times New Roman" w:hAnsi="Times New Roman"/>
          <w:i/>
          <w:color w:val="000000" w:themeColor="text1"/>
          <w:sz w:val="24"/>
          <w:szCs w:val="24"/>
        </w:rPr>
        <w:t>Lecciones de ética</w:t>
      </w:r>
      <w:r w:rsidRPr="007F6A09">
        <w:rPr>
          <w:rFonts w:ascii="Times New Roman" w:hAnsi="Times New Roman"/>
          <w:color w:val="000000" w:themeColor="text1"/>
          <w:sz w:val="24"/>
          <w:szCs w:val="24"/>
        </w:rPr>
        <w:t>. Editorial Crítica.</w:t>
      </w:r>
    </w:p>
    <w:p w14:paraId="7188962B" w14:textId="77777777" w:rsidR="00510A3D" w:rsidRPr="0053194A" w:rsidRDefault="00510A3D" w:rsidP="00FD640E">
      <w:pPr>
        <w:ind w:left="720" w:hanging="720"/>
        <w:rPr>
          <w:rFonts w:ascii="Times New Roman" w:hAnsi="Times New Roman"/>
          <w:color w:val="000000" w:themeColor="text1"/>
          <w:sz w:val="24"/>
          <w:szCs w:val="24"/>
          <w:lang w:val="es-PE"/>
        </w:rPr>
      </w:pPr>
      <w:r w:rsidRPr="00290825">
        <w:rPr>
          <w:rFonts w:ascii="Times New Roman" w:hAnsi="Times New Roman"/>
          <w:color w:val="000000" w:themeColor="text1"/>
          <w:sz w:val="24"/>
          <w:szCs w:val="24"/>
          <w:lang w:val="es-PE"/>
        </w:rPr>
        <w:t xml:space="preserve">Kant, I. (1991) </w:t>
      </w:r>
      <w:r w:rsidRPr="00290825">
        <w:rPr>
          <w:rFonts w:ascii="Times New Roman" w:hAnsi="Times New Roman"/>
          <w:i/>
          <w:color w:val="000000" w:themeColor="text1"/>
          <w:sz w:val="24"/>
          <w:szCs w:val="24"/>
          <w:lang w:val="es-PE"/>
        </w:rPr>
        <w:t xml:space="preserve">Kant </w:t>
      </w:r>
      <w:proofErr w:type="spellStart"/>
      <w:r w:rsidRPr="00290825">
        <w:rPr>
          <w:rFonts w:ascii="Times New Roman" w:hAnsi="Times New Roman"/>
          <w:i/>
          <w:color w:val="000000" w:themeColor="text1"/>
          <w:sz w:val="24"/>
          <w:szCs w:val="24"/>
          <w:lang w:val="es-PE"/>
        </w:rPr>
        <w:t>political</w:t>
      </w:r>
      <w:proofErr w:type="spellEnd"/>
      <w:r w:rsidRPr="00290825">
        <w:rPr>
          <w:rFonts w:ascii="Times New Roman" w:hAnsi="Times New Roman"/>
          <w:i/>
          <w:color w:val="000000" w:themeColor="text1"/>
          <w:sz w:val="24"/>
          <w:szCs w:val="24"/>
          <w:lang w:val="es-PE"/>
        </w:rPr>
        <w:t xml:space="preserve"> </w:t>
      </w:r>
      <w:proofErr w:type="spellStart"/>
      <w:r w:rsidRPr="00290825">
        <w:rPr>
          <w:rFonts w:ascii="Times New Roman" w:hAnsi="Times New Roman"/>
          <w:i/>
          <w:color w:val="000000" w:themeColor="text1"/>
          <w:sz w:val="24"/>
          <w:szCs w:val="24"/>
          <w:lang w:val="es-PE"/>
        </w:rPr>
        <w:t>writings</w:t>
      </w:r>
      <w:proofErr w:type="spellEnd"/>
      <w:r w:rsidRPr="00290825">
        <w:rPr>
          <w:rFonts w:ascii="Times New Roman" w:hAnsi="Times New Roman"/>
          <w:color w:val="000000" w:themeColor="text1"/>
          <w:sz w:val="24"/>
          <w:szCs w:val="24"/>
          <w:lang w:val="es-PE"/>
        </w:rPr>
        <w:t xml:space="preserve">. </w:t>
      </w:r>
      <w:r>
        <w:rPr>
          <w:rFonts w:ascii="Times New Roman" w:hAnsi="Times New Roman"/>
          <w:color w:val="000000" w:themeColor="text1"/>
          <w:sz w:val="24"/>
          <w:szCs w:val="24"/>
          <w:lang w:val="en-US"/>
        </w:rPr>
        <w:t>Cambridge University Press. 2</w:t>
      </w:r>
      <w:r w:rsidRPr="00224BFC">
        <w:rPr>
          <w:rFonts w:ascii="Times New Roman" w:hAnsi="Times New Roman"/>
          <w:color w:val="000000" w:themeColor="text1"/>
          <w:sz w:val="24"/>
          <w:szCs w:val="24"/>
          <w:vertAlign w:val="superscript"/>
          <w:lang w:val="en-US"/>
        </w:rPr>
        <w:t>nd</w:t>
      </w:r>
      <w:r>
        <w:rPr>
          <w:rFonts w:ascii="Times New Roman" w:hAnsi="Times New Roman"/>
          <w:color w:val="000000" w:themeColor="text1"/>
          <w:sz w:val="24"/>
          <w:szCs w:val="24"/>
          <w:lang w:val="en-US"/>
        </w:rPr>
        <w:t xml:space="preserve"> edition</w:t>
      </w:r>
      <w:r w:rsidRPr="007F6A09">
        <w:rPr>
          <w:rFonts w:ascii="Times New Roman" w:hAnsi="Times New Roman"/>
          <w:color w:val="000000" w:themeColor="text1"/>
          <w:sz w:val="24"/>
          <w:szCs w:val="24"/>
          <w:lang w:val="en-US"/>
        </w:rPr>
        <w:t>.</w:t>
      </w:r>
      <w:r>
        <w:rPr>
          <w:rFonts w:ascii="Times New Roman" w:hAnsi="Times New Roman"/>
          <w:color w:val="000000" w:themeColor="text1"/>
          <w:sz w:val="24"/>
          <w:szCs w:val="24"/>
          <w:lang w:val="en-US"/>
        </w:rPr>
        <w:t xml:space="preserve"> </w:t>
      </w:r>
      <w:r w:rsidRPr="0053194A">
        <w:rPr>
          <w:rFonts w:ascii="Times New Roman" w:hAnsi="Times New Roman"/>
          <w:color w:val="000000" w:themeColor="text1"/>
          <w:sz w:val="24"/>
          <w:szCs w:val="24"/>
          <w:lang w:val="es-PE"/>
        </w:rPr>
        <w:t>Edit</w:t>
      </w:r>
      <w:r>
        <w:rPr>
          <w:rFonts w:ascii="Times New Roman" w:hAnsi="Times New Roman"/>
          <w:color w:val="000000" w:themeColor="text1"/>
          <w:sz w:val="24"/>
          <w:szCs w:val="24"/>
          <w:lang w:val="es-PE"/>
        </w:rPr>
        <w:t>a</w:t>
      </w:r>
      <w:r w:rsidRPr="0053194A">
        <w:rPr>
          <w:rFonts w:ascii="Times New Roman" w:hAnsi="Times New Roman"/>
          <w:color w:val="000000" w:themeColor="text1"/>
          <w:sz w:val="24"/>
          <w:szCs w:val="24"/>
          <w:lang w:val="es-PE"/>
        </w:rPr>
        <w:t>d</w:t>
      </w:r>
      <w:r>
        <w:rPr>
          <w:rFonts w:ascii="Times New Roman" w:hAnsi="Times New Roman"/>
          <w:color w:val="000000" w:themeColor="text1"/>
          <w:sz w:val="24"/>
          <w:szCs w:val="24"/>
          <w:lang w:val="es-PE"/>
        </w:rPr>
        <w:t>o por</w:t>
      </w:r>
      <w:r w:rsidRPr="0053194A">
        <w:rPr>
          <w:rFonts w:ascii="Times New Roman" w:hAnsi="Times New Roman"/>
          <w:color w:val="000000" w:themeColor="text1"/>
          <w:sz w:val="24"/>
          <w:szCs w:val="24"/>
          <w:lang w:val="es-PE"/>
        </w:rPr>
        <w:t>: H.S. Reiss</w:t>
      </w:r>
    </w:p>
    <w:p w14:paraId="1FF5D946" w14:textId="77777777" w:rsidR="00510A3D" w:rsidRDefault="00510A3D" w:rsidP="008230CC">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Kant, I. (19</w:t>
      </w:r>
      <w:r>
        <w:rPr>
          <w:rFonts w:ascii="Times New Roman" w:hAnsi="Times New Roman"/>
          <w:color w:val="000000" w:themeColor="text1"/>
          <w:sz w:val="24"/>
          <w:szCs w:val="24"/>
        </w:rPr>
        <w:t>99</w:t>
      </w:r>
      <w:r w:rsidRPr="007F6A09">
        <w:rPr>
          <w:rFonts w:ascii="Times New Roman" w:hAnsi="Times New Roman"/>
          <w:color w:val="000000" w:themeColor="text1"/>
          <w:sz w:val="24"/>
          <w:szCs w:val="24"/>
        </w:rPr>
        <w:t xml:space="preserve">) </w:t>
      </w:r>
      <w:r>
        <w:rPr>
          <w:rFonts w:ascii="Times New Roman" w:hAnsi="Times New Roman"/>
          <w:i/>
          <w:color w:val="000000" w:themeColor="text1"/>
          <w:sz w:val="24"/>
          <w:szCs w:val="24"/>
        </w:rPr>
        <w:t xml:space="preserve">En defensa de </w:t>
      </w:r>
      <w:r w:rsidRPr="007F6A09">
        <w:rPr>
          <w:rFonts w:ascii="Times New Roman" w:hAnsi="Times New Roman"/>
          <w:i/>
          <w:color w:val="000000" w:themeColor="text1"/>
          <w:sz w:val="24"/>
          <w:szCs w:val="24"/>
        </w:rPr>
        <w:t>la ilustración</w:t>
      </w:r>
      <w:r>
        <w:rPr>
          <w:rFonts w:ascii="Times New Roman" w:hAnsi="Times New Roman"/>
          <w:color w:val="000000" w:themeColor="text1"/>
          <w:sz w:val="24"/>
          <w:szCs w:val="24"/>
        </w:rPr>
        <w:t>. Alba Editorial</w:t>
      </w:r>
    </w:p>
    <w:p w14:paraId="359D0A6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(2000) </w:t>
      </w:r>
      <w:r w:rsidRPr="007F6A09">
        <w:rPr>
          <w:rFonts w:ascii="Times New Roman" w:hAnsi="Times New Roman"/>
          <w:i/>
          <w:color w:val="000000" w:themeColor="text1"/>
          <w:sz w:val="24"/>
          <w:szCs w:val="24"/>
        </w:rPr>
        <w:t>Crítica de la razón práctica</w:t>
      </w:r>
      <w:r w:rsidRPr="007F6A09">
        <w:rPr>
          <w:rFonts w:ascii="Times New Roman" w:hAnsi="Times New Roman"/>
          <w:color w:val="000000" w:themeColor="text1"/>
          <w:sz w:val="24"/>
          <w:szCs w:val="24"/>
        </w:rPr>
        <w:t>. Alianza Editorial.</w:t>
      </w:r>
    </w:p>
    <w:p w14:paraId="64A4DF31"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(2005) </w:t>
      </w:r>
      <w:r w:rsidRPr="00DA48A9">
        <w:rPr>
          <w:rFonts w:ascii="Times New Roman" w:hAnsi="Times New Roman"/>
          <w:i/>
          <w:sz w:val="24"/>
          <w:szCs w:val="24"/>
        </w:rPr>
        <w:t>Cómo orientarse en el pensamiento</w:t>
      </w:r>
      <w:r w:rsidRPr="00DA48A9">
        <w:rPr>
          <w:rFonts w:ascii="Times New Roman" w:hAnsi="Times New Roman"/>
          <w:sz w:val="24"/>
          <w:szCs w:val="24"/>
        </w:rPr>
        <w:t xml:space="preserve">. Ed. </w:t>
      </w:r>
      <w:proofErr w:type="spellStart"/>
      <w:r w:rsidRPr="00DA48A9">
        <w:rPr>
          <w:rFonts w:ascii="Times New Roman" w:hAnsi="Times New Roman"/>
          <w:sz w:val="24"/>
          <w:szCs w:val="24"/>
        </w:rPr>
        <w:t>Quadrata</w:t>
      </w:r>
      <w:proofErr w:type="spellEnd"/>
      <w:r w:rsidRPr="00DA48A9">
        <w:rPr>
          <w:rFonts w:ascii="Times New Roman" w:hAnsi="Times New Roman"/>
          <w:sz w:val="24"/>
          <w:szCs w:val="24"/>
        </w:rPr>
        <w:t>.</w:t>
      </w:r>
    </w:p>
    <w:p w14:paraId="24134979"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Kant, I. (2008) </w:t>
      </w:r>
      <w:r w:rsidRPr="00D44DD4">
        <w:rPr>
          <w:rFonts w:ascii="Times New Roman" w:hAnsi="Times New Roman"/>
          <w:i/>
          <w:sz w:val="24"/>
          <w:szCs w:val="24"/>
        </w:rPr>
        <w:t>Fundamentación de la metafísica de las costumbres</w:t>
      </w:r>
      <w:r w:rsidRPr="00D44DD4">
        <w:rPr>
          <w:rFonts w:ascii="Times New Roman" w:hAnsi="Times New Roman"/>
          <w:sz w:val="24"/>
          <w:szCs w:val="24"/>
        </w:rPr>
        <w:t>. Ed. Austral.</w:t>
      </w:r>
    </w:p>
    <w:p w14:paraId="12F6654D" w14:textId="7FC65D6B" w:rsidR="00510A3D" w:rsidRPr="00BA441A" w:rsidRDefault="00510A3D" w:rsidP="009F2DB2">
      <w:pPr>
        <w:ind w:left="720" w:hanging="720"/>
        <w:rPr>
          <w:rFonts w:ascii="Times New Roman" w:hAnsi="Times New Roman"/>
          <w:sz w:val="24"/>
          <w:szCs w:val="24"/>
          <w:shd w:val="clear" w:color="auto" w:fill="FFFFFF"/>
          <w:lang w:val="es-PE"/>
        </w:rPr>
      </w:pPr>
      <w:r w:rsidRPr="00DA48A9">
        <w:rPr>
          <w:rFonts w:ascii="Times New Roman" w:hAnsi="Times New Roman"/>
          <w:sz w:val="24"/>
          <w:szCs w:val="24"/>
          <w:shd w:val="clear" w:color="auto" w:fill="FFFFFF"/>
        </w:rPr>
        <w:t xml:space="preserve">Kant, I. </w:t>
      </w:r>
      <w:r w:rsidRPr="00DA48A9">
        <w:rPr>
          <w:rFonts w:ascii="Times New Roman" w:hAnsi="Times New Roman"/>
          <w:sz w:val="24"/>
          <w:szCs w:val="24"/>
        </w:rPr>
        <w:t>(</w:t>
      </w:r>
      <w:r w:rsidRPr="00DA48A9">
        <w:rPr>
          <w:rFonts w:ascii="Times New Roman" w:hAnsi="Times New Roman"/>
          <w:sz w:val="24"/>
          <w:szCs w:val="24"/>
          <w:shd w:val="clear" w:color="auto" w:fill="FFFFFF"/>
        </w:rPr>
        <w:t>2008</w:t>
      </w:r>
      <w:r w:rsidRPr="00DA48A9">
        <w:rPr>
          <w:rFonts w:ascii="Times New Roman" w:hAnsi="Times New Roman"/>
          <w:sz w:val="24"/>
          <w:szCs w:val="24"/>
        </w:rPr>
        <w:t>)</w:t>
      </w:r>
      <w:r w:rsidRPr="00DA48A9">
        <w:rPr>
          <w:rFonts w:ascii="Times New Roman" w:hAnsi="Times New Roman"/>
          <w:sz w:val="24"/>
          <w:szCs w:val="24"/>
          <w:shd w:val="clear" w:color="auto" w:fill="FFFFFF"/>
        </w:rPr>
        <w:t xml:space="preserve"> </w:t>
      </w:r>
      <w:r w:rsidRPr="00DA48A9">
        <w:rPr>
          <w:rFonts w:ascii="Times New Roman" w:hAnsi="Times New Roman"/>
          <w:i/>
          <w:sz w:val="24"/>
          <w:szCs w:val="24"/>
          <w:shd w:val="clear" w:color="auto" w:fill="FFFFFF"/>
        </w:rPr>
        <w:t>Principios metafísicos del derecho</w:t>
      </w:r>
      <w:r w:rsidRPr="00DA48A9">
        <w:rPr>
          <w:rFonts w:ascii="Times New Roman" w:hAnsi="Times New Roman"/>
          <w:sz w:val="24"/>
          <w:szCs w:val="24"/>
          <w:shd w:val="clear" w:color="auto" w:fill="FFFFFF"/>
        </w:rPr>
        <w:t xml:space="preserve">. </w:t>
      </w:r>
      <w:r w:rsidR="0084169E">
        <w:rPr>
          <w:rFonts w:ascii="Times New Roman" w:hAnsi="Times New Roman"/>
          <w:sz w:val="24"/>
          <w:szCs w:val="24"/>
          <w:shd w:val="clear" w:color="auto" w:fill="FFFFFF"/>
        </w:rPr>
        <w:t>(</w:t>
      </w:r>
      <w:r w:rsidRPr="00DA48A9">
        <w:rPr>
          <w:rFonts w:ascii="Times New Roman" w:hAnsi="Times New Roman"/>
          <w:sz w:val="24"/>
          <w:szCs w:val="24"/>
          <w:shd w:val="clear" w:color="auto" w:fill="FFFFFF"/>
        </w:rPr>
        <w:t>Trad</w:t>
      </w:r>
      <w:r w:rsidR="0084169E">
        <w:rPr>
          <w:rFonts w:ascii="Times New Roman" w:hAnsi="Times New Roman"/>
          <w:sz w:val="24"/>
          <w:szCs w:val="24"/>
          <w:shd w:val="clear" w:color="auto" w:fill="FFFFFF"/>
        </w:rPr>
        <w:t>ucción del francés)</w:t>
      </w:r>
      <w:r w:rsidRPr="00DA48A9">
        <w:rPr>
          <w:rFonts w:ascii="Times New Roman" w:hAnsi="Times New Roman"/>
          <w:sz w:val="24"/>
          <w:szCs w:val="24"/>
          <w:shd w:val="clear" w:color="auto" w:fill="FFFFFF"/>
        </w:rPr>
        <w:t xml:space="preserve">. G. </w:t>
      </w:r>
      <w:proofErr w:type="spellStart"/>
      <w:r w:rsidRPr="00DA48A9">
        <w:rPr>
          <w:rFonts w:ascii="Times New Roman" w:hAnsi="Times New Roman"/>
          <w:sz w:val="24"/>
          <w:szCs w:val="24"/>
          <w:shd w:val="clear" w:color="auto" w:fill="FFFFFF"/>
        </w:rPr>
        <w:t>Lizarraga</w:t>
      </w:r>
      <w:proofErr w:type="spellEnd"/>
      <w:r w:rsidRPr="00DA48A9">
        <w:rPr>
          <w:rFonts w:ascii="Times New Roman" w:hAnsi="Times New Roman"/>
          <w:sz w:val="24"/>
          <w:szCs w:val="24"/>
          <w:shd w:val="clear" w:color="auto" w:fill="FFFFFF"/>
        </w:rPr>
        <w:t xml:space="preserve">. </w:t>
      </w:r>
      <w:r w:rsidRPr="00BA441A">
        <w:rPr>
          <w:rFonts w:ascii="Times New Roman" w:hAnsi="Times New Roman"/>
          <w:sz w:val="24"/>
          <w:szCs w:val="24"/>
          <w:shd w:val="clear" w:color="auto" w:fill="FFFFFF"/>
          <w:lang w:val="es-PE"/>
        </w:rPr>
        <w:t>Ed. Renacimiento.</w:t>
      </w:r>
      <w:r w:rsidR="0084169E">
        <w:rPr>
          <w:rFonts w:ascii="Times New Roman" w:hAnsi="Times New Roman"/>
          <w:sz w:val="24"/>
          <w:szCs w:val="24"/>
          <w:shd w:val="clear" w:color="auto" w:fill="FFFFFF"/>
          <w:lang w:val="es-PE"/>
        </w:rPr>
        <w:t xml:space="preserve"> Reimpresión de Madrid, </w:t>
      </w:r>
      <w:proofErr w:type="spellStart"/>
      <w:r w:rsidR="0084169E">
        <w:rPr>
          <w:rFonts w:ascii="Times New Roman" w:hAnsi="Times New Roman"/>
          <w:sz w:val="24"/>
          <w:szCs w:val="24"/>
          <w:shd w:val="clear" w:color="auto" w:fill="FFFFFF"/>
          <w:lang w:val="es-PE"/>
        </w:rPr>
        <w:t>J.</w:t>
      </w:r>
      <w:proofErr w:type="gramStart"/>
      <w:r w:rsidR="0084169E">
        <w:rPr>
          <w:rFonts w:ascii="Times New Roman" w:hAnsi="Times New Roman"/>
          <w:sz w:val="24"/>
          <w:szCs w:val="24"/>
          <w:shd w:val="clear" w:color="auto" w:fill="FFFFFF"/>
          <w:lang w:val="es-PE"/>
        </w:rPr>
        <w:t>M.Pérez</w:t>
      </w:r>
      <w:proofErr w:type="spellEnd"/>
      <w:proofErr w:type="gramEnd"/>
      <w:r w:rsidR="0084169E">
        <w:rPr>
          <w:rFonts w:ascii="Times New Roman" w:hAnsi="Times New Roman"/>
          <w:sz w:val="24"/>
          <w:szCs w:val="24"/>
          <w:shd w:val="clear" w:color="auto" w:fill="FFFFFF"/>
          <w:lang w:val="es-PE"/>
        </w:rPr>
        <w:t>, 1873.</w:t>
      </w:r>
    </w:p>
    <w:p w14:paraId="1198F33F" w14:textId="77777777" w:rsidR="00510A3D" w:rsidRPr="00BA441A" w:rsidRDefault="00510A3D" w:rsidP="009F2DB2">
      <w:pPr>
        <w:ind w:left="720" w:hanging="720"/>
        <w:rPr>
          <w:rFonts w:ascii="Times New Roman" w:hAnsi="Times New Roman"/>
          <w:sz w:val="24"/>
          <w:szCs w:val="24"/>
          <w:shd w:val="clear" w:color="auto" w:fill="FFFFFF"/>
          <w:lang w:val="en-US"/>
        </w:rPr>
      </w:pPr>
      <w:r w:rsidRPr="00D44DD4">
        <w:rPr>
          <w:rFonts w:ascii="Times New Roman" w:hAnsi="Times New Roman"/>
          <w:sz w:val="24"/>
          <w:szCs w:val="24"/>
          <w:shd w:val="clear" w:color="auto" w:fill="FFFFFF"/>
        </w:rPr>
        <w:t xml:space="preserve">Kant, I. </w:t>
      </w:r>
      <w:r w:rsidRPr="00D44DD4">
        <w:rPr>
          <w:rFonts w:ascii="Times New Roman" w:hAnsi="Times New Roman"/>
          <w:sz w:val="24"/>
          <w:szCs w:val="24"/>
        </w:rPr>
        <w:t>(</w:t>
      </w:r>
      <w:r w:rsidRPr="00D44DD4">
        <w:rPr>
          <w:rFonts w:ascii="Times New Roman" w:hAnsi="Times New Roman"/>
          <w:sz w:val="24"/>
          <w:szCs w:val="24"/>
          <w:shd w:val="clear" w:color="auto" w:fill="FFFFFF"/>
        </w:rPr>
        <w:t>2009</w:t>
      </w:r>
      <w:r w:rsidRPr="00D44DD4">
        <w:rPr>
          <w:rFonts w:ascii="Times New Roman" w:hAnsi="Times New Roman"/>
          <w:sz w:val="24"/>
          <w:szCs w:val="24"/>
        </w:rPr>
        <w:t>)</w:t>
      </w:r>
      <w:r w:rsidRPr="00D44DD4">
        <w:rPr>
          <w:rFonts w:ascii="Times New Roman" w:hAnsi="Times New Roman"/>
          <w:sz w:val="24"/>
          <w:szCs w:val="24"/>
          <w:shd w:val="clear" w:color="auto" w:fill="FFFFFF"/>
        </w:rPr>
        <w:t xml:space="preserve"> </w:t>
      </w:r>
      <w:r w:rsidRPr="00D44DD4">
        <w:rPr>
          <w:rFonts w:ascii="Times New Roman" w:hAnsi="Times New Roman"/>
          <w:i/>
          <w:sz w:val="24"/>
          <w:szCs w:val="24"/>
          <w:shd w:val="clear" w:color="auto" w:fill="FFFFFF"/>
        </w:rPr>
        <w:t>Sobre Pedagogía</w:t>
      </w:r>
      <w:r w:rsidRPr="00D44DD4">
        <w:rPr>
          <w:rFonts w:ascii="Times New Roman" w:hAnsi="Times New Roman"/>
          <w:sz w:val="24"/>
          <w:szCs w:val="24"/>
          <w:shd w:val="clear" w:color="auto" w:fill="FFFFFF"/>
        </w:rPr>
        <w:t xml:space="preserve">. Universidad Nacional de Córdoba. </w:t>
      </w:r>
      <w:r w:rsidRPr="00BA441A">
        <w:rPr>
          <w:rFonts w:ascii="Times New Roman" w:hAnsi="Times New Roman"/>
          <w:sz w:val="24"/>
          <w:szCs w:val="24"/>
          <w:shd w:val="clear" w:color="auto" w:fill="FFFFFF"/>
          <w:lang w:val="en-US"/>
        </w:rPr>
        <w:t xml:space="preserve">Encuentro Grupo Editor. </w:t>
      </w:r>
    </w:p>
    <w:p w14:paraId="33B87B2C" w14:textId="77777777" w:rsidR="00510A3D" w:rsidRPr="00D44DD4" w:rsidRDefault="00510A3D" w:rsidP="009F2DB2">
      <w:pPr>
        <w:ind w:left="720" w:hanging="720"/>
        <w:rPr>
          <w:rFonts w:ascii="Times New Roman" w:hAnsi="Times New Roman"/>
          <w:sz w:val="24"/>
          <w:szCs w:val="24"/>
          <w:lang w:val="en-US"/>
        </w:rPr>
      </w:pPr>
      <w:r w:rsidRPr="009F2DB2">
        <w:rPr>
          <w:rFonts w:ascii="Times New Roman" w:hAnsi="Times New Roman"/>
          <w:sz w:val="24"/>
          <w:szCs w:val="24"/>
          <w:lang w:val="en-US"/>
        </w:rPr>
        <w:t xml:space="preserve">Korner, S. (1955) </w:t>
      </w:r>
      <w:r w:rsidRPr="009F2DB2">
        <w:rPr>
          <w:rFonts w:ascii="Times New Roman" w:hAnsi="Times New Roman"/>
          <w:i/>
          <w:sz w:val="24"/>
          <w:szCs w:val="24"/>
          <w:lang w:val="en-US"/>
        </w:rPr>
        <w:t>Kant</w:t>
      </w:r>
      <w:r w:rsidRPr="009F2DB2">
        <w:rPr>
          <w:rFonts w:ascii="Times New Roman" w:hAnsi="Times New Roman"/>
          <w:sz w:val="24"/>
          <w:szCs w:val="24"/>
          <w:lang w:val="en-US"/>
        </w:rPr>
        <w:t xml:space="preserve">. </w:t>
      </w:r>
      <w:r w:rsidRPr="00D44DD4">
        <w:rPr>
          <w:rFonts w:ascii="Times New Roman" w:hAnsi="Times New Roman"/>
          <w:sz w:val="24"/>
          <w:szCs w:val="24"/>
          <w:lang w:val="en-US"/>
        </w:rPr>
        <w:t>Penguin Books.</w:t>
      </w:r>
    </w:p>
    <w:p w14:paraId="475A252B"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Krauss, K. (2020) </w:t>
      </w:r>
      <w:r w:rsidRPr="00D44DD4">
        <w:rPr>
          <w:rFonts w:ascii="Times New Roman" w:hAnsi="Times New Roman"/>
          <w:i/>
          <w:sz w:val="24"/>
          <w:szCs w:val="24"/>
          <w:lang w:val="en-US"/>
        </w:rPr>
        <w:t>Kant on self-knowledge and self-formation. The nature of inner experience</w:t>
      </w:r>
      <w:r w:rsidRPr="00D44DD4">
        <w:rPr>
          <w:rFonts w:ascii="Times New Roman" w:hAnsi="Times New Roman"/>
          <w:sz w:val="24"/>
          <w:szCs w:val="24"/>
          <w:lang w:val="en-US"/>
        </w:rPr>
        <w:t>. Cambridge University Press.</w:t>
      </w:r>
    </w:p>
    <w:p w14:paraId="6850C8D2" w14:textId="77777777" w:rsidR="00510A3D"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Lacroix, J. (1969) </w:t>
      </w:r>
      <w:r w:rsidRPr="00D44DD4">
        <w:rPr>
          <w:rFonts w:ascii="Times New Roman" w:hAnsi="Times New Roman"/>
          <w:i/>
          <w:sz w:val="24"/>
          <w:szCs w:val="24"/>
          <w:lang w:val="en-US"/>
        </w:rPr>
        <w:t>Kant</w:t>
      </w:r>
      <w:r w:rsidRPr="00D44DD4">
        <w:rPr>
          <w:rFonts w:ascii="Times New Roman" w:hAnsi="Times New Roman"/>
          <w:sz w:val="24"/>
          <w:szCs w:val="24"/>
          <w:lang w:val="en-US"/>
        </w:rPr>
        <w:t>. Ed. Sudamericana.</w:t>
      </w:r>
    </w:p>
    <w:p w14:paraId="0AF9D8C1" w14:textId="77777777" w:rsidR="00587FC8" w:rsidRPr="007F6A09" w:rsidRDefault="00587FC8" w:rsidP="00587FC8">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Leibniz, G.W. (2007) </w:t>
      </w:r>
      <w:r w:rsidRPr="007F6A09">
        <w:rPr>
          <w:rFonts w:ascii="Times New Roman" w:hAnsi="Times New Roman"/>
          <w:i/>
          <w:color w:val="000000" w:themeColor="text1"/>
          <w:sz w:val="24"/>
          <w:szCs w:val="24"/>
          <w:lang w:val="en-US"/>
        </w:rPr>
        <w:t>Discourse of Metaphysics</w:t>
      </w:r>
      <w:r w:rsidRPr="007F6A09">
        <w:rPr>
          <w:rFonts w:ascii="Times New Roman" w:hAnsi="Times New Roman"/>
          <w:color w:val="000000" w:themeColor="text1"/>
          <w:sz w:val="24"/>
          <w:szCs w:val="24"/>
          <w:lang w:val="en-US"/>
        </w:rPr>
        <w:t>. Ed. Jonathan Bennett. Early modern texts.</w:t>
      </w:r>
    </w:p>
    <w:p w14:paraId="2DFD1F29" w14:textId="77777777" w:rsidR="00587FC8" w:rsidRPr="007F6A09" w:rsidRDefault="00587FC8" w:rsidP="00587FC8">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lastRenderedPageBreak/>
        <w:t xml:space="preserve">Leibniz, G.W. (2014) </w:t>
      </w:r>
      <w:r w:rsidRPr="007F6A09">
        <w:rPr>
          <w:rFonts w:ascii="Times New Roman" w:hAnsi="Times New Roman"/>
          <w:i/>
          <w:color w:val="000000" w:themeColor="text1"/>
          <w:sz w:val="24"/>
          <w:szCs w:val="24"/>
        </w:rPr>
        <w:t>Teodicea</w:t>
      </w:r>
      <w:r w:rsidRPr="007F6A09">
        <w:rPr>
          <w:rFonts w:ascii="Times New Roman" w:hAnsi="Times New Roman"/>
          <w:color w:val="000000" w:themeColor="text1"/>
          <w:sz w:val="24"/>
          <w:szCs w:val="24"/>
        </w:rPr>
        <w:t>. Ed. Biblioteca Nueva.</w:t>
      </w:r>
    </w:p>
    <w:p w14:paraId="7E351732" w14:textId="77777777" w:rsidR="00510A3D" w:rsidRPr="00BA441A" w:rsidRDefault="00510A3D" w:rsidP="009F2DB2">
      <w:pPr>
        <w:ind w:left="720" w:hanging="720"/>
        <w:rPr>
          <w:rFonts w:ascii="Times New Roman" w:hAnsi="Times New Roman"/>
          <w:sz w:val="24"/>
          <w:szCs w:val="24"/>
          <w:lang w:val="en-US"/>
        </w:rPr>
      </w:pPr>
      <w:r w:rsidRPr="00067720">
        <w:rPr>
          <w:rFonts w:ascii="Times New Roman" w:hAnsi="Times New Roman"/>
          <w:sz w:val="24"/>
          <w:szCs w:val="24"/>
          <w:lang w:val="es-PE"/>
        </w:rPr>
        <w:t xml:space="preserve">Maritain, J. (1962) </w:t>
      </w:r>
      <w:r w:rsidRPr="00067720">
        <w:rPr>
          <w:rFonts w:ascii="Times New Roman" w:hAnsi="Times New Roman"/>
          <w:i/>
          <w:sz w:val="24"/>
          <w:szCs w:val="24"/>
          <w:lang w:val="es-PE"/>
        </w:rPr>
        <w:t xml:space="preserve">Filosofía moral. </w:t>
      </w:r>
      <w:proofErr w:type="spellStart"/>
      <w:r w:rsidRPr="00D44DD4">
        <w:rPr>
          <w:rFonts w:ascii="Times New Roman" w:hAnsi="Times New Roman"/>
          <w:i/>
          <w:sz w:val="24"/>
          <w:szCs w:val="24"/>
        </w:rPr>
        <w:t>Exámen</w:t>
      </w:r>
      <w:proofErr w:type="spellEnd"/>
      <w:r w:rsidRPr="00D44DD4">
        <w:rPr>
          <w:rFonts w:ascii="Times New Roman" w:hAnsi="Times New Roman"/>
          <w:i/>
          <w:sz w:val="24"/>
          <w:szCs w:val="24"/>
        </w:rPr>
        <w:t xml:space="preserve"> histórico crítico de los grandes sistemas.</w:t>
      </w:r>
      <w:r w:rsidRPr="00D44DD4">
        <w:rPr>
          <w:rFonts w:ascii="Times New Roman" w:hAnsi="Times New Roman"/>
          <w:sz w:val="24"/>
          <w:szCs w:val="24"/>
        </w:rPr>
        <w:t xml:space="preserve"> </w:t>
      </w:r>
      <w:r w:rsidRPr="00BA441A">
        <w:rPr>
          <w:rFonts w:ascii="Times New Roman" w:hAnsi="Times New Roman"/>
          <w:sz w:val="24"/>
          <w:szCs w:val="24"/>
          <w:lang w:val="en-US"/>
        </w:rPr>
        <w:t>Ed. Morata.</w:t>
      </w:r>
    </w:p>
    <w:p w14:paraId="55C7E37B"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n-US"/>
        </w:rPr>
        <w:t xml:space="preserve">O´Neill, O. (1986) </w:t>
      </w:r>
      <w:r w:rsidRPr="00D44DD4">
        <w:rPr>
          <w:rFonts w:ascii="Times New Roman" w:hAnsi="Times New Roman"/>
          <w:i/>
          <w:sz w:val="24"/>
          <w:szCs w:val="24"/>
          <w:lang w:val="en-US"/>
        </w:rPr>
        <w:t>The public use of reason</w:t>
      </w:r>
      <w:r w:rsidRPr="00D44DD4">
        <w:rPr>
          <w:rFonts w:ascii="Times New Roman" w:hAnsi="Times New Roman"/>
          <w:sz w:val="24"/>
          <w:szCs w:val="24"/>
          <w:lang w:val="en-US"/>
        </w:rPr>
        <w:t>.</w:t>
      </w:r>
      <w:r w:rsidRPr="00D44DD4">
        <w:rPr>
          <w:rFonts w:ascii="Times New Roman" w:hAnsi="Times New Roman"/>
          <w:i/>
          <w:sz w:val="24"/>
          <w:szCs w:val="24"/>
          <w:lang w:val="en-US"/>
        </w:rPr>
        <w:t xml:space="preserve"> </w:t>
      </w:r>
      <w:r w:rsidRPr="00D44DD4">
        <w:rPr>
          <w:rFonts w:ascii="Times New Roman" w:hAnsi="Times New Roman"/>
          <w:sz w:val="24"/>
          <w:szCs w:val="24"/>
          <w:lang w:val="es-PE"/>
        </w:rPr>
        <w:t xml:space="preserve">En: </w:t>
      </w:r>
      <w:proofErr w:type="spellStart"/>
      <w:r w:rsidRPr="00D44DD4">
        <w:rPr>
          <w:rFonts w:ascii="Times New Roman" w:hAnsi="Times New Roman"/>
          <w:sz w:val="24"/>
          <w:szCs w:val="24"/>
          <w:lang w:val="es-PE"/>
        </w:rPr>
        <w:t>Political</w:t>
      </w:r>
      <w:proofErr w:type="spellEnd"/>
      <w:r w:rsidRPr="00D44DD4">
        <w:rPr>
          <w:rFonts w:ascii="Times New Roman" w:hAnsi="Times New Roman"/>
          <w:sz w:val="24"/>
          <w:szCs w:val="24"/>
          <w:lang w:val="es-PE"/>
        </w:rPr>
        <w:t xml:space="preserve"> Theory, Vol 14, Nº4, Nov. pp. 523-551.</w:t>
      </w:r>
    </w:p>
    <w:p w14:paraId="706ECB82" w14:textId="77777777" w:rsidR="00510A3D" w:rsidRPr="00BA441A"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Pereira, G. (2004) </w:t>
      </w:r>
      <w:r w:rsidRPr="00D44DD4">
        <w:rPr>
          <w:rFonts w:ascii="Times New Roman" w:hAnsi="Times New Roman"/>
          <w:i/>
          <w:sz w:val="24"/>
          <w:szCs w:val="24"/>
        </w:rPr>
        <w:t>Condiciones de posibilidad para una justicia global</w:t>
      </w:r>
      <w:r w:rsidRPr="00D44DD4">
        <w:rPr>
          <w:rFonts w:ascii="Times New Roman" w:hAnsi="Times New Roman"/>
          <w:sz w:val="24"/>
          <w:szCs w:val="24"/>
        </w:rPr>
        <w:t xml:space="preserve">. </w:t>
      </w:r>
      <w:r w:rsidRPr="00BA441A">
        <w:rPr>
          <w:rFonts w:ascii="Times New Roman" w:hAnsi="Times New Roman"/>
          <w:sz w:val="24"/>
          <w:szCs w:val="24"/>
          <w:lang w:val="en-US"/>
        </w:rPr>
        <w:t xml:space="preserve">En: </w:t>
      </w:r>
      <w:proofErr w:type="spellStart"/>
      <w:r w:rsidRPr="00BA441A">
        <w:rPr>
          <w:rFonts w:ascii="Times New Roman" w:hAnsi="Times New Roman"/>
          <w:sz w:val="24"/>
          <w:szCs w:val="24"/>
          <w:lang w:val="en-US"/>
        </w:rPr>
        <w:t>Isegoría</w:t>
      </w:r>
      <w:proofErr w:type="spellEnd"/>
      <w:r w:rsidRPr="00BA441A">
        <w:rPr>
          <w:rFonts w:ascii="Times New Roman" w:hAnsi="Times New Roman"/>
          <w:sz w:val="24"/>
          <w:szCs w:val="24"/>
          <w:lang w:val="en-US"/>
        </w:rPr>
        <w:t>, Nº 30, Junio, 2004.</w:t>
      </w:r>
    </w:p>
    <w:p w14:paraId="658234A8" w14:textId="77777777" w:rsidR="00510A3D" w:rsidRPr="00290825" w:rsidRDefault="00510A3D" w:rsidP="009F2DB2">
      <w:pPr>
        <w:ind w:left="720" w:hanging="720"/>
        <w:rPr>
          <w:rFonts w:ascii="Times New Roman" w:hAnsi="Times New Roman"/>
          <w:sz w:val="24"/>
          <w:szCs w:val="24"/>
          <w:lang w:val="en-US"/>
        </w:rPr>
      </w:pPr>
      <w:r w:rsidRPr="00A23F94">
        <w:rPr>
          <w:rFonts w:ascii="Times New Roman" w:hAnsi="Times New Roman"/>
          <w:sz w:val="24"/>
          <w:szCs w:val="24"/>
          <w:lang w:val="en-US"/>
        </w:rPr>
        <w:t xml:space="preserve">Ripstein, A. (2009) </w:t>
      </w:r>
      <w:r w:rsidRPr="00A23F94">
        <w:rPr>
          <w:rFonts w:ascii="Times New Roman" w:hAnsi="Times New Roman"/>
          <w:i/>
          <w:iCs/>
          <w:sz w:val="24"/>
          <w:szCs w:val="24"/>
          <w:lang w:val="en-US"/>
        </w:rPr>
        <w:t>Force and F</w:t>
      </w:r>
      <w:r>
        <w:rPr>
          <w:rFonts w:ascii="Times New Roman" w:hAnsi="Times New Roman"/>
          <w:i/>
          <w:iCs/>
          <w:sz w:val="24"/>
          <w:szCs w:val="24"/>
          <w:lang w:val="en-US"/>
        </w:rPr>
        <w:t>reedom. Kant’s legal and political philosophy</w:t>
      </w:r>
      <w:r>
        <w:rPr>
          <w:rFonts w:ascii="Times New Roman" w:hAnsi="Times New Roman"/>
          <w:sz w:val="24"/>
          <w:szCs w:val="24"/>
          <w:lang w:val="en-US"/>
        </w:rPr>
        <w:t xml:space="preserve">. </w:t>
      </w:r>
      <w:r w:rsidRPr="00290825">
        <w:rPr>
          <w:rFonts w:ascii="Times New Roman" w:hAnsi="Times New Roman"/>
          <w:sz w:val="24"/>
          <w:szCs w:val="24"/>
          <w:lang w:val="en-US"/>
        </w:rPr>
        <w:t xml:space="preserve">Harvard College  </w:t>
      </w:r>
    </w:p>
    <w:p w14:paraId="4F2B09BD" w14:textId="77777777" w:rsidR="00510A3D" w:rsidRPr="00290825" w:rsidRDefault="00510A3D" w:rsidP="009F2DB2">
      <w:pPr>
        <w:ind w:left="720" w:hanging="720"/>
        <w:rPr>
          <w:rFonts w:ascii="Times New Roman" w:hAnsi="Times New Roman"/>
          <w:sz w:val="24"/>
          <w:szCs w:val="24"/>
          <w:lang w:val="es-PE"/>
        </w:rPr>
      </w:pPr>
      <w:r w:rsidRPr="00A23F94">
        <w:rPr>
          <w:rFonts w:ascii="Times New Roman" w:hAnsi="Times New Roman"/>
          <w:sz w:val="24"/>
          <w:szCs w:val="24"/>
          <w:lang w:val="en-US"/>
        </w:rPr>
        <w:t>Ripstein, A. (20</w:t>
      </w:r>
      <w:r>
        <w:rPr>
          <w:rFonts w:ascii="Times New Roman" w:hAnsi="Times New Roman"/>
          <w:sz w:val="24"/>
          <w:szCs w:val="24"/>
          <w:lang w:val="en-US"/>
        </w:rPr>
        <w:t>21</w:t>
      </w:r>
      <w:r w:rsidRPr="00A23F94">
        <w:rPr>
          <w:rFonts w:ascii="Times New Roman" w:hAnsi="Times New Roman"/>
          <w:sz w:val="24"/>
          <w:szCs w:val="24"/>
          <w:lang w:val="en-US"/>
        </w:rPr>
        <w:t xml:space="preserve">) </w:t>
      </w:r>
      <w:r>
        <w:rPr>
          <w:rFonts w:ascii="Times New Roman" w:hAnsi="Times New Roman"/>
          <w:i/>
          <w:iCs/>
          <w:sz w:val="24"/>
          <w:szCs w:val="24"/>
          <w:lang w:val="en-US"/>
        </w:rPr>
        <w:t>Kant and the law of war</w:t>
      </w:r>
      <w:r>
        <w:rPr>
          <w:rFonts w:ascii="Times New Roman" w:hAnsi="Times New Roman"/>
          <w:sz w:val="24"/>
          <w:szCs w:val="24"/>
          <w:lang w:val="en-US"/>
        </w:rPr>
        <w:t xml:space="preserve">. </w:t>
      </w:r>
      <w:r w:rsidRPr="00290825">
        <w:rPr>
          <w:rFonts w:ascii="Times New Roman" w:hAnsi="Times New Roman"/>
          <w:sz w:val="24"/>
          <w:szCs w:val="24"/>
          <w:lang w:val="es-PE"/>
        </w:rPr>
        <w:t>Oxford.</w:t>
      </w:r>
    </w:p>
    <w:p w14:paraId="41218967" w14:textId="77777777" w:rsidR="00510A3D" w:rsidRPr="00290825"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Vandewalle, B. (2005) </w:t>
      </w:r>
      <w:r w:rsidRPr="00D44DD4">
        <w:rPr>
          <w:rFonts w:ascii="Times New Roman" w:hAnsi="Times New Roman"/>
          <w:i/>
          <w:sz w:val="24"/>
          <w:szCs w:val="24"/>
        </w:rPr>
        <w:t>Kant. Educación y crítica.</w:t>
      </w:r>
      <w:r w:rsidRPr="00D44DD4">
        <w:rPr>
          <w:rFonts w:ascii="Times New Roman" w:hAnsi="Times New Roman"/>
          <w:sz w:val="24"/>
          <w:szCs w:val="24"/>
        </w:rPr>
        <w:t xml:space="preserve"> </w:t>
      </w:r>
      <w:r w:rsidRPr="00290825">
        <w:rPr>
          <w:rFonts w:ascii="Times New Roman" w:hAnsi="Times New Roman"/>
          <w:sz w:val="24"/>
          <w:szCs w:val="24"/>
          <w:lang w:val="en-US"/>
        </w:rPr>
        <w:t>Ed. Nueva Visión.</w:t>
      </w:r>
    </w:p>
    <w:p w14:paraId="3EA103EB"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Walzer, M. (1983) </w:t>
      </w:r>
      <w:r w:rsidRPr="00D44DD4">
        <w:rPr>
          <w:rFonts w:ascii="Times New Roman" w:hAnsi="Times New Roman"/>
          <w:i/>
          <w:sz w:val="24"/>
          <w:szCs w:val="24"/>
          <w:lang w:val="en-US"/>
        </w:rPr>
        <w:t>Spheres of Justice. A defense of pluralism and equality.</w:t>
      </w:r>
      <w:r w:rsidRPr="00D44DD4">
        <w:rPr>
          <w:rFonts w:ascii="Times New Roman" w:hAnsi="Times New Roman"/>
          <w:sz w:val="24"/>
          <w:szCs w:val="24"/>
          <w:lang w:val="en-US"/>
        </w:rPr>
        <w:t xml:space="preserve"> Basic Books, Perseus Books Group.</w:t>
      </w:r>
    </w:p>
    <w:p w14:paraId="42201D7F" w14:textId="77777777" w:rsidR="00510A3D" w:rsidRDefault="00510A3D" w:rsidP="009F2DB2">
      <w:pPr>
        <w:ind w:left="720" w:hanging="720"/>
        <w:rPr>
          <w:rFonts w:ascii="Times New Roman" w:hAnsi="Times New Roman"/>
          <w:sz w:val="24"/>
          <w:szCs w:val="24"/>
          <w:lang w:val="es-PE"/>
        </w:rPr>
      </w:pPr>
      <w:r w:rsidRPr="00BA441A">
        <w:rPr>
          <w:rFonts w:ascii="Times New Roman" w:hAnsi="Times New Roman"/>
          <w:sz w:val="24"/>
          <w:szCs w:val="24"/>
          <w:lang w:val="en-US"/>
        </w:rPr>
        <w:t xml:space="preserve">Williams, B. (1998) </w:t>
      </w:r>
      <w:proofErr w:type="spellStart"/>
      <w:r w:rsidRPr="00BA441A">
        <w:rPr>
          <w:rFonts w:ascii="Times New Roman" w:hAnsi="Times New Roman"/>
          <w:i/>
          <w:sz w:val="24"/>
          <w:szCs w:val="24"/>
          <w:lang w:val="en-US"/>
        </w:rPr>
        <w:t>Introducción</w:t>
      </w:r>
      <w:proofErr w:type="spellEnd"/>
      <w:r w:rsidRPr="00BA441A">
        <w:rPr>
          <w:rFonts w:ascii="Times New Roman" w:hAnsi="Times New Roman"/>
          <w:i/>
          <w:sz w:val="24"/>
          <w:szCs w:val="24"/>
          <w:lang w:val="en-US"/>
        </w:rPr>
        <w:t xml:space="preserve"> a la </w:t>
      </w:r>
      <w:proofErr w:type="spellStart"/>
      <w:r w:rsidRPr="00BA441A">
        <w:rPr>
          <w:rFonts w:ascii="Times New Roman" w:hAnsi="Times New Roman"/>
          <w:i/>
          <w:sz w:val="24"/>
          <w:szCs w:val="24"/>
          <w:lang w:val="en-US"/>
        </w:rPr>
        <w:t>ética</w:t>
      </w:r>
      <w:proofErr w:type="spellEnd"/>
      <w:r w:rsidRPr="00BA441A">
        <w:rPr>
          <w:rFonts w:ascii="Times New Roman" w:hAnsi="Times New Roman"/>
          <w:sz w:val="24"/>
          <w:szCs w:val="24"/>
          <w:lang w:val="en-US"/>
        </w:rPr>
        <w:t xml:space="preserve">. </w:t>
      </w:r>
      <w:r w:rsidRPr="00312036">
        <w:rPr>
          <w:rFonts w:ascii="Times New Roman" w:hAnsi="Times New Roman"/>
          <w:sz w:val="24"/>
          <w:szCs w:val="24"/>
          <w:lang w:val="es-PE"/>
        </w:rPr>
        <w:t>Colección Teorema.</w:t>
      </w:r>
    </w:p>
    <w:p w14:paraId="6B78B920" w14:textId="520F7FB5" w:rsidR="00F92AA9" w:rsidRDefault="00F92AA9" w:rsidP="009F2DB2">
      <w:pPr>
        <w:ind w:left="720" w:hanging="720"/>
        <w:rPr>
          <w:rFonts w:ascii="Times New Roman" w:hAnsi="Times New Roman"/>
          <w:sz w:val="24"/>
          <w:szCs w:val="24"/>
          <w:lang w:val="es-PE"/>
        </w:rPr>
      </w:pPr>
      <w:r>
        <w:rPr>
          <w:rFonts w:ascii="Times New Roman" w:hAnsi="Times New Roman"/>
          <w:sz w:val="24"/>
          <w:szCs w:val="24"/>
          <w:lang w:val="es-PE"/>
        </w:rPr>
        <w:t>Ludwig, B</w:t>
      </w:r>
    </w:p>
    <w:p w14:paraId="67E4F531" w14:textId="557551AE" w:rsidR="00F92AA9" w:rsidRPr="00F92AA9"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 xml:space="preserve">(2010) </w:t>
      </w:r>
      <w:r>
        <w:rPr>
          <w:rFonts w:ascii="Times New Roman" w:hAnsi="Times New Roman"/>
          <w:i/>
          <w:iCs/>
          <w:sz w:val="24"/>
          <w:szCs w:val="24"/>
          <w:lang w:val="en-US"/>
        </w:rPr>
        <w:t>Innate Right and Acquired Right in Arthur Ripstein’s Force and Freedom</w:t>
      </w:r>
      <w:r>
        <w:rPr>
          <w:rFonts w:ascii="Times New Roman" w:hAnsi="Times New Roman"/>
          <w:sz w:val="24"/>
          <w:szCs w:val="24"/>
          <w:lang w:val="en-US"/>
        </w:rPr>
        <w:t>. Jurisprudence, 1(2), 295-304.</w:t>
      </w:r>
    </w:p>
    <w:p w14:paraId="559F3B1B" w14:textId="0777CD17" w:rsidR="00F92AA9" w:rsidRPr="00B67C35"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(201</w:t>
      </w:r>
      <w:r>
        <w:rPr>
          <w:rFonts w:ascii="Times New Roman" w:hAnsi="Times New Roman"/>
          <w:sz w:val="24"/>
          <w:szCs w:val="24"/>
          <w:lang w:val="en-US"/>
        </w:rPr>
        <w:t>7</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A regime of equal private freedom? Individual rights and public law in Ripstein’s Force and Freedom</w:t>
      </w:r>
      <w:r w:rsidR="00B67C35">
        <w:rPr>
          <w:rFonts w:ascii="Times New Roman" w:hAnsi="Times New Roman"/>
          <w:sz w:val="24"/>
          <w:szCs w:val="24"/>
          <w:lang w:val="en-US"/>
        </w:rPr>
        <w:t xml:space="preserve">. En: S. </w:t>
      </w:r>
      <w:proofErr w:type="spellStart"/>
      <w:r w:rsidR="00B67C35">
        <w:rPr>
          <w:rFonts w:ascii="Times New Roman" w:hAnsi="Times New Roman"/>
          <w:sz w:val="24"/>
          <w:szCs w:val="24"/>
          <w:lang w:val="en-US"/>
        </w:rPr>
        <w:t>Kisilevsky</w:t>
      </w:r>
      <w:proofErr w:type="spellEnd"/>
      <w:r w:rsidR="00B67C35">
        <w:rPr>
          <w:rFonts w:ascii="Times New Roman" w:hAnsi="Times New Roman"/>
          <w:sz w:val="24"/>
          <w:szCs w:val="24"/>
          <w:lang w:val="en-US"/>
        </w:rPr>
        <w:t xml:space="preserve"> y M. Stone (eds.), Freedom and force: essays on Kant’s legal philosophy. Oxford: Hart. </w:t>
      </w:r>
    </w:p>
    <w:p w14:paraId="58AB60A3" w14:textId="29AA81B1" w:rsidR="00F92AA9" w:rsidRPr="00B67C35"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w:t>
      </w:r>
      <w:r>
        <w:rPr>
          <w:rFonts w:ascii="Times New Roman" w:hAnsi="Times New Roman"/>
          <w:sz w:val="24"/>
          <w:szCs w:val="24"/>
          <w:lang w:val="en-US"/>
        </w:rPr>
        <w:t>22</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Innate right in Kant – A critical reading</w:t>
      </w:r>
      <w:r w:rsidR="00B67C35">
        <w:rPr>
          <w:rFonts w:ascii="Times New Roman" w:hAnsi="Times New Roman"/>
          <w:sz w:val="24"/>
          <w:szCs w:val="24"/>
          <w:lang w:val="en-US"/>
        </w:rPr>
        <w:t>. European Journal of Philosophy, 30(2), 823-839.</w:t>
      </w:r>
    </w:p>
    <w:p w14:paraId="50E7CE5F" w14:textId="77777777" w:rsidR="00F92AA9" w:rsidRPr="00F92AA9" w:rsidRDefault="00F92AA9" w:rsidP="009F2DB2">
      <w:pPr>
        <w:ind w:left="720" w:hanging="720"/>
        <w:rPr>
          <w:rFonts w:ascii="Times New Roman" w:hAnsi="Times New Roman"/>
          <w:sz w:val="24"/>
          <w:szCs w:val="24"/>
          <w:lang w:val="en-US"/>
        </w:rPr>
      </w:pPr>
    </w:p>
    <w:sectPr w:rsidR="00F92AA9" w:rsidRPr="00F92AA9" w:rsidSect="004D6F59">
      <w:footerReference w:type="default" r:id="rId10"/>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30498" w14:textId="77777777" w:rsidR="007C0270" w:rsidRDefault="007C0270" w:rsidP="009D68C6">
      <w:pPr>
        <w:spacing w:after="0"/>
      </w:pPr>
      <w:r>
        <w:separator/>
      </w:r>
    </w:p>
  </w:endnote>
  <w:endnote w:type="continuationSeparator" w:id="0">
    <w:p w14:paraId="031D0D49" w14:textId="77777777" w:rsidR="007C0270" w:rsidRDefault="007C0270"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12051" w14:textId="77777777" w:rsidR="007C0270" w:rsidRDefault="007C0270" w:rsidP="009D68C6">
      <w:pPr>
        <w:spacing w:after="0"/>
      </w:pPr>
      <w:r>
        <w:separator/>
      </w:r>
    </w:p>
  </w:footnote>
  <w:footnote w:type="continuationSeparator" w:id="0">
    <w:p w14:paraId="51E0D191" w14:textId="77777777" w:rsidR="007C0270" w:rsidRDefault="007C0270"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7"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1"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2"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8"/>
  </w:num>
  <w:num w:numId="2" w16cid:durableId="1082609318">
    <w:abstractNumId w:val="1"/>
  </w:num>
  <w:num w:numId="3" w16cid:durableId="1622953391">
    <w:abstractNumId w:val="4"/>
  </w:num>
  <w:num w:numId="4" w16cid:durableId="1839031692">
    <w:abstractNumId w:val="2"/>
  </w:num>
  <w:num w:numId="5" w16cid:durableId="993414838">
    <w:abstractNumId w:val="10"/>
  </w:num>
  <w:num w:numId="6" w16cid:durableId="1752391562">
    <w:abstractNumId w:val="6"/>
  </w:num>
  <w:num w:numId="7" w16cid:durableId="386340578">
    <w:abstractNumId w:val="5"/>
  </w:num>
  <w:num w:numId="8" w16cid:durableId="1641573121">
    <w:abstractNumId w:val="9"/>
  </w:num>
  <w:num w:numId="9" w16cid:durableId="75127630">
    <w:abstractNumId w:val="7"/>
  </w:num>
  <w:num w:numId="10" w16cid:durableId="228343604">
    <w:abstractNumId w:val="11"/>
  </w:num>
  <w:num w:numId="11" w16cid:durableId="1492791566">
    <w:abstractNumId w:val="12"/>
  </w:num>
  <w:num w:numId="12" w16cid:durableId="474954717">
    <w:abstractNumId w:val="3"/>
  </w:num>
  <w:num w:numId="13" w16cid:durableId="1997495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43A58"/>
    <w:rsid w:val="000456DE"/>
    <w:rsid w:val="000579A5"/>
    <w:rsid w:val="00060DDD"/>
    <w:rsid w:val="00067720"/>
    <w:rsid w:val="00071AAA"/>
    <w:rsid w:val="0007241B"/>
    <w:rsid w:val="00073F0B"/>
    <w:rsid w:val="00080014"/>
    <w:rsid w:val="00082AEC"/>
    <w:rsid w:val="00093230"/>
    <w:rsid w:val="000C264A"/>
    <w:rsid w:val="000C28E2"/>
    <w:rsid w:val="000C5F0A"/>
    <w:rsid w:val="000F1E6A"/>
    <w:rsid w:val="001021DB"/>
    <w:rsid w:val="00104779"/>
    <w:rsid w:val="00116F0E"/>
    <w:rsid w:val="00142CCE"/>
    <w:rsid w:val="00146F30"/>
    <w:rsid w:val="00156310"/>
    <w:rsid w:val="0015708E"/>
    <w:rsid w:val="00157CD1"/>
    <w:rsid w:val="00175816"/>
    <w:rsid w:val="00181DF7"/>
    <w:rsid w:val="001849CF"/>
    <w:rsid w:val="001904BB"/>
    <w:rsid w:val="001A4A4E"/>
    <w:rsid w:val="001B160C"/>
    <w:rsid w:val="001B2AD1"/>
    <w:rsid w:val="001C3B37"/>
    <w:rsid w:val="001C3C74"/>
    <w:rsid w:val="001C42CE"/>
    <w:rsid w:val="001E3119"/>
    <w:rsid w:val="001E7D25"/>
    <w:rsid w:val="001F2CFD"/>
    <w:rsid w:val="002103DD"/>
    <w:rsid w:val="00221647"/>
    <w:rsid w:val="00221EA0"/>
    <w:rsid w:val="0022282F"/>
    <w:rsid w:val="0022477D"/>
    <w:rsid w:val="00224BFC"/>
    <w:rsid w:val="002408A1"/>
    <w:rsid w:val="002448F8"/>
    <w:rsid w:val="0024775F"/>
    <w:rsid w:val="002511D9"/>
    <w:rsid w:val="00252147"/>
    <w:rsid w:val="00253251"/>
    <w:rsid w:val="002554E8"/>
    <w:rsid w:val="002560C2"/>
    <w:rsid w:val="00257CC9"/>
    <w:rsid w:val="00260FA5"/>
    <w:rsid w:val="00286653"/>
    <w:rsid w:val="00290825"/>
    <w:rsid w:val="00290DD5"/>
    <w:rsid w:val="002A0259"/>
    <w:rsid w:val="002C4DC0"/>
    <w:rsid w:val="002D16D8"/>
    <w:rsid w:val="002D6030"/>
    <w:rsid w:val="002E32FB"/>
    <w:rsid w:val="002E7504"/>
    <w:rsid w:val="00305637"/>
    <w:rsid w:val="00316C24"/>
    <w:rsid w:val="0034224E"/>
    <w:rsid w:val="00344A3A"/>
    <w:rsid w:val="00345DD4"/>
    <w:rsid w:val="00353072"/>
    <w:rsid w:val="00354AFF"/>
    <w:rsid w:val="0036068F"/>
    <w:rsid w:val="00362F97"/>
    <w:rsid w:val="003636BE"/>
    <w:rsid w:val="0037522B"/>
    <w:rsid w:val="003A3918"/>
    <w:rsid w:val="003A3FCE"/>
    <w:rsid w:val="003A437C"/>
    <w:rsid w:val="003B09AD"/>
    <w:rsid w:val="003B0CE9"/>
    <w:rsid w:val="003B22B2"/>
    <w:rsid w:val="003C5BE8"/>
    <w:rsid w:val="003E10B2"/>
    <w:rsid w:val="003E6635"/>
    <w:rsid w:val="003F175F"/>
    <w:rsid w:val="003F194D"/>
    <w:rsid w:val="003F5346"/>
    <w:rsid w:val="00401C62"/>
    <w:rsid w:val="0041160A"/>
    <w:rsid w:val="00413498"/>
    <w:rsid w:val="0042630B"/>
    <w:rsid w:val="0044264B"/>
    <w:rsid w:val="00462C0B"/>
    <w:rsid w:val="00467DA3"/>
    <w:rsid w:val="00480E46"/>
    <w:rsid w:val="004813C4"/>
    <w:rsid w:val="0048417E"/>
    <w:rsid w:val="00485B5E"/>
    <w:rsid w:val="00486A97"/>
    <w:rsid w:val="004923F7"/>
    <w:rsid w:val="004B1037"/>
    <w:rsid w:val="004C47E3"/>
    <w:rsid w:val="004C6A7C"/>
    <w:rsid w:val="004D1FE4"/>
    <w:rsid w:val="004D2757"/>
    <w:rsid w:val="004D6F59"/>
    <w:rsid w:val="004E0972"/>
    <w:rsid w:val="004E21A1"/>
    <w:rsid w:val="004E7C05"/>
    <w:rsid w:val="005053CF"/>
    <w:rsid w:val="00510A3D"/>
    <w:rsid w:val="005151E6"/>
    <w:rsid w:val="005176E8"/>
    <w:rsid w:val="0053194A"/>
    <w:rsid w:val="005413D1"/>
    <w:rsid w:val="005461B6"/>
    <w:rsid w:val="00546B0C"/>
    <w:rsid w:val="00547243"/>
    <w:rsid w:val="0056347B"/>
    <w:rsid w:val="00571017"/>
    <w:rsid w:val="00572FD8"/>
    <w:rsid w:val="0058245D"/>
    <w:rsid w:val="00582B36"/>
    <w:rsid w:val="00587FC8"/>
    <w:rsid w:val="0059506F"/>
    <w:rsid w:val="00595D08"/>
    <w:rsid w:val="005C0AC4"/>
    <w:rsid w:val="005C119C"/>
    <w:rsid w:val="005C45A0"/>
    <w:rsid w:val="005D0BE1"/>
    <w:rsid w:val="005D3006"/>
    <w:rsid w:val="005D5E9C"/>
    <w:rsid w:val="005E70F3"/>
    <w:rsid w:val="006000C1"/>
    <w:rsid w:val="00603D19"/>
    <w:rsid w:val="00605106"/>
    <w:rsid w:val="006109CD"/>
    <w:rsid w:val="00615027"/>
    <w:rsid w:val="00615BDB"/>
    <w:rsid w:val="00626073"/>
    <w:rsid w:val="0063446B"/>
    <w:rsid w:val="00637B48"/>
    <w:rsid w:val="00650071"/>
    <w:rsid w:val="006659D6"/>
    <w:rsid w:val="00667ACD"/>
    <w:rsid w:val="00670045"/>
    <w:rsid w:val="006711D1"/>
    <w:rsid w:val="006772CC"/>
    <w:rsid w:val="006858F9"/>
    <w:rsid w:val="006A6307"/>
    <w:rsid w:val="006A6B85"/>
    <w:rsid w:val="006B3C72"/>
    <w:rsid w:val="006D73BE"/>
    <w:rsid w:val="006E7E5C"/>
    <w:rsid w:val="006F6309"/>
    <w:rsid w:val="007175F4"/>
    <w:rsid w:val="00722904"/>
    <w:rsid w:val="00727187"/>
    <w:rsid w:val="00743A23"/>
    <w:rsid w:val="007472AC"/>
    <w:rsid w:val="007613D9"/>
    <w:rsid w:val="00763EE7"/>
    <w:rsid w:val="00764BE2"/>
    <w:rsid w:val="007761B0"/>
    <w:rsid w:val="0078142B"/>
    <w:rsid w:val="0078242C"/>
    <w:rsid w:val="00785AA6"/>
    <w:rsid w:val="007923B4"/>
    <w:rsid w:val="00792903"/>
    <w:rsid w:val="007A0078"/>
    <w:rsid w:val="007C0270"/>
    <w:rsid w:val="007C3B89"/>
    <w:rsid w:val="007D56F2"/>
    <w:rsid w:val="007E26C3"/>
    <w:rsid w:val="007E6270"/>
    <w:rsid w:val="007F4A95"/>
    <w:rsid w:val="007F6A09"/>
    <w:rsid w:val="00800971"/>
    <w:rsid w:val="00805278"/>
    <w:rsid w:val="00805613"/>
    <w:rsid w:val="0081171E"/>
    <w:rsid w:val="008117BA"/>
    <w:rsid w:val="008230CC"/>
    <w:rsid w:val="008338D4"/>
    <w:rsid w:val="008338F6"/>
    <w:rsid w:val="00833B69"/>
    <w:rsid w:val="008345DF"/>
    <w:rsid w:val="0083748A"/>
    <w:rsid w:val="0084169E"/>
    <w:rsid w:val="008421EB"/>
    <w:rsid w:val="008447D3"/>
    <w:rsid w:val="00862B46"/>
    <w:rsid w:val="00867B89"/>
    <w:rsid w:val="00872E51"/>
    <w:rsid w:val="0087512C"/>
    <w:rsid w:val="0088383A"/>
    <w:rsid w:val="008919A1"/>
    <w:rsid w:val="008A09C8"/>
    <w:rsid w:val="008B15CD"/>
    <w:rsid w:val="008B421F"/>
    <w:rsid w:val="008B4E13"/>
    <w:rsid w:val="008B7569"/>
    <w:rsid w:val="008C32A8"/>
    <w:rsid w:val="008C3BAC"/>
    <w:rsid w:val="008E442E"/>
    <w:rsid w:val="008F0E12"/>
    <w:rsid w:val="00906364"/>
    <w:rsid w:val="00912E61"/>
    <w:rsid w:val="0091520F"/>
    <w:rsid w:val="009171AC"/>
    <w:rsid w:val="009221F8"/>
    <w:rsid w:val="009323C5"/>
    <w:rsid w:val="00943972"/>
    <w:rsid w:val="00947EC7"/>
    <w:rsid w:val="00950556"/>
    <w:rsid w:val="00955CB5"/>
    <w:rsid w:val="00956B83"/>
    <w:rsid w:val="0096191F"/>
    <w:rsid w:val="009670F6"/>
    <w:rsid w:val="009705BF"/>
    <w:rsid w:val="00983D16"/>
    <w:rsid w:val="00993B8A"/>
    <w:rsid w:val="009969F8"/>
    <w:rsid w:val="00996E14"/>
    <w:rsid w:val="009A0424"/>
    <w:rsid w:val="009C59C1"/>
    <w:rsid w:val="009D11EC"/>
    <w:rsid w:val="009D68C6"/>
    <w:rsid w:val="009F2DB2"/>
    <w:rsid w:val="009F33DB"/>
    <w:rsid w:val="00A00F07"/>
    <w:rsid w:val="00A207C4"/>
    <w:rsid w:val="00A2393F"/>
    <w:rsid w:val="00A23F94"/>
    <w:rsid w:val="00A50FD4"/>
    <w:rsid w:val="00A54C41"/>
    <w:rsid w:val="00A6064D"/>
    <w:rsid w:val="00A74AD3"/>
    <w:rsid w:val="00A75EE6"/>
    <w:rsid w:val="00A773A3"/>
    <w:rsid w:val="00A776A8"/>
    <w:rsid w:val="00A82EFA"/>
    <w:rsid w:val="00A955DF"/>
    <w:rsid w:val="00A97826"/>
    <w:rsid w:val="00AA0BCF"/>
    <w:rsid w:val="00AA1BB6"/>
    <w:rsid w:val="00AB0472"/>
    <w:rsid w:val="00AB2716"/>
    <w:rsid w:val="00AB3D03"/>
    <w:rsid w:val="00AB5D2F"/>
    <w:rsid w:val="00AE19BB"/>
    <w:rsid w:val="00AE213D"/>
    <w:rsid w:val="00AE59D1"/>
    <w:rsid w:val="00AF356E"/>
    <w:rsid w:val="00B03708"/>
    <w:rsid w:val="00B07851"/>
    <w:rsid w:val="00B07AB9"/>
    <w:rsid w:val="00B127F3"/>
    <w:rsid w:val="00B12968"/>
    <w:rsid w:val="00B212CC"/>
    <w:rsid w:val="00B23E42"/>
    <w:rsid w:val="00B23FB4"/>
    <w:rsid w:val="00B33392"/>
    <w:rsid w:val="00B35EBF"/>
    <w:rsid w:val="00B471AB"/>
    <w:rsid w:val="00B477FD"/>
    <w:rsid w:val="00B66254"/>
    <w:rsid w:val="00B67C35"/>
    <w:rsid w:val="00B74E9C"/>
    <w:rsid w:val="00B75096"/>
    <w:rsid w:val="00B82DEF"/>
    <w:rsid w:val="00B82E6A"/>
    <w:rsid w:val="00BA1161"/>
    <w:rsid w:val="00BA441A"/>
    <w:rsid w:val="00BB37F3"/>
    <w:rsid w:val="00BB3FDB"/>
    <w:rsid w:val="00BB4933"/>
    <w:rsid w:val="00BC02DB"/>
    <w:rsid w:val="00BD201A"/>
    <w:rsid w:val="00BE06C4"/>
    <w:rsid w:val="00BE5392"/>
    <w:rsid w:val="00BF62E2"/>
    <w:rsid w:val="00C15C65"/>
    <w:rsid w:val="00C15DD7"/>
    <w:rsid w:val="00C269F0"/>
    <w:rsid w:val="00C31200"/>
    <w:rsid w:val="00C3561F"/>
    <w:rsid w:val="00C378C5"/>
    <w:rsid w:val="00C41FA7"/>
    <w:rsid w:val="00C45F37"/>
    <w:rsid w:val="00C4780B"/>
    <w:rsid w:val="00C56A66"/>
    <w:rsid w:val="00C61C41"/>
    <w:rsid w:val="00C62F10"/>
    <w:rsid w:val="00C67607"/>
    <w:rsid w:val="00C70353"/>
    <w:rsid w:val="00C719CB"/>
    <w:rsid w:val="00C71A59"/>
    <w:rsid w:val="00C86637"/>
    <w:rsid w:val="00CA130A"/>
    <w:rsid w:val="00CA5897"/>
    <w:rsid w:val="00CB20CE"/>
    <w:rsid w:val="00CC0594"/>
    <w:rsid w:val="00CC754A"/>
    <w:rsid w:val="00CD128E"/>
    <w:rsid w:val="00CD22AF"/>
    <w:rsid w:val="00CD6E35"/>
    <w:rsid w:val="00CF5D3B"/>
    <w:rsid w:val="00D0232F"/>
    <w:rsid w:val="00D17845"/>
    <w:rsid w:val="00D24D13"/>
    <w:rsid w:val="00D25DDD"/>
    <w:rsid w:val="00D3497E"/>
    <w:rsid w:val="00D472A6"/>
    <w:rsid w:val="00D52F9A"/>
    <w:rsid w:val="00D71BB3"/>
    <w:rsid w:val="00D84ED6"/>
    <w:rsid w:val="00D904E6"/>
    <w:rsid w:val="00D924A5"/>
    <w:rsid w:val="00D97548"/>
    <w:rsid w:val="00DA0E0D"/>
    <w:rsid w:val="00DA561E"/>
    <w:rsid w:val="00DA5EE6"/>
    <w:rsid w:val="00DB230D"/>
    <w:rsid w:val="00DC27EE"/>
    <w:rsid w:val="00DD38B7"/>
    <w:rsid w:val="00DE201A"/>
    <w:rsid w:val="00DE2556"/>
    <w:rsid w:val="00DE318C"/>
    <w:rsid w:val="00DE5B03"/>
    <w:rsid w:val="00DE7576"/>
    <w:rsid w:val="00DF0D5D"/>
    <w:rsid w:val="00E06599"/>
    <w:rsid w:val="00E13B36"/>
    <w:rsid w:val="00E6376B"/>
    <w:rsid w:val="00E65BF8"/>
    <w:rsid w:val="00E72780"/>
    <w:rsid w:val="00E73EDB"/>
    <w:rsid w:val="00E75882"/>
    <w:rsid w:val="00E763B0"/>
    <w:rsid w:val="00E766EF"/>
    <w:rsid w:val="00E87275"/>
    <w:rsid w:val="00EA5D6C"/>
    <w:rsid w:val="00EC01FE"/>
    <w:rsid w:val="00EC083F"/>
    <w:rsid w:val="00EC4F8A"/>
    <w:rsid w:val="00EC6EBD"/>
    <w:rsid w:val="00ED3D93"/>
    <w:rsid w:val="00EE2053"/>
    <w:rsid w:val="00EE2816"/>
    <w:rsid w:val="00EF2256"/>
    <w:rsid w:val="00F02564"/>
    <w:rsid w:val="00F0673E"/>
    <w:rsid w:val="00F3015F"/>
    <w:rsid w:val="00F34D3C"/>
    <w:rsid w:val="00F352CC"/>
    <w:rsid w:val="00F439D7"/>
    <w:rsid w:val="00F47A7B"/>
    <w:rsid w:val="00F723A2"/>
    <w:rsid w:val="00F72B85"/>
    <w:rsid w:val="00F84828"/>
    <w:rsid w:val="00F866BC"/>
    <w:rsid w:val="00F90EAB"/>
    <w:rsid w:val="00F92AA9"/>
    <w:rsid w:val="00F959B6"/>
    <w:rsid w:val="00F95A84"/>
    <w:rsid w:val="00F96821"/>
    <w:rsid w:val="00FA66A9"/>
    <w:rsid w:val="00FB1B79"/>
    <w:rsid w:val="00FB6BD7"/>
    <w:rsid w:val="00FC2FB0"/>
    <w:rsid w:val="00FC4FF3"/>
    <w:rsid w:val="00FD21E0"/>
    <w:rsid w:val="00FD3637"/>
    <w:rsid w:val="00FD640E"/>
    <w:rsid w:val="00FE1D01"/>
    <w:rsid w:val="00FE6BE5"/>
    <w:rsid w:val="00FF1D48"/>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81</Pages>
  <Words>31446</Words>
  <Characters>172957</Characters>
  <Application>Microsoft Office Word</Application>
  <DocSecurity>0</DocSecurity>
  <Lines>1441</Lines>
  <Paragraphs>407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203996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27</cp:revision>
  <dcterms:created xsi:type="dcterms:W3CDTF">2026-08-08T15:07:00Z</dcterms:created>
  <dcterms:modified xsi:type="dcterms:W3CDTF">2026-08-08T20:21:00Z</dcterms:modified>
</cp:coreProperties>
</file>