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85BD" w14:textId="77777777" w:rsidR="00A018A6" w:rsidRDefault="00A018A6" w:rsidP="00A018A6">
      <w:pPr>
        <w:pStyle w:val="ListParagraph"/>
        <w:numPr>
          <w:ilvl w:val="0"/>
          <w:numId w:val="1"/>
        </w:numPr>
        <w:jc w:val="both"/>
        <w:rPr>
          <w:lang w:val="es-MX"/>
        </w:rPr>
      </w:pPr>
      <w:r w:rsidRPr="001B254A">
        <w:rPr>
          <w:lang w:val="es-MX"/>
        </w:rPr>
        <w:t xml:space="preserve">Libertad Jurídica en Kant </w:t>
      </w:r>
    </w:p>
    <w:p w14:paraId="67E8AD49" w14:textId="5267447D" w:rsidR="00A018A6" w:rsidRDefault="00A018A6" w:rsidP="00A018A6">
      <w:pPr>
        <w:jc w:val="both"/>
        <w:rPr>
          <w:lang w:val="es-MX"/>
        </w:rPr>
      </w:pPr>
      <w:r>
        <w:rPr>
          <w:lang w:val="es-MX"/>
        </w:rPr>
        <w:t>Este apartado está orientado a establecer el concepto que Kant ofrece sobre la libertad jurídica</w:t>
      </w:r>
      <w:r w:rsidR="00D25194">
        <w:rPr>
          <w:lang w:val="es-MX"/>
        </w:rPr>
        <w:t xml:space="preserve"> a partir de distintas fuentes</w:t>
      </w:r>
      <w:r>
        <w:rPr>
          <w:lang w:val="es-MX"/>
        </w:rPr>
        <w:t xml:space="preserve">. Este concepto es fundamental para entender la ciudanía en el horizonte de las ideas de Kant sobre la forma de gobierno republicana. </w:t>
      </w:r>
    </w:p>
    <w:p w14:paraId="5029C096" w14:textId="5AE5C529" w:rsidR="00A018A6" w:rsidRPr="00A018A6" w:rsidRDefault="00A018A6" w:rsidP="00A018A6">
      <w:pPr>
        <w:jc w:val="both"/>
        <w:rPr>
          <w:lang w:val="es-MX"/>
        </w:rPr>
      </w:pPr>
      <w:r>
        <w:rPr>
          <w:lang w:val="es-MX"/>
        </w:rPr>
        <w:t xml:space="preserve">Para esclarecer esta noción, hace falta en primer lugar, atender a la distinción que Kant hace entre libertad interior y libertad exterior. En segundo lugar, podemos atender a tres obras distintas de los escritos políticos de Kant, para extraer tres sentidos complementarios sobre la libertad jurídica. </w:t>
      </w:r>
    </w:p>
    <w:p w14:paraId="0D0386EA" w14:textId="77777777" w:rsidR="00A018A6" w:rsidRPr="00A018A6" w:rsidRDefault="00A018A6" w:rsidP="00A018A6">
      <w:pPr>
        <w:jc w:val="both"/>
        <w:rPr>
          <w:lang w:val="es-MX"/>
        </w:rPr>
      </w:pPr>
    </w:p>
    <w:p w14:paraId="568B9B2B" w14:textId="77777777" w:rsidR="00A018A6" w:rsidRDefault="00A018A6" w:rsidP="00A018A6">
      <w:pPr>
        <w:pStyle w:val="ListParagraph"/>
        <w:numPr>
          <w:ilvl w:val="1"/>
          <w:numId w:val="1"/>
        </w:numPr>
        <w:jc w:val="both"/>
        <w:rPr>
          <w:lang w:val="es-MX"/>
        </w:rPr>
      </w:pPr>
      <w:r>
        <w:rPr>
          <w:lang w:val="es-MX"/>
        </w:rPr>
        <w:t>Distinción entre libertad interior y exterior</w:t>
      </w:r>
    </w:p>
    <w:p w14:paraId="5B2C5D19" w14:textId="5C69AA66" w:rsidR="00A018A6" w:rsidRDefault="00A018A6" w:rsidP="00A018A6">
      <w:pPr>
        <w:jc w:val="both"/>
        <w:rPr>
          <w:lang w:val="es-MX"/>
        </w:rPr>
      </w:pPr>
      <w:r w:rsidRPr="00A018A6">
        <w:rPr>
          <w:lang w:val="es-MX"/>
        </w:rPr>
        <w:t xml:space="preserve">Kant distingue entre libertad interior y libertad exterior. La libertad interior se refiere a la autonomía personal de cada uno, en relación a su propio desenvolvimiento moral en virtud de sus actos libres. La libertad exterior, por otro lado, alude al contacto con otros en que se ve articulada nuestra individualidad, y refiere una dimensión de la libertad que se da en sociedad, especialmente en una civil. </w:t>
      </w:r>
      <w:r w:rsidR="00A624BA">
        <w:rPr>
          <w:lang w:val="es-MX"/>
        </w:rPr>
        <w:t>Para el pensamiento político de Kant, es fundamental esta última.</w:t>
      </w:r>
    </w:p>
    <w:p w14:paraId="4BDD36E5" w14:textId="78CB6FE7" w:rsidR="009B6D39" w:rsidRDefault="009B6D39" w:rsidP="00A018A6">
      <w:pPr>
        <w:jc w:val="both"/>
        <w:rPr>
          <w:lang w:val="es-MX"/>
        </w:rPr>
      </w:pPr>
      <w:r>
        <w:rPr>
          <w:lang w:val="es-MX"/>
        </w:rPr>
        <w:t xml:space="preserve">Podemos atender a la introducción de la </w:t>
      </w:r>
      <w:r w:rsidRPr="009B6D39">
        <w:rPr>
          <w:i/>
          <w:iCs/>
          <w:lang w:val="es-MX"/>
        </w:rPr>
        <w:t>Metafísica de las Costumbres</w:t>
      </w:r>
      <w:r>
        <w:rPr>
          <w:lang w:val="es-MX"/>
        </w:rPr>
        <w:t xml:space="preserve">, en especial la introducción de la primera parte, en donde se expone la doctrina del derecho de Kant, para poder elaborar la distinción entre los sentidos de libertad. Para ello, podemos acudir a la primera parte, en donde se expone la relación de las facultades del alma humana en virtud de las leyes morales. Luego, podemos considerar la segunda parte que nos habla de la necesidad de una metafísica de las costumbres y así, considerar la tercera parte de la introducción que se dedica a la división de la misma. Esto conduce a una cuarta parte de la introducción en donde se ofrecen nociones preliminares para establecer los fundamentos para la introducción a la teoría del derecho. Desde esta obra, los </w:t>
      </w:r>
      <w:r w:rsidR="00834600">
        <w:rPr>
          <w:i/>
          <w:iCs/>
          <w:lang w:val="es-MX"/>
        </w:rPr>
        <w:t>Principios metafísicos del derecho</w:t>
      </w:r>
      <w:r w:rsidR="00834600">
        <w:rPr>
          <w:lang w:val="es-MX"/>
        </w:rPr>
        <w:t xml:space="preserve"> (RL</w:t>
      </w:r>
      <w:r w:rsidR="00B1775C">
        <w:rPr>
          <w:lang w:val="es-MX"/>
        </w:rPr>
        <w:t xml:space="preserve"> </w:t>
      </w:r>
      <w:r w:rsidR="00B1775C" w:rsidRPr="00A018A6">
        <w:rPr>
          <w:lang w:val="es-MX"/>
        </w:rPr>
        <w:t>AA 06</w:t>
      </w:r>
      <w:r w:rsidR="00834600">
        <w:rPr>
          <w:lang w:val="es-MX"/>
        </w:rPr>
        <w:t xml:space="preserve">; 2008), sobre la base de su introducción, podremos de esta forma exponer la distinción entre libertad interior y la libertad exterior o jurídica. </w:t>
      </w:r>
    </w:p>
    <w:p w14:paraId="4421E84F" w14:textId="77777777" w:rsidR="00F1373C" w:rsidRDefault="00F1373C" w:rsidP="00A018A6">
      <w:pPr>
        <w:jc w:val="both"/>
        <w:rPr>
          <w:lang w:val="es-MX"/>
        </w:rPr>
      </w:pPr>
    </w:p>
    <w:p w14:paraId="306B9EC8" w14:textId="1F95922A" w:rsidR="00F1373C" w:rsidRDefault="00F1373C" w:rsidP="00F1373C">
      <w:pPr>
        <w:pStyle w:val="ListParagraph"/>
        <w:numPr>
          <w:ilvl w:val="2"/>
          <w:numId w:val="2"/>
        </w:numPr>
        <w:jc w:val="both"/>
        <w:rPr>
          <w:lang w:val="es-MX"/>
        </w:rPr>
      </w:pPr>
      <w:r>
        <w:rPr>
          <w:lang w:val="es-MX"/>
        </w:rPr>
        <w:t>Relación entre facultades del alma y las leyes morales</w:t>
      </w:r>
    </w:p>
    <w:p w14:paraId="0A152A30" w14:textId="63E407F1" w:rsidR="002415BF" w:rsidRDefault="002415BF" w:rsidP="002415BF">
      <w:pPr>
        <w:jc w:val="both"/>
        <w:rPr>
          <w:lang w:val="es-MX"/>
        </w:rPr>
      </w:pPr>
      <w:r>
        <w:rPr>
          <w:lang w:val="es-MX"/>
        </w:rPr>
        <w:t>Kant señala que: “El deseo es la facultad de ser causa de los objetos de nuestras representaciones por medio de estas representaciones mismas.” (RL AA 06; 2008, p. 12) Nuestras representaciones, entonces, llegan a formarse por el deseo</w:t>
      </w:r>
      <w:r w:rsidR="008F6FEA">
        <w:rPr>
          <w:lang w:val="es-MX"/>
        </w:rPr>
        <w:t xml:space="preserve"> y apuntan a un objeto mediante una representación, que atrae o repele</w:t>
      </w:r>
      <w:r>
        <w:rPr>
          <w:lang w:val="es-MX"/>
        </w:rPr>
        <w:t xml:space="preserve">. </w:t>
      </w:r>
      <w:r w:rsidR="008F6FEA">
        <w:rPr>
          <w:lang w:val="es-MX"/>
        </w:rPr>
        <w:t xml:space="preserve">Cuando consideramos un ser que tiene la facultad de obrar de acuerdo a las representaciones de sus deseos, podemos referir que posee la facultad de la vida. </w:t>
      </w:r>
    </w:p>
    <w:p w14:paraId="74BC28BD" w14:textId="6AA4D301" w:rsidR="00B17130" w:rsidRDefault="008F6FEA" w:rsidP="002415BF">
      <w:pPr>
        <w:jc w:val="both"/>
        <w:rPr>
          <w:lang w:val="es-MX"/>
        </w:rPr>
      </w:pPr>
      <w:r>
        <w:rPr>
          <w:lang w:val="es-MX"/>
        </w:rPr>
        <w:lastRenderedPageBreak/>
        <w:t xml:space="preserve">El deseo o la aversión van vinculados a la percepción de placer o disgusto. A esta capacidad, Kant le llama sentimiento. El placer o disgusto, sin embargo, no necesariamente se acompaña de deseo o aversión, sino que se remite a la representación del objeto, sea que el objeto exista o no lo haga. </w:t>
      </w:r>
      <w:r w:rsidR="00B17130">
        <w:rPr>
          <w:lang w:val="es-MX"/>
        </w:rPr>
        <w:t>Así, el placer o disgusto, pueden ser, además, efecto de deseo o aversión.</w:t>
      </w:r>
    </w:p>
    <w:p w14:paraId="42761479" w14:textId="32B58B3A" w:rsidR="008F6FEA" w:rsidRDefault="00B17130" w:rsidP="002415BF">
      <w:pPr>
        <w:jc w:val="both"/>
        <w:rPr>
          <w:lang w:val="es-MX"/>
        </w:rPr>
      </w:pPr>
      <w:r>
        <w:rPr>
          <w:lang w:val="es-MX"/>
        </w:rPr>
        <w:t xml:space="preserve">De esta manera, Kant señala que “se llama sentimiento la capacidad de experimentar placer o disgusto con la idea de una cosa, en razón a que estos dos estados no contienen más que lo subjetivo puro en su relación con nuestra representación, y de ningún modo una relación a un objeto que se trate de conocer, ni aún una relación al conocimiento de nuestro estado.” (RL AA 06; 2008, p. 13) Por ello, el sentimiento se remite a lo subjetivo, pero no a lo objetivo. </w:t>
      </w:r>
    </w:p>
    <w:p w14:paraId="3151C533" w14:textId="31FA5BFD" w:rsidR="00B17130" w:rsidRDefault="00B17130" w:rsidP="002415BF">
      <w:pPr>
        <w:jc w:val="both"/>
        <w:rPr>
          <w:lang w:val="es-MX"/>
        </w:rPr>
      </w:pPr>
      <w:r>
        <w:rPr>
          <w:lang w:val="es-MX"/>
        </w:rPr>
        <w:t xml:space="preserve">De esta consideración, Kant distingue entre placer práctico y placer contemplativo. </w:t>
      </w:r>
      <w:r w:rsidR="000B716A">
        <w:rPr>
          <w:lang w:val="es-MX"/>
        </w:rPr>
        <w:t>El placer práctico se encuentra unido de modo inseparable al deseo del objeto</w:t>
      </w:r>
      <w:r w:rsidR="00CA54A2">
        <w:rPr>
          <w:lang w:val="es-MX"/>
        </w:rPr>
        <w:t xml:space="preserve"> y su representación afecta al sentimiento como causa o efecto. Por otro lado, el placer contemplativo</w:t>
      </w:r>
      <w:r w:rsidR="00C508F5">
        <w:rPr>
          <w:lang w:val="es-MX"/>
        </w:rPr>
        <w:t xml:space="preserve"> o inactivo</w:t>
      </w:r>
      <w:r w:rsidR="00CA54A2">
        <w:rPr>
          <w:lang w:val="es-MX"/>
        </w:rPr>
        <w:t xml:space="preserve"> no va necesariamente unido al deseo del objeto, por lo que se refiere a una representación simple del objeto.</w:t>
      </w:r>
      <w:r w:rsidR="00800806">
        <w:rPr>
          <w:lang w:val="es-MX"/>
        </w:rPr>
        <w:t xml:space="preserve"> A este sentimiento último, Kant le llama gusto. </w:t>
      </w:r>
    </w:p>
    <w:p w14:paraId="29BB2812" w14:textId="77777777" w:rsidR="00A22F3E" w:rsidRDefault="00757FF9" w:rsidP="002415BF">
      <w:pPr>
        <w:jc w:val="both"/>
        <w:rPr>
          <w:lang w:val="es-MX"/>
        </w:rPr>
      </w:pPr>
      <w:r>
        <w:rPr>
          <w:lang w:val="es-MX"/>
        </w:rPr>
        <w:t xml:space="preserve">Respecto del primero, agrega Kant que: “En cuanto al placer práctico, la determinación de la facultad apetitiva, que necesariamente debe ir precedida por este placer como causa, se llamará apetito; </w:t>
      </w:r>
      <w:r w:rsidR="00116DA2">
        <w:rPr>
          <w:lang w:val="es-MX"/>
        </w:rPr>
        <w:t>Y</w:t>
      </w:r>
      <w:r>
        <w:rPr>
          <w:lang w:val="es-MX"/>
        </w:rPr>
        <w:t xml:space="preserve"> el apetito habitual, inclinación.” </w:t>
      </w:r>
      <w:bookmarkStart w:id="0" w:name="_Hlk213161740"/>
      <w:r>
        <w:rPr>
          <w:lang w:val="es-MX"/>
        </w:rPr>
        <w:t>(RL AA 06; 2008, p. 14)</w:t>
      </w:r>
      <w:r w:rsidR="00A22F3E">
        <w:rPr>
          <w:lang w:val="es-MX"/>
        </w:rPr>
        <w:t xml:space="preserve"> </w:t>
      </w:r>
      <w:bookmarkEnd w:id="0"/>
      <w:r w:rsidR="00A22F3E">
        <w:rPr>
          <w:lang w:val="es-MX"/>
        </w:rPr>
        <w:t xml:space="preserve">De esta suerte, el placer y su unión con la facultad apetitiva, cuando el entendimiento valida esta conjunción, de acuerdo a una regla general, entonces hablamos generalmente de la facultad del interés. </w:t>
      </w:r>
    </w:p>
    <w:p w14:paraId="74A30E99" w14:textId="25F45705" w:rsidR="00757FF9" w:rsidRDefault="00A22F3E" w:rsidP="002415BF">
      <w:pPr>
        <w:jc w:val="both"/>
        <w:rPr>
          <w:lang w:val="es-MX"/>
        </w:rPr>
      </w:pPr>
      <w:r>
        <w:rPr>
          <w:lang w:val="es-MX"/>
        </w:rPr>
        <w:t xml:space="preserve">En este horizonte, dice Kant: “el placer práctico es en este caso un interés de la inclinación. Por el contrario, cuando el placer no puede venir más que después de una determinación anterior de la facultad apetitiva, es un placer intelectual, y el interés que se manifiesta hacia el objeto, debe llamarse un interés de razón; porque, si el interés fuera sensual, en lugar de fundarse en principios racionales puros, la sensación debería poder unirse al placer y determinar la facultad apetitiva.” (RL AA 06; 2008, pp. 14-15) Esta distinción es importante porque discierne entre lo que mueve a la voluntad desde el ámbito sensible, en el caso del interés práctico, y la que lo hace desde el ámbito intelectual, en el caso del interés de razón. </w:t>
      </w:r>
    </w:p>
    <w:p w14:paraId="2FC40E31" w14:textId="77777777" w:rsidR="00526DAF" w:rsidRDefault="00E9512B" w:rsidP="002415BF">
      <w:pPr>
        <w:jc w:val="both"/>
        <w:rPr>
          <w:lang w:val="es-MX"/>
        </w:rPr>
      </w:pPr>
      <w:r>
        <w:rPr>
          <w:lang w:val="es-MX"/>
        </w:rPr>
        <w:t xml:space="preserve">En términos amplios, la facultad del apetito puede representarse en la instancia de dos tipos de objetos; los sensibles y los ideales. En ambos casos, el principio del apetito radica en la persona que posee la facultad, en lugar de estar instaurado en el objeto. La representación del objeto pertenece a la persona, antes que al objeto mismo. Es así que Kant señala que: “La facultad apetitiva, según nociones, en cuanto su principio de determinación se encuentra en sí misma y no en el objeto, se llama la facultad de hacer o de no hacer a discreción; en cuanto va unidad a la consciencia de la facultad de obrar </w:t>
      </w:r>
      <w:r>
        <w:rPr>
          <w:lang w:val="es-MX"/>
        </w:rPr>
        <w:lastRenderedPageBreak/>
        <w:t>para producir el objeto, se llama arbitrio.” (RL AA 06; 2008, p. 15) El arbitrio, por lo tanto, representa un ejercicio de la voluntad cuando conscientemente se decide para algo práctico</w:t>
      </w:r>
      <w:r w:rsidR="00526DAF">
        <w:rPr>
          <w:lang w:val="es-MX"/>
        </w:rPr>
        <w:t>, ya que, como agrega Kant: “La facultad apetitiva, cuyo principio de determinación interna, y por consiguiente hasta el consentimiento, se encuentra en la razón del sujeto, se llama la voluntad.” (</w:t>
      </w:r>
      <w:r w:rsidR="00526DAF" w:rsidRPr="00526DAF">
        <w:rPr>
          <w:i/>
          <w:iCs/>
          <w:lang w:val="es-MX"/>
        </w:rPr>
        <w:t>Ib.</w:t>
      </w:r>
      <w:r w:rsidR="00526DAF">
        <w:rPr>
          <w:lang w:val="es-MX"/>
        </w:rPr>
        <w:t xml:space="preserve">) Para considerar la distinción entre la libertad externa y la libertad interna, es fundamental tener en cuenta estas relaciones del alma que llevan de la representación al deseo y pasan por el gusto, el interés o inclinación, hasta un arbitrio consciente y racional de la voluntad. Distintivamente, la voluntad se relaciona menos a la acción, como lo hace el arbitrio, pero más al principio que determina al arbitrio para la acción, y en este sentido la voluntad se encuentra en un nivel intelectual y racional, mientras que el arbitrio está en un nivel práctico del placer, la inclinación y el interés. </w:t>
      </w:r>
    </w:p>
    <w:p w14:paraId="69294C9D" w14:textId="328DB3AA" w:rsidR="00E9512B" w:rsidRDefault="00526DAF" w:rsidP="002415BF">
      <w:pPr>
        <w:jc w:val="both"/>
        <w:rPr>
          <w:lang w:val="es-MX"/>
        </w:rPr>
      </w:pPr>
      <w:r>
        <w:rPr>
          <w:lang w:val="es-MX"/>
        </w:rPr>
        <w:t>La voluntad puede manifestarse de modo más o menos elaborado, ya que puede admitir el simple deseo o la articulación del arbitrio. La razón pura puede determinar la facultad del apetito, y así: “El arbitrio que puede ser determinado por razón pura se llama libre arbitrio.” (RL AA 06; 2008, p. 16)</w:t>
      </w:r>
      <w:r w:rsidR="00504F38">
        <w:rPr>
          <w:lang w:val="es-MX"/>
        </w:rPr>
        <w:t xml:space="preserve"> Desde Kant, podemos decir que la capacidad de hacer o no hacer, de acuerdo a principios de la razón, se dice libre, por cuanto la libertad se entiende como la facultad de la autonomía de la razón para brindar sus propias disposiciones. Así, cuando el arbitrio se guía por esa autonomía de la razón, se entiende como libre. Por el contrario: “El arbitrio que no es determinable más que por inclinación es un arbitrio animal.” (</w:t>
      </w:r>
      <w:r w:rsidR="00504F38" w:rsidRPr="00504F38">
        <w:rPr>
          <w:i/>
          <w:iCs/>
          <w:lang w:val="es-MX"/>
        </w:rPr>
        <w:t>Ib.</w:t>
      </w:r>
      <w:r w:rsidR="00504F38">
        <w:rPr>
          <w:lang w:val="es-MX"/>
        </w:rPr>
        <w:t>)</w:t>
      </w:r>
    </w:p>
    <w:p w14:paraId="047409A1" w14:textId="5148756B" w:rsidR="00504F38" w:rsidRDefault="00504F38" w:rsidP="002415BF">
      <w:pPr>
        <w:jc w:val="both"/>
        <w:rPr>
          <w:lang w:val="es-MX"/>
        </w:rPr>
      </w:pPr>
      <w:r>
        <w:rPr>
          <w:lang w:val="es-MX"/>
        </w:rPr>
        <w:t>Con estas consideraciones de las facultades del alma, podemos atender a una primera definición</w:t>
      </w:r>
      <w:r w:rsidR="00F35A02">
        <w:rPr>
          <w:lang w:val="es-MX"/>
        </w:rPr>
        <w:t xml:space="preserve"> negativa</w:t>
      </w:r>
      <w:r>
        <w:rPr>
          <w:lang w:val="es-MX"/>
        </w:rPr>
        <w:t xml:space="preserve"> de libertad en cuanto se refiere a la facultad del arbitrio. Kant señala que: “La libertad del arbitrio es esta independencia de todo impulso sensible en cuanto a su determinación.” (</w:t>
      </w:r>
      <w:r w:rsidRPr="00504F38">
        <w:rPr>
          <w:i/>
          <w:iCs/>
          <w:lang w:val="es-MX"/>
        </w:rPr>
        <w:t>Ib.</w:t>
      </w:r>
      <w:r>
        <w:rPr>
          <w:lang w:val="es-MX"/>
        </w:rPr>
        <w:t>)</w:t>
      </w:r>
      <w:r w:rsidR="000B6B28">
        <w:rPr>
          <w:lang w:val="es-MX"/>
        </w:rPr>
        <w:t xml:space="preserve"> Esta consideración negativa se complementa con una positiva que se manifiesta en: “La facultad de la razón pura de ser práctica por sí misma; lo cual no es posible más que por la sumisión de las máximas de toda acción a la condición de poder servir de ley general.” (</w:t>
      </w:r>
      <w:r w:rsidR="000B6B28" w:rsidRPr="000B6B28">
        <w:rPr>
          <w:i/>
          <w:iCs/>
          <w:lang w:val="es-MX"/>
        </w:rPr>
        <w:t>Ib.</w:t>
      </w:r>
      <w:r w:rsidR="000B6B28">
        <w:rPr>
          <w:lang w:val="es-MX"/>
        </w:rPr>
        <w:t>)</w:t>
      </w:r>
      <w:r w:rsidR="00F35A02">
        <w:rPr>
          <w:lang w:val="es-MX"/>
        </w:rPr>
        <w:t xml:space="preserve"> Esto representa una dimensión legislativa de la razón, por cuanto puede erigir su decreto en una ley válida para todo quien use la razón. </w:t>
      </w:r>
      <w:r w:rsidR="00F81747">
        <w:rPr>
          <w:lang w:val="es-MX"/>
        </w:rPr>
        <w:t xml:space="preserve">Estas leyes producidas por la razón son las leyes de la libertad y pueden entenderse como morales, de forma que se distingan de las leyes naturales o físicas. </w:t>
      </w:r>
    </w:p>
    <w:p w14:paraId="6DF28F45" w14:textId="09DF60F1" w:rsidR="00180A89" w:rsidRDefault="00F81747" w:rsidP="002415BF">
      <w:pPr>
        <w:jc w:val="both"/>
        <w:rPr>
          <w:lang w:val="es-MX"/>
        </w:rPr>
      </w:pPr>
      <w:r>
        <w:rPr>
          <w:lang w:val="es-MX"/>
        </w:rPr>
        <w:t>Es así que Kant distingue entre dos ámbitos: el jurídico y el ético. Refiere sobre estas leyes de la libertad que: “Cuando no se refieren más que a acciones externas y a su legitimidad, se las llama jurídicas. Pero, si además exigen que las leyes mismas sean los principios determinantes de la acción, entonces se llaman éticas.” (RL AA 06; 2008, p. 17)</w:t>
      </w:r>
      <w:r w:rsidR="00676FBE">
        <w:rPr>
          <w:lang w:val="es-MX"/>
        </w:rPr>
        <w:t xml:space="preserve"> Esta diferencia expone </w:t>
      </w:r>
      <w:r w:rsidR="00180A89">
        <w:rPr>
          <w:lang w:val="es-MX"/>
        </w:rPr>
        <w:t xml:space="preserve">una evaluación posible de los actos externos, ya que, al contrastarlos con el orden jurídico, uno puede considerar su legalidad, mientras que, al sopesarlos bajo el orden ético, uno estima su moralidad. </w:t>
      </w:r>
    </w:p>
    <w:p w14:paraId="5BC45447" w14:textId="6C3DF8DF" w:rsidR="00F81747" w:rsidRDefault="00180A89" w:rsidP="002415BF">
      <w:pPr>
        <w:jc w:val="both"/>
        <w:rPr>
          <w:lang w:val="es-MX"/>
        </w:rPr>
      </w:pPr>
      <w:r>
        <w:rPr>
          <w:lang w:val="es-MX"/>
        </w:rPr>
        <w:lastRenderedPageBreak/>
        <w:t>De esta distinción dos ámbitos que explicita Kant: “La libertad, a que se refieren las leyes jurídicas, no puede ser más que la libertad en la práctica externa, pero aquella a que se refieren las segundas, debe ser la libertad en el ejercicio exterior e interior del arbitrio, cuando está determinado por las leyes racionales.” (</w:t>
      </w:r>
      <w:r w:rsidRPr="00180A89">
        <w:rPr>
          <w:i/>
          <w:iCs/>
          <w:lang w:val="es-MX"/>
        </w:rPr>
        <w:t>Ib.</w:t>
      </w:r>
      <w:r>
        <w:rPr>
          <w:lang w:val="es-MX"/>
        </w:rPr>
        <w:t>) Esta distinción fundamental plantea a la libertad en su expresión interna y externa, en la medida en que apunta o bien al principio de la acción, (libertad interna) o bien, a su práctica concreta (libertad externa). Este apartado ha buscado establecer la relación entre las facultades del alma humana en virtud de esta distinción</w:t>
      </w:r>
      <w:r w:rsidR="00CC4866">
        <w:rPr>
          <w:lang w:val="es-MX"/>
        </w:rPr>
        <w:t xml:space="preserve"> de las leyes morales de la libertad, separando así</w:t>
      </w:r>
      <w:r>
        <w:rPr>
          <w:lang w:val="es-MX"/>
        </w:rPr>
        <w:t xml:space="preserve"> entre las máximas que guían la voluntad y </w:t>
      </w:r>
      <w:r w:rsidR="00CC4866">
        <w:rPr>
          <w:lang w:val="es-MX"/>
        </w:rPr>
        <w:t xml:space="preserve">sus </w:t>
      </w:r>
      <w:r>
        <w:rPr>
          <w:lang w:val="es-MX"/>
        </w:rPr>
        <w:t>efectos prácticos</w:t>
      </w:r>
      <w:r w:rsidR="00CC4866">
        <w:rPr>
          <w:lang w:val="es-MX"/>
        </w:rPr>
        <w:t>.</w:t>
      </w:r>
    </w:p>
    <w:p w14:paraId="5F05ACC8" w14:textId="77777777" w:rsidR="002415BF" w:rsidRPr="002415BF" w:rsidRDefault="002415BF" w:rsidP="002415BF">
      <w:pPr>
        <w:jc w:val="both"/>
        <w:rPr>
          <w:lang w:val="es-MX"/>
        </w:rPr>
      </w:pPr>
    </w:p>
    <w:p w14:paraId="7238E955" w14:textId="4CCF0907" w:rsidR="00F1373C" w:rsidRDefault="00F1373C" w:rsidP="00F1373C">
      <w:pPr>
        <w:pStyle w:val="ListParagraph"/>
        <w:numPr>
          <w:ilvl w:val="2"/>
          <w:numId w:val="2"/>
        </w:numPr>
        <w:jc w:val="both"/>
        <w:rPr>
          <w:lang w:val="es-MX"/>
        </w:rPr>
      </w:pPr>
      <w:r>
        <w:rPr>
          <w:lang w:val="es-MX"/>
        </w:rPr>
        <w:t>Sobre la necesidad de una metafísica de las costumbres</w:t>
      </w:r>
    </w:p>
    <w:p w14:paraId="0593B996" w14:textId="2E6CE0F6" w:rsidR="00D25194" w:rsidRDefault="001A2F66" w:rsidP="00D25194">
      <w:pPr>
        <w:jc w:val="both"/>
        <w:rPr>
          <w:lang w:val="es-MX"/>
        </w:rPr>
      </w:pPr>
      <w:r>
        <w:rPr>
          <w:lang w:val="es-MX"/>
        </w:rPr>
        <w:t>Kant distingue entre las leyes naturales y las leyes morales. Mientras las primeras generalizan mediante la inducción, las segundas se fundan en principios que la razón postula aún cuando no exista un correlato en la realidad. En el ámbito de los preceptos de la moral, refiere Kant que: “Estos obligan a todos, sin tener en cuenta las inclinaciones, y simplemente por la razón de que todo hombre es libre y está dotado de una razón práctica. El conocimiento de las leyes morales no se ha obtenido por la observación de sí mismo o de la animalidad en nosotros; tampoco se ha tomado de la observación del mundo.”</w:t>
      </w:r>
      <w:r w:rsidRPr="001A2F66">
        <w:rPr>
          <w:lang w:val="es-MX"/>
        </w:rPr>
        <w:t xml:space="preserve"> </w:t>
      </w:r>
      <w:r>
        <w:rPr>
          <w:lang w:val="es-MX"/>
        </w:rPr>
        <w:t xml:space="preserve">(RL AA 06; 2008, p. </w:t>
      </w:r>
      <w:r>
        <w:rPr>
          <w:lang w:val="es-MX"/>
        </w:rPr>
        <w:t>20</w:t>
      </w:r>
      <w:r>
        <w:rPr>
          <w:lang w:val="es-MX"/>
        </w:rPr>
        <w:t>)</w:t>
      </w:r>
      <w:r>
        <w:rPr>
          <w:lang w:val="es-MX"/>
        </w:rPr>
        <w:t xml:space="preserve"> A ello, agrega: “la razón prescribe la manera cómo se debe obrar, aún cuando nadie hubiese obrado así. Tampoco se cuida de la utilidad.” (</w:t>
      </w:r>
      <w:r w:rsidRPr="001A2F66">
        <w:rPr>
          <w:i/>
          <w:iCs/>
          <w:lang w:val="es-MX"/>
        </w:rPr>
        <w:t>Ib.</w:t>
      </w:r>
      <w:r>
        <w:rPr>
          <w:lang w:val="es-MX"/>
        </w:rPr>
        <w:t xml:space="preserve">) En esta misma línea, se establece que a diferencia del modelo </w:t>
      </w:r>
      <w:proofErr w:type="spellStart"/>
      <w:r>
        <w:rPr>
          <w:lang w:val="es-MX"/>
        </w:rPr>
        <w:t>eudaimonista</w:t>
      </w:r>
      <w:proofErr w:type="spellEnd"/>
      <w:r>
        <w:rPr>
          <w:lang w:val="es-MX"/>
        </w:rPr>
        <w:t xml:space="preserve"> de Aristóteles, la moral no se ocupa directamente de la felicidad, sino del sentido del deber, o de volvernos dignos de la felicidad. </w:t>
      </w:r>
    </w:p>
    <w:p w14:paraId="4D6FF45F" w14:textId="028F5539" w:rsidR="001A2F66" w:rsidRDefault="001A2F66" w:rsidP="00D25194">
      <w:pPr>
        <w:jc w:val="both"/>
        <w:rPr>
          <w:lang w:val="es-MX"/>
        </w:rPr>
      </w:pPr>
      <w:r>
        <w:rPr>
          <w:lang w:val="es-MX"/>
        </w:rPr>
        <w:t xml:space="preserve">En este mismo sentido de la separación entre las leyes naturales y morales, señala Kant que: “Un sistema del conocimiento </w:t>
      </w:r>
      <w:r w:rsidRPr="001A2F66">
        <w:rPr>
          <w:i/>
          <w:iCs/>
          <w:lang w:val="es-MX"/>
        </w:rPr>
        <w:t>a priori</w:t>
      </w:r>
      <w:r>
        <w:rPr>
          <w:lang w:val="es-MX"/>
        </w:rPr>
        <w:t xml:space="preserve"> por simples nociones se llama metafísica</w:t>
      </w:r>
    </w:p>
    <w:p w14:paraId="608BEBEF" w14:textId="77777777" w:rsidR="001A2F66" w:rsidRPr="00D25194" w:rsidRDefault="001A2F66" w:rsidP="00D25194">
      <w:pPr>
        <w:jc w:val="both"/>
        <w:rPr>
          <w:lang w:val="es-MX"/>
        </w:rPr>
      </w:pPr>
    </w:p>
    <w:p w14:paraId="2685ED6D" w14:textId="77777777" w:rsidR="002415BF" w:rsidRPr="002415BF" w:rsidRDefault="002415BF" w:rsidP="002415BF">
      <w:pPr>
        <w:pStyle w:val="ListParagraph"/>
        <w:rPr>
          <w:lang w:val="es-MX"/>
        </w:rPr>
      </w:pPr>
    </w:p>
    <w:p w14:paraId="407D6B30" w14:textId="77777777" w:rsidR="002415BF" w:rsidRPr="002415BF" w:rsidRDefault="002415BF" w:rsidP="002415BF">
      <w:pPr>
        <w:jc w:val="both"/>
        <w:rPr>
          <w:lang w:val="es-MX"/>
        </w:rPr>
      </w:pPr>
    </w:p>
    <w:p w14:paraId="5D9C0A7D" w14:textId="63735FB8" w:rsidR="00F1373C" w:rsidRDefault="00B1775C" w:rsidP="00F1373C">
      <w:pPr>
        <w:pStyle w:val="ListParagraph"/>
        <w:numPr>
          <w:ilvl w:val="2"/>
          <w:numId w:val="2"/>
        </w:numPr>
        <w:jc w:val="both"/>
        <w:rPr>
          <w:lang w:val="es-MX"/>
        </w:rPr>
      </w:pPr>
      <w:r>
        <w:rPr>
          <w:lang w:val="es-MX"/>
        </w:rPr>
        <w:t>División de la metafísica de las costumbres</w:t>
      </w:r>
    </w:p>
    <w:p w14:paraId="31D3FF33" w14:textId="77777777" w:rsidR="002415BF" w:rsidRPr="002415BF" w:rsidRDefault="002415BF" w:rsidP="002415BF">
      <w:pPr>
        <w:jc w:val="both"/>
        <w:rPr>
          <w:lang w:val="es-MX"/>
        </w:rPr>
      </w:pPr>
    </w:p>
    <w:p w14:paraId="201A95C5" w14:textId="1CE04F9F" w:rsidR="00B1775C" w:rsidRDefault="00B1775C" w:rsidP="00F1373C">
      <w:pPr>
        <w:pStyle w:val="ListParagraph"/>
        <w:numPr>
          <w:ilvl w:val="2"/>
          <w:numId w:val="2"/>
        </w:numPr>
        <w:jc w:val="both"/>
        <w:rPr>
          <w:lang w:val="es-MX"/>
        </w:rPr>
      </w:pPr>
      <w:r>
        <w:rPr>
          <w:lang w:val="es-MX"/>
        </w:rPr>
        <w:t>Nociones previas a la teoría del derecho</w:t>
      </w:r>
    </w:p>
    <w:p w14:paraId="4E2C72AF" w14:textId="77777777" w:rsidR="002415BF" w:rsidRPr="002415BF" w:rsidRDefault="002415BF" w:rsidP="002415BF">
      <w:pPr>
        <w:pStyle w:val="ListParagraph"/>
        <w:rPr>
          <w:lang w:val="es-MX"/>
        </w:rPr>
      </w:pPr>
    </w:p>
    <w:p w14:paraId="717C71F3" w14:textId="77777777" w:rsidR="002415BF" w:rsidRPr="002415BF" w:rsidRDefault="002415BF" w:rsidP="002415BF">
      <w:pPr>
        <w:jc w:val="both"/>
        <w:rPr>
          <w:lang w:val="es-MX"/>
        </w:rPr>
      </w:pPr>
    </w:p>
    <w:p w14:paraId="1C03DA41" w14:textId="3D90B73C" w:rsidR="00B1775C" w:rsidRDefault="00B1775C" w:rsidP="00F1373C">
      <w:pPr>
        <w:pStyle w:val="ListParagraph"/>
        <w:numPr>
          <w:ilvl w:val="2"/>
          <w:numId w:val="2"/>
        </w:numPr>
        <w:jc w:val="both"/>
        <w:rPr>
          <w:lang w:val="es-MX"/>
        </w:rPr>
      </w:pPr>
      <w:r>
        <w:rPr>
          <w:lang w:val="es-MX"/>
        </w:rPr>
        <w:t>La libertad exterior como libertad jurídica</w:t>
      </w:r>
    </w:p>
    <w:p w14:paraId="63E17C0D" w14:textId="77777777" w:rsidR="002415BF" w:rsidRPr="002415BF" w:rsidRDefault="002415BF" w:rsidP="002415BF">
      <w:pPr>
        <w:jc w:val="both"/>
        <w:rPr>
          <w:lang w:val="es-MX"/>
        </w:rPr>
      </w:pPr>
    </w:p>
    <w:p w14:paraId="5E126105" w14:textId="77777777" w:rsidR="00A018A6" w:rsidRPr="00A018A6" w:rsidRDefault="00A018A6" w:rsidP="00A018A6">
      <w:pPr>
        <w:jc w:val="both"/>
        <w:rPr>
          <w:lang w:val="es-MX"/>
        </w:rPr>
      </w:pPr>
    </w:p>
    <w:p w14:paraId="44CCB5F5" w14:textId="77777777" w:rsidR="00A018A6" w:rsidRDefault="00A018A6" w:rsidP="00A018A6">
      <w:pPr>
        <w:pStyle w:val="ListParagraph"/>
        <w:numPr>
          <w:ilvl w:val="1"/>
          <w:numId w:val="1"/>
        </w:numPr>
        <w:jc w:val="both"/>
        <w:rPr>
          <w:lang w:val="es-MX"/>
        </w:rPr>
      </w:pPr>
      <w:r>
        <w:rPr>
          <w:lang w:val="es-MX"/>
        </w:rPr>
        <w:t>Tres sentidos de libertad exterior o jurídica</w:t>
      </w:r>
    </w:p>
    <w:p w14:paraId="214A0DED" w14:textId="598B0332" w:rsidR="00A018A6" w:rsidRPr="00A018A6" w:rsidRDefault="00A018A6" w:rsidP="00A018A6">
      <w:pPr>
        <w:jc w:val="both"/>
        <w:rPr>
          <w:lang w:val="es-MX"/>
        </w:rPr>
      </w:pPr>
      <w:r w:rsidRPr="00A018A6">
        <w:rPr>
          <w:lang w:val="es-MX"/>
        </w:rPr>
        <w:t>En tres textos distintos se ofrecen nociones complementarias de la libertad exterior</w:t>
      </w:r>
      <w:r w:rsidR="00A624BA">
        <w:rPr>
          <w:lang w:val="es-MX"/>
        </w:rPr>
        <w:t xml:space="preserve"> o jurídica</w:t>
      </w:r>
      <w:r w:rsidRPr="00A018A6">
        <w:rPr>
          <w:lang w:val="es-MX"/>
        </w:rPr>
        <w:t xml:space="preserve">. </w:t>
      </w:r>
      <w:r w:rsidR="00A624BA">
        <w:rPr>
          <w:lang w:val="es-MX"/>
        </w:rPr>
        <w:t xml:space="preserve">En este apartado se exploran en desorden cronológico algunos conceptos de Kant que son complementarios para establecer los alcances de esta dimensión de la libertad jurídica. </w:t>
      </w:r>
    </w:p>
    <w:p w14:paraId="412042E8" w14:textId="01566AA2" w:rsidR="00A018A6" w:rsidRPr="00A018A6" w:rsidRDefault="00A018A6" w:rsidP="00A018A6">
      <w:pPr>
        <w:jc w:val="both"/>
        <w:rPr>
          <w:lang w:val="es-MX"/>
        </w:rPr>
      </w:pPr>
      <w:r w:rsidRPr="00A018A6">
        <w:rPr>
          <w:lang w:val="es-MX"/>
        </w:rPr>
        <w:t xml:space="preserve">En los </w:t>
      </w:r>
      <w:r w:rsidRPr="00A018A6">
        <w:rPr>
          <w:i/>
          <w:iCs/>
          <w:lang w:val="es-MX"/>
        </w:rPr>
        <w:t>Principios metafísicos del derecho</w:t>
      </w:r>
      <w:r w:rsidRPr="00A018A6">
        <w:rPr>
          <w:lang w:val="es-MX"/>
        </w:rPr>
        <w:t xml:space="preserve"> (RL AA 06; </w:t>
      </w:r>
      <w:proofErr w:type="spellStart"/>
      <w:r w:rsidRPr="001B254A">
        <w:t>Metaphysische</w:t>
      </w:r>
      <w:proofErr w:type="spellEnd"/>
      <w:r w:rsidRPr="001B254A">
        <w:t xml:space="preserve"> </w:t>
      </w:r>
      <w:proofErr w:type="spellStart"/>
      <w:r w:rsidRPr="001B254A">
        <w:t>Anfangsgründe</w:t>
      </w:r>
      <w:proofErr w:type="spellEnd"/>
      <w:r w:rsidRPr="001B254A">
        <w:t xml:space="preserve"> </w:t>
      </w:r>
      <w:proofErr w:type="spellStart"/>
      <w:r w:rsidRPr="001B254A">
        <w:t>der</w:t>
      </w:r>
      <w:proofErr w:type="spellEnd"/>
      <w:r w:rsidRPr="001B254A">
        <w:t xml:space="preserve"> </w:t>
      </w:r>
      <w:proofErr w:type="spellStart"/>
      <w:r w:rsidRPr="001B254A">
        <w:t>Rechtslehre</w:t>
      </w:r>
      <w:proofErr w:type="spellEnd"/>
      <w:r w:rsidRPr="00A018A6">
        <w:rPr>
          <w:lang w:val="es-MX"/>
        </w:rPr>
        <w:t xml:space="preserve">) Kant se refiere a la libertad exterior como </w:t>
      </w:r>
      <w:r w:rsidR="00A624BA">
        <w:rPr>
          <w:lang w:val="es-MX"/>
        </w:rPr>
        <w:t xml:space="preserve">la necesidad de </w:t>
      </w:r>
      <w:r w:rsidRPr="00A018A6">
        <w:rPr>
          <w:lang w:val="es-MX"/>
        </w:rPr>
        <w:t>un acuerdo civil de limitación recíproca de la libertad, para permitir la libertad de todos, la propiedad privada y se funde, en este sentido, un estado de pleno derecho. En este sentido, la libertad exterior es una libertad jurídica.</w:t>
      </w:r>
    </w:p>
    <w:p w14:paraId="0DB389BD" w14:textId="77777777" w:rsidR="00A018A6" w:rsidRPr="00A018A6" w:rsidRDefault="00A018A6" w:rsidP="00A018A6">
      <w:pPr>
        <w:jc w:val="both"/>
        <w:rPr>
          <w:lang w:val="es-MX"/>
        </w:rPr>
      </w:pPr>
      <w:r w:rsidRPr="00A018A6">
        <w:rPr>
          <w:lang w:val="es-MX"/>
        </w:rPr>
        <w:t xml:space="preserve">En </w:t>
      </w:r>
      <w:r w:rsidRPr="00A018A6">
        <w:rPr>
          <w:i/>
          <w:iCs/>
          <w:lang w:val="es-MX"/>
        </w:rPr>
        <w:t>Sobre el tópico: Esto puede ser correcto en teoría, pero no vale para la práctica</w:t>
      </w:r>
      <w:r w:rsidRPr="00A018A6">
        <w:rPr>
          <w:lang w:val="es-MX"/>
        </w:rPr>
        <w:t xml:space="preserve"> (TP AA 02; </w:t>
      </w:r>
      <w:proofErr w:type="spellStart"/>
      <w:r w:rsidRPr="001B254A">
        <w:t>Untersuchung</w:t>
      </w:r>
      <w:proofErr w:type="spellEnd"/>
      <w:r w:rsidRPr="001B254A">
        <w:t xml:space="preserve"> </w:t>
      </w:r>
      <w:proofErr w:type="spellStart"/>
      <w:r w:rsidRPr="001B254A">
        <w:t>über</w:t>
      </w:r>
      <w:proofErr w:type="spellEnd"/>
      <w:r w:rsidRPr="001B254A">
        <w:t xml:space="preserve"> die </w:t>
      </w:r>
      <w:proofErr w:type="spellStart"/>
      <w:r w:rsidRPr="001B254A">
        <w:t>Deutlichkeit</w:t>
      </w:r>
      <w:proofErr w:type="spellEnd"/>
      <w:r w:rsidRPr="001B254A">
        <w:t xml:space="preserve"> </w:t>
      </w:r>
      <w:proofErr w:type="spellStart"/>
      <w:r w:rsidRPr="001B254A">
        <w:t>der</w:t>
      </w:r>
      <w:proofErr w:type="spellEnd"/>
      <w:r w:rsidRPr="001B254A">
        <w:t xml:space="preserve"> </w:t>
      </w:r>
      <w:proofErr w:type="spellStart"/>
      <w:r w:rsidRPr="001B254A">
        <w:t>Grundsätze</w:t>
      </w:r>
      <w:proofErr w:type="spellEnd"/>
      <w:r w:rsidRPr="001B254A">
        <w:t xml:space="preserve"> </w:t>
      </w:r>
      <w:proofErr w:type="spellStart"/>
      <w:r w:rsidRPr="001B254A">
        <w:t>der</w:t>
      </w:r>
      <w:proofErr w:type="spellEnd"/>
      <w:r w:rsidRPr="001B254A">
        <w:t xml:space="preserve"> </w:t>
      </w:r>
      <w:proofErr w:type="spellStart"/>
      <w:r w:rsidRPr="001B254A">
        <w:t>natürlichen</w:t>
      </w:r>
      <w:proofErr w:type="spellEnd"/>
      <w:r w:rsidRPr="001B254A">
        <w:t xml:space="preserve"> </w:t>
      </w:r>
      <w:proofErr w:type="spellStart"/>
      <w:r w:rsidRPr="001B254A">
        <w:t>Theologie</w:t>
      </w:r>
      <w:proofErr w:type="spellEnd"/>
      <w:r w:rsidRPr="001B254A">
        <w:t xml:space="preserve"> </w:t>
      </w:r>
      <w:proofErr w:type="spellStart"/>
      <w:r w:rsidRPr="001B254A">
        <w:t>und</w:t>
      </w:r>
      <w:proofErr w:type="spellEnd"/>
      <w:r w:rsidRPr="001B254A">
        <w:t xml:space="preserve"> </w:t>
      </w:r>
      <w:proofErr w:type="spellStart"/>
      <w:r w:rsidRPr="001B254A">
        <w:t>der</w:t>
      </w:r>
      <w:proofErr w:type="spellEnd"/>
      <w:r w:rsidRPr="001B254A">
        <w:t xml:space="preserve"> Moral</w:t>
      </w:r>
      <w:r w:rsidRPr="00A018A6">
        <w:rPr>
          <w:lang w:val="es-MX"/>
        </w:rPr>
        <w:t xml:space="preserve">) Kant define a la ciudadanía como constituida bajo las nociones de libertad, igualdad e independencia. En este sentido, se explica la libertad exterior como el ejercicio para </w:t>
      </w:r>
      <w:proofErr w:type="spellStart"/>
      <w:r w:rsidRPr="00A018A6">
        <w:rPr>
          <w:lang w:val="es-MX"/>
        </w:rPr>
        <w:t>co-legislar</w:t>
      </w:r>
      <w:proofErr w:type="spellEnd"/>
      <w:r w:rsidRPr="00A018A6">
        <w:rPr>
          <w:lang w:val="es-MX"/>
        </w:rPr>
        <w:t xml:space="preserve"> y exigir a los demás que, al igual que nosotros, cumplamos con la ley. En este sentido, la libertad exterior o jurídica adquiere la dimensión de ser una libertad para la </w:t>
      </w:r>
      <w:proofErr w:type="spellStart"/>
      <w:r w:rsidRPr="00A018A6">
        <w:rPr>
          <w:lang w:val="es-MX"/>
        </w:rPr>
        <w:t>co-legislación</w:t>
      </w:r>
      <w:proofErr w:type="spellEnd"/>
      <w:r w:rsidRPr="00A018A6">
        <w:rPr>
          <w:lang w:val="es-MX"/>
        </w:rPr>
        <w:t>.</w:t>
      </w:r>
    </w:p>
    <w:p w14:paraId="14777536" w14:textId="77777777" w:rsidR="00A018A6" w:rsidRDefault="00A018A6" w:rsidP="00A018A6">
      <w:pPr>
        <w:jc w:val="both"/>
        <w:rPr>
          <w:lang w:val="es-MX"/>
        </w:rPr>
      </w:pPr>
      <w:r w:rsidRPr="00A018A6">
        <w:rPr>
          <w:lang w:val="es-MX"/>
        </w:rPr>
        <w:t xml:space="preserve">En la </w:t>
      </w:r>
      <w:r w:rsidRPr="00A018A6">
        <w:rPr>
          <w:i/>
          <w:iCs/>
          <w:lang w:val="es-MX"/>
        </w:rPr>
        <w:t>Paz Perpetua</w:t>
      </w:r>
      <w:r w:rsidRPr="00A018A6">
        <w:rPr>
          <w:lang w:val="es-MX"/>
        </w:rPr>
        <w:t xml:space="preserve"> (</w:t>
      </w:r>
      <w:proofErr w:type="spellStart"/>
      <w:r w:rsidRPr="00A018A6">
        <w:rPr>
          <w:lang w:val="es-MX"/>
        </w:rPr>
        <w:t>ZeF</w:t>
      </w:r>
      <w:proofErr w:type="spellEnd"/>
      <w:r w:rsidRPr="00A018A6">
        <w:rPr>
          <w:lang w:val="es-MX"/>
        </w:rPr>
        <w:t xml:space="preserve"> AA 08; </w:t>
      </w:r>
      <w:r w:rsidRPr="001B254A">
        <w:t xml:space="preserve">Zum </w:t>
      </w:r>
      <w:proofErr w:type="spellStart"/>
      <w:r w:rsidRPr="001B254A">
        <w:t>ewigen</w:t>
      </w:r>
      <w:proofErr w:type="spellEnd"/>
      <w:r w:rsidRPr="001B254A">
        <w:t xml:space="preserve"> </w:t>
      </w:r>
      <w:proofErr w:type="spellStart"/>
      <w:r w:rsidRPr="001B254A">
        <w:t>Frieden</w:t>
      </w:r>
      <w:proofErr w:type="spellEnd"/>
      <w:r w:rsidRPr="00A018A6">
        <w:rPr>
          <w:lang w:val="es-MX"/>
        </w:rPr>
        <w:t xml:space="preserve">) Se explica la libertad exterior como la capacidad de legitimar cualquier ley, de acuerdo a si le otorgamos o no nuestro consentimiento civil. De esta forma, la libertad exterior o jurídica se entiende como una libertad civil. </w:t>
      </w:r>
    </w:p>
    <w:p w14:paraId="1B623B7F" w14:textId="7DF9C917" w:rsidR="00A018A6" w:rsidRDefault="00A624BA" w:rsidP="00A018A6">
      <w:pPr>
        <w:jc w:val="both"/>
        <w:rPr>
          <w:lang w:val="es-MX"/>
        </w:rPr>
      </w:pPr>
      <w:r>
        <w:rPr>
          <w:lang w:val="es-MX"/>
        </w:rPr>
        <w:t xml:space="preserve">En este apartado ahondaremos en estos sentidos, para perfilar una consideración sobre la libertad jurídica que articule estos distintos puntos complementarios que articulan la idea general, en el contexto del republicanismo de Kant, de una libertad jurídica. </w:t>
      </w:r>
    </w:p>
    <w:p w14:paraId="2A913A70" w14:textId="77777777" w:rsidR="00A624BA" w:rsidRPr="00A018A6" w:rsidRDefault="00A624BA" w:rsidP="00A018A6">
      <w:pPr>
        <w:jc w:val="both"/>
        <w:rPr>
          <w:lang w:val="es-MX"/>
        </w:rPr>
      </w:pPr>
    </w:p>
    <w:p w14:paraId="7C6D6313" w14:textId="77777777" w:rsidR="00A018A6" w:rsidRDefault="00A018A6" w:rsidP="00A018A6">
      <w:pPr>
        <w:pStyle w:val="ListParagraph"/>
        <w:numPr>
          <w:ilvl w:val="2"/>
          <w:numId w:val="1"/>
        </w:numPr>
        <w:jc w:val="both"/>
        <w:rPr>
          <w:lang w:val="es-MX"/>
        </w:rPr>
      </w:pPr>
      <w:r>
        <w:rPr>
          <w:lang w:val="es-MX"/>
        </w:rPr>
        <w:t>Desde la Doctrina del derecho</w:t>
      </w:r>
    </w:p>
    <w:p w14:paraId="52F406F3" w14:textId="77777777" w:rsidR="00A018A6" w:rsidRPr="00A018A6" w:rsidRDefault="00A018A6" w:rsidP="00A018A6">
      <w:pPr>
        <w:jc w:val="both"/>
        <w:rPr>
          <w:lang w:val="es-MX"/>
        </w:rPr>
      </w:pPr>
      <w:r w:rsidRPr="00A018A6">
        <w:rPr>
          <w:lang w:val="es-MX"/>
        </w:rPr>
        <w:t xml:space="preserve">En los </w:t>
      </w:r>
      <w:r w:rsidRPr="00A018A6">
        <w:rPr>
          <w:i/>
          <w:iCs/>
          <w:lang w:val="es-MX"/>
        </w:rPr>
        <w:t>Principios metafísicos del derecho</w:t>
      </w:r>
      <w:r w:rsidRPr="00A018A6">
        <w:rPr>
          <w:lang w:val="es-MX"/>
        </w:rPr>
        <w:t xml:space="preserve"> (RL AA 06; </w:t>
      </w:r>
      <w:proofErr w:type="spellStart"/>
      <w:r w:rsidRPr="001B254A">
        <w:t>Metaphysische</w:t>
      </w:r>
      <w:proofErr w:type="spellEnd"/>
      <w:r w:rsidRPr="001B254A">
        <w:t xml:space="preserve"> </w:t>
      </w:r>
      <w:proofErr w:type="spellStart"/>
      <w:r w:rsidRPr="001B254A">
        <w:t>Anfangsgründe</w:t>
      </w:r>
      <w:proofErr w:type="spellEnd"/>
      <w:r w:rsidRPr="001B254A">
        <w:t xml:space="preserve"> </w:t>
      </w:r>
      <w:proofErr w:type="spellStart"/>
      <w:r w:rsidRPr="001B254A">
        <w:t>der</w:t>
      </w:r>
      <w:proofErr w:type="spellEnd"/>
      <w:r w:rsidRPr="001B254A">
        <w:t xml:space="preserve"> </w:t>
      </w:r>
      <w:proofErr w:type="spellStart"/>
      <w:r w:rsidRPr="001B254A">
        <w:t>Rechtslehre</w:t>
      </w:r>
      <w:proofErr w:type="spellEnd"/>
      <w:r w:rsidRPr="00A018A6">
        <w:rPr>
          <w:lang w:val="es-MX"/>
        </w:rPr>
        <w:t>)</w:t>
      </w:r>
    </w:p>
    <w:p w14:paraId="310DB437" w14:textId="77777777" w:rsidR="00A018A6" w:rsidRPr="00A018A6" w:rsidRDefault="00A018A6" w:rsidP="00A018A6">
      <w:pPr>
        <w:jc w:val="both"/>
        <w:rPr>
          <w:lang w:val="es-MX"/>
        </w:rPr>
      </w:pPr>
    </w:p>
    <w:p w14:paraId="0B7EBF66" w14:textId="77777777" w:rsidR="00A018A6" w:rsidRDefault="00A018A6" w:rsidP="00A018A6">
      <w:pPr>
        <w:pStyle w:val="ListParagraph"/>
        <w:numPr>
          <w:ilvl w:val="2"/>
          <w:numId w:val="1"/>
        </w:numPr>
        <w:jc w:val="both"/>
        <w:rPr>
          <w:lang w:val="es-MX"/>
        </w:rPr>
      </w:pPr>
      <w:r>
        <w:rPr>
          <w:lang w:val="es-MX"/>
        </w:rPr>
        <w:t>Desde el ensayo sobre Teoría y Práctica</w:t>
      </w:r>
    </w:p>
    <w:p w14:paraId="2D8A6239" w14:textId="77777777" w:rsidR="00A018A6" w:rsidRPr="001B254A" w:rsidRDefault="00A018A6" w:rsidP="00A018A6">
      <w:pPr>
        <w:jc w:val="both"/>
        <w:rPr>
          <w:lang w:val="es-MX"/>
        </w:rPr>
      </w:pPr>
      <w:r w:rsidRPr="001B254A">
        <w:rPr>
          <w:lang w:val="es-MX"/>
        </w:rPr>
        <w:t xml:space="preserve">En </w:t>
      </w:r>
      <w:r w:rsidRPr="001B254A">
        <w:rPr>
          <w:i/>
          <w:iCs/>
          <w:lang w:val="es-MX"/>
        </w:rPr>
        <w:t>Sobre el tópico: Esto puede ser correcto en teoría, pero no vale para la práctica</w:t>
      </w:r>
      <w:r w:rsidRPr="001B254A">
        <w:rPr>
          <w:lang w:val="es-MX"/>
        </w:rPr>
        <w:t xml:space="preserve"> (TP AA 02; </w:t>
      </w:r>
      <w:proofErr w:type="spellStart"/>
      <w:r w:rsidRPr="001B254A">
        <w:t>Untersuchung</w:t>
      </w:r>
      <w:proofErr w:type="spellEnd"/>
      <w:r w:rsidRPr="001B254A">
        <w:t xml:space="preserve"> </w:t>
      </w:r>
      <w:proofErr w:type="spellStart"/>
      <w:r w:rsidRPr="001B254A">
        <w:t>über</w:t>
      </w:r>
      <w:proofErr w:type="spellEnd"/>
      <w:r w:rsidRPr="001B254A">
        <w:t xml:space="preserve"> die </w:t>
      </w:r>
      <w:proofErr w:type="spellStart"/>
      <w:r w:rsidRPr="001B254A">
        <w:t>Deutlichkeit</w:t>
      </w:r>
      <w:proofErr w:type="spellEnd"/>
      <w:r w:rsidRPr="001B254A">
        <w:t xml:space="preserve"> </w:t>
      </w:r>
      <w:proofErr w:type="spellStart"/>
      <w:r w:rsidRPr="001B254A">
        <w:t>der</w:t>
      </w:r>
      <w:proofErr w:type="spellEnd"/>
      <w:r w:rsidRPr="001B254A">
        <w:t xml:space="preserve"> </w:t>
      </w:r>
      <w:proofErr w:type="spellStart"/>
      <w:r w:rsidRPr="001B254A">
        <w:t>Grundsätze</w:t>
      </w:r>
      <w:proofErr w:type="spellEnd"/>
      <w:r w:rsidRPr="001B254A">
        <w:t xml:space="preserve"> </w:t>
      </w:r>
      <w:proofErr w:type="spellStart"/>
      <w:r w:rsidRPr="001B254A">
        <w:t>der</w:t>
      </w:r>
      <w:proofErr w:type="spellEnd"/>
      <w:r w:rsidRPr="001B254A">
        <w:t xml:space="preserve"> </w:t>
      </w:r>
      <w:proofErr w:type="spellStart"/>
      <w:r w:rsidRPr="001B254A">
        <w:t>natürlichen</w:t>
      </w:r>
      <w:proofErr w:type="spellEnd"/>
      <w:r w:rsidRPr="001B254A">
        <w:t xml:space="preserve"> </w:t>
      </w:r>
      <w:proofErr w:type="spellStart"/>
      <w:r w:rsidRPr="001B254A">
        <w:t>Theologie</w:t>
      </w:r>
      <w:proofErr w:type="spellEnd"/>
      <w:r w:rsidRPr="001B254A">
        <w:t xml:space="preserve"> </w:t>
      </w:r>
      <w:proofErr w:type="spellStart"/>
      <w:r w:rsidRPr="001B254A">
        <w:t>und</w:t>
      </w:r>
      <w:proofErr w:type="spellEnd"/>
      <w:r w:rsidRPr="001B254A">
        <w:t xml:space="preserve"> </w:t>
      </w:r>
      <w:proofErr w:type="spellStart"/>
      <w:r w:rsidRPr="001B254A">
        <w:t>der</w:t>
      </w:r>
      <w:proofErr w:type="spellEnd"/>
      <w:r w:rsidRPr="001B254A">
        <w:t xml:space="preserve"> Moral</w:t>
      </w:r>
      <w:r w:rsidRPr="001B254A">
        <w:rPr>
          <w:lang w:val="es-MX"/>
        </w:rPr>
        <w:t>)</w:t>
      </w:r>
    </w:p>
    <w:p w14:paraId="4DDF7486" w14:textId="77777777" w:rsidR="00A018A6" w:rsidRPr="00A018A6" w:rsidRDefault="00A018A6" w:rsidP="00A018A6">
      <w:pPr>
        <w:jc w:val="both"/>
        <w:rPr>
          <w:lang w:val="es-MX"/>
        </w:rPr>
      </w:pPr>
    </w:p>
    <w:p w14:paraId="18816A53" w14:textId="77777777" w:rsidR="00A018A6" w:rsidRDefault="00A018A6" w:rsidP="00A018A6">
      <w:pPr>
        <w:pStyle w:val="ListParagraph"/>
        <w:numPr>
          <w:ilvl w:val="2"/>
          <w:numId w:val="1"/>
        </w:numPr>
        <w:jc w:val="both"/>
        <w:rPr>
          <w:lang w:val="es-MX"/>
        </w:rPr>
      </w:pPr>
      <w:r>
        <w:rPr>
          <w:lang w:val="es-MX"/>
        </w:rPr>
        <w:lastRenderedPageBreak/>
        <w:t>Desde la Paz perpetua</w:t>
      </w:r>
    </w:p>
    <w:p w14:paraId="1B88ED5B" w14:textId="272AC4C5" w:rsidR="00455F91" w:rsidRPr="001B254A" w:rsidRDefault="00A018A6" w:rsidP="002472EE">
      <w:pPr>
        <w:jc w:val="both"/>
        <w:rPr>
          <w:lang w:val="es-MX"/>
        </w:rPr>
      </w:pPr>
      <w:r>
        <w:rPr>
          <w:lang w:val="es-MX"/>
        </w:rPr>
        <w:t>E</w:t>
      </w:r>
      <w:r w:rsidR="00455F91" w:rsidRPr="001B254A">
        <w:rPr>
          <w:lang w:val="es-MX"/>
        </w:rPr>
        <w:t xml:space="preserve">n la </w:t>
      </w:r>
      <w:r w:rsidR="00455F91" w:rsidRPr="001B254A">
        <w:rPr>
          <w:i/>
          <w:iCs/>
          <w:lang w:val="es-MX"/>
        </w:rPr>
        <w:t>Paz Perpetua</w:t>
      </w:r>
      <w:r w:rsidR="00455F91" w:rsidRPr="001B254A">
        <w:rPr>
          <w:lang w:val="es-MX"/>
        </w:rPr>
        <w:t xml:space="preserve"> (</w:t>
      </w:r>
      <w:proofErr w:type="spellStart"/>
      <w:r w:rsidR="00455F91" w:rsidRPr="001B254A">
        <w:rPr>
          <w:lang w:val="es-MX"/>
        </w:rPr>
        <w:t>ZeF</w:t>
      </w:r>
      <w:proofErr w:type="spellEnd"/>
      <w:r w:rsidR="00455F91" w:rsidRPr="001B254A">
        <w:rPr>
          <w:lang w:val="es-MX"/>
        </w:rPr>
        <w:t xml:space="preserve"> AA 08</w:t>
      </w:r>
      <w:r w:rsidR="00FF1FF2" w:rsidRPr="001B254A">
        <w:rPr>
          <w:lang w:val="es-MX"/>
        </w:rPr>
        <w:t xml:space="preserve">; </w:t>
      </w:r>
      <w:r w:rsidR="00FF1FF2" w:rsidRPr="001B254A">
        <w:t xml:space="preserve">Zum </w:t>
      </w:r>
      <w:proofErr w:type="spellStart"/>
      <w:r w:rsidR="00FF1FF2" w:rsidRPr="001B254A">
        <w:t>ewigen</w:t>
      </w:r>
      <w:proofErr w:type="spellEnd"/>
      <w:r w:rsidR="00FF1FF2" w:rsidRPr="001B254A">
        <w:t xml:space="preserve"> </w:t>
      </w:r>
      <w:proofErr w:type="spellStart"/>
      <w:r w:rsidR="00FF1FF2" w:rsidRPr="001B254A">
        <w:t>Frieden</w:t>
      </w:r>
      <w:proofErr w:type="spellEnd"/>
      <w:r w:rsidR="00455F91" w:rsidRPr="001B254A">
        <w:rPr>
          <w:lang w:val="es-MX"/>
        </w:rPr>
        <w:t>)</w:t>
      </w:r>
    </w:p>
    <w:p w14:paraId="0D8EA582" w14:textId="77777777" w:rsidR="00455F91" w:rsidRPr="001B254A" w:rsidRDefault="00455F91" w:rsidP="002472EE">
      <w:pPr>
        <w:jc w:val="both"/>
        <w:rPr>
          <w:lang w:val="es-MX"/>
        </w:rPr>
      </w:pPr>
    </w:p>
    <w:sectPr w:rsidR="00455F91" w:rsidRPr="001B25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E0058"/>
    <w:multiLevelType w:val="multilevel"/>
    <w:tmpl w:val="280A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FA25F6C"/>
    <w:multiLevelType w:val="multilevel"/>
    <w:tmpl w:val="1396AF1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num w:numId="1" w16cid:durableId="75127630">
    <w:abstractNumId w:val="0"/>
  </w:num>
  <w:num w:numId="2" w16cid:durableId="22834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91"/>
    <w:rsid w:val="00083A3A"/>
    <w:rsid w:val="000B6B28"/>
    <w:rsid w:val="000B716A"/>
    <w:rsid w:val="00116DA2"/>
    <w:rsid w:val="00180A89"/>
    <w:rsid w:val="001A2F66"/>
    <w:rsid w:val="001B254A"/>
    <w:rsid w:val="002415BF"/>
    <w:rsid w:val="002472EE"/>
    <w:rsid w:val="00455F91"/>
    <w:rsid w:val="00504F38"/>
    <w:rsid w:val="00526DAF"/>
    <w:rsid w:val="00676FBE"/>
    <w:rsid w:val="0068257F"/>
    <w:rsid w:val="00757FF9"/>
    <w:rsid w:val="00800806"/>
    <w:rsid w:val="008047BA"/>
    <w:rsid w:val="00834600"/>
    <w:rsid w:val="008F6FEA"/>
    <w:rsid w:val="00937BC6"/>
    <w:rsid w:val="0097523A"/>
    <w:rsid w:val="00986E52"/>
    <w:rsid w:val="009B6D39"/>
    <w:rsid w:val="00A018A6"/>
    <w:rsid w:val="00A22F3E"/>
    <w:rsid w:val="00A624BA"/>
    <w:rsid w:val="00B039D6"/>
    <w:rsid w:val="00B17130"/>
    <w:rsid w:val="00B1775C"/>
    <w:rsid w:val="00BD46D7"/>
    <w:rsid w:val="00C508F5"/>
    <w:rsid w:val="00CA54A2"/>
    <w:rsid w:val="00CC4866"/>
    <w:rsid w:val="00D25194"/>
    <w:rsid w:val="00D73E78"/>
    <w:rsid w:val="00E90A05"/>
    <w:rsid w:val="00E9512B"/>
    <w:rsid w:val="00F1373C"/>
    <w:rsid w:val="00F35A02"/>
    <w:rsid w:val="00F81747"/>
    <w:rsid w:val="00FE4A3A"/>
    <w:rsid w:val="00FF1F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CF4F"/>
  <w15:chartTrackingRefBased/>
  <w15:docId w15:val="{5FFB224D-1750-4CCC-8E76-DB0030A9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F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F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F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F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F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F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F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F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91"/>
    <w:rPr>
      <w:rFonts w:eastAsiaTheme="majorEastAsia" w:cstheme="majorBidi"/>
      <w:color w:val="272727" w:themeColor="text1" w:themeTint="D8"/>
    </w:rPr>
  </w:style>
  <w:style w:type="paragraph" w:styleId="Title">
    <w:name w:val="Title"/>
    <w:basedOn w:val="Normal"/>
    <w:next w:val="Normal"/>
    <w:link w:val="TitleChar"/>
    <w:uiPriority w:val="10"/>
    <w:qFormat/>
    <w:rsid w:val="00455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91"/>
    <w:pPr>
      <w:spacing w:before="160"/>
      <w:jc w:val="center"/>
    </w:pPr>
    <w:rPr>
      <w:i/>
      <w:iCs/>
      <w:color w:val="404040" w:themeColor="text1" w:themeTint="BF"/>
    </w:rPr>
  </w:style>
  <w:style w:type="character" w:customStyle="1" w:styleId="QuoteChar">
    <w:name w:val="Quote Char"/>
    <w:basedOn w:val="DefaultParagraphFont"/>
    <w:link w:val="Quote"/>
    <w:uiPriority w:val="29"/>
    <w:rsid w:val="00455F91"/>
    <w:rPr>
      <w:i/>
      <w:iCs/>
      <w:color w:val="404040" w:themeColor="text1" w:themeTint="BF"/>
    </w:rPr>
  </w:style>
  <w:style w:type="paragraph" w:styleId="ListParagraph">
    <w:name w:val="List Paragraph"/>
    <w:basedOn w:val="Normal"/>
    <w:uiPriority w:val="34"/>
    <w:qFormat/>
    <w:rsid w:val="00455F91"/>
    <w:pPr>
      <w:ind w:left="720"/>
      <w:contextualSpacing/>
    </w:pPr>
  </w:style>
  <w:style w:type="character" w:styleId="IntenseEmphasis">
    <w:name w:val="Intense Emphasis"/>
    <w:basedOn w:val="DefaultParagraphFont"/>
    <w:uiPriority w:val="21"/>
    <w:qFormat/>
    <w:rsid w:val="00455F91"/>
    <w:rPr>
      <w:i/>
      <w:iCs/>
      <w:color w:val="2F5496" w:themeColor="accent1" w:themeShade="BF"/>
    </w:rPr>
  </w:style>
  <w:style w:type="paragraph" w:styleId="IntenseQuote">
    <w:name w:val="Intense Quote"/>
    <w:basedOn w:val="Normal"/>
    <w:next w:val="Normal"/>
    <w:link w:val="IntenseQuoteChar"/>
    <w:uiPriority w:val="30"/>
    <w:qFormat/>
    <w:rsid w:val="00455F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F91"/>
    <w:rPr>
      <w:i/>
      <w:iCs/>
      <w:color w:val="2F5496" w:themeColor="accent1" w:themeShade="BF"/>
    </w:rPr>
  </w:style>
  <w:style w:type="character" w:styleId="IntenseReference">
    <w:name w:val="Intense Reference"/>
    <w:basedOn w:val="DefaultParagraphFont"/>
    <w:uiPriority w:val="32"/>
    <w:qFormat/>
    <w:rsid w:val="00455F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6178</TotalTime>
  <Pages>6</Pages>
  <Words>2036</Words>
  <Characters>11199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30</cp:revision>
  <dcterms:created xsi:type="dcterms:W3CDTF">2025-10-27T14:10:00Z</dcterms:created>
  <dcterms:modified xsi:type="dcterms:W3CDTF">2025-11-05T22:31:00Z</dcterms:modified>
</cp:coreProperties>
</file>