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BBAC" w14:textId="52A78E82" w:rsidR="00162F9C" w:rsidRPr="00162F9C" w:rsidRDefault="00162F9C" w:rsidP="00162F9C">
      <w:pPr>
        <w:spacing w:line="360" w:lineRule="auto"/>
        <w:jc w:val="both"/>
        <w:rPr>
          <w:rFonts w:ascii="Times New Roman" w:hAnsi="Times New Roman" w:cs="Times New Roman"/>
        </w:rPr>
      </w:pPr>
      <w:r w:rsidRPr="00162F9C">
        <w:rPr>
          <w:rFonts w:ascii="Times New Roman" w:hAnsi="Times New Roman" w:cs="Times New Roman"/>
          <w:b/>
          <w:bCs/>
        </w:rPr>
        <w:t>Tesis</w:t>
      </w:r>
      <w:r w:rsidRPr="00162F9C">
        <w:rPr>
          <w:rFonts w:ascii="Times New Roman" w:hAnsi="Times New Roman" w:cs="Times New Roman"/>
        </w:rPr>
        <w:t xml:space="preserve">: La libertad jurídica es fundamental para entender el concepto de ciudadanía en el republicanismo kantiano. </w:t>
      </w:r>
    </w:p>
    <w:p w14:paraId="4E0A3A43" w14:textId="77777777" w:rsidR="00162F9C" w:rsidRPr="00162F9C" w:rsidRDefault="00162F9C" w:rsidP="00162F9C">
      <w:pPr>
        <w:spacing w:line="360" w:lineRule="auto"/>
        <w:jc w:val="both"/>
        <w:rPr>
          <w:rFonts w:ascii="Times New Roman" w:hAnsi="Times New Roman" w:cs="Times New Roman"/>
        </w:rPr>
      </w:pPr>
    </w:p>
    <w:p w14:paraId="10769D70" w14:textId="0112EC91" w:rsidR="00162F9C" w:rsidRPr="00162F9C" w:rsidRDefault="00162F9C" w:rsidP="00162F9C">
      <w:pPr>
        <w:spacing w:line="360" w:lineRule="auto"/>
        <w:jc w:val="both"/>
        <w:rPr>
          <w:rFonts w:ascii="Times New Roman" w:hAnsi="Times New Roman" w:cs="Times New Roman"/>
        </w:rPr>
      </w:pPr>
      <w:r w:rsidRPr="00162F9C">
        <w:rPr>
          <w:rFonts w:ascii="Times New Roman" w:hAnsi="Times New Roman" w:cs="Times New Roman"/>
          <w:b/>
          <w:bCs/>
        </w:rPr>
        <w:t>Esquema</w:t>
      </w:r>
      <w:r w:rsidRPr="00162F9C">
        <w:rPr>
          <w:rFonts w:ascii="Times New Roman" w:hAnsi="Times New Roman" w:cs="Times New Roman"/>
        </w:rPr>
        <w:t>:</w:t>
      </w:r>
    </w:p>
    <w:p w14:paraId="790FF8D9" w14:textId="77777777" w:rsidR="00162F9C" w:rsidRPr="00162F9C" w:rsidRDefault="00162F9C" w:rsidP="00162F9C">
      <w:pPr>
        <w:spacing w:line="360" w:lineRule="auto"/>
        <w:jc w:val="both"/>
        <w:rPr>
          <w:rFonts w:ascii="Times New Roman" w:hAnsi="Times New Roman" w:cs="Times New Roman"/>
        </w:rPr>
      </w:pPr>
      <w:r w:rsidRPr="00162F9C">
        <w:rPr>
          <w:rFonts w:ascii="Times New Roman" w:hAnsi="Times New Roman" w:cs="Times New Roman"/>
        </w:rPr>
        <w:t>1. La libertad jurídica</w:t>
      </w:r>
    </w:p>
    <w:p w14:paraId="74CA8907" w14:textId="77777777" w:rsidR="00162F9C" w:rsidRPr="00162F9C" w:rsidRDefault="00162F9C" w:rsidP="00162F9C">
      <w:pPr>
        <w:spacing w:line="360" w:lineRule="auto"/>
        <w:jc w:val="both"/>
        <w:rPr>
          <w:rFonts w:ascii="Times New Roman" w:hAnsi="Times New Roman" w:cs="Times New Roman"/>
        </w:rPr>
      </w:pPr>
      <w:r w:rsidRPr="00162F9C">
        <w:rPr>
          <w:rFonts w:ascii="Times New Roman" w:hAnsi="Times New Roman" w:cs="Times New Roman"/>
        </w:rPr>
        <w:t>2. La ciudadanía</w:t>
      </w:r>
    </w:p>
    <w:p w14:paraId="155CFCCB" w14:textId="18F7B679" w:rsidR="00162F9C" w:rsidRPr="00162F9C" w:rsidRDefault="00162F9C" w:rsidP="00162F9C">
      <w:pPr>
        <w:spacing w:line="360" w:lineRule="auto"/>
        <w:jc w:val="both"/>
        <w:rPr>
          <w:rFonts w:ascii="Times New Roman" w:hAnsi="Times New Roman" w:cs="Times New Roman"/>
        </w:rPr>
      </w:pPr>
      <w:r w:rsidRPr="00162F9C">
        <w:rPr>
          <w:rFonts w:ascii="Times New Roman" w:hAnsi="Times New Roman" w:cs="Times New Roman"/>
        </w:rPr>
        <w:t>3. El republicanismo en Kant</w:t>
      </w:r>
    </w:p>
    <w:p w14:paraId="702A6A73" w14:textId="77777777" w:rsidR="00162F9C" w:rsidRPr="00162F9C" w:rsidRDefault="00162F9C" w:rsidP="00162F9C">
      <w:pPr>
        <w:spacing w:line="360" w:lineRule="auto"/>
        <w:jc w:val="both"/>
        <w:rPr>
          <w:rFonts w:ascii="Times New Roman" w:hAnsi="Times New Roman" w:cs="Times New Roman"/>
        </w:rPr>
      </w:pPr>
    </w:p>
    <w:p w14:paraId="1841091A" w14:textId="1FDA3147" w:rsidR="00162F9C" w:rsidRPr="00162F9C" w:rsidRDefault="00162F9C" w:rsidP="00162F9C">
      <w:pPr>
        <w:pStyle w:val="ListParagraph"/>
        <w:numPr>
          <w:ilvl w:val="0"/>
          <w:numId w:val="1"/>
        </w:numPr>
        <w:spacing w:line="360" w:lineRule="auto"/>
        <w:jc w:val="both"/>
        <w:rPr>
          <w:rFonts w:ascii="Times New Roman" w:hAnsi="Times New Roman" w:cs="Times New Roman"/>
        </w:rPr>
      </w:pPr>
      <w:r w:rsidRPr="00162F9C">
        <w:rPr>
          <w:rFonts w:ascii="Times New Roman" w:hAnsi="Times New Roman" w:cs="Times New Roman"/>
          <w:u w:val="single"/>
        </w:rPr>
        <w:t>La libertad jurídica</w:t>
      </w:r>
    </w:p>
    <w:p w14:paraId="69F6B6B7" w14:textId="77777777" w:rsidR="00162F9C" w:rsidRDefault="00162F9C" w:rsidP="00162F9C">
      <w:pPr>
        <w:spacing w:line="360" w:lineRule="auto"/>
        <w:ind w:left="360"/>
        <w:jc w:val="both"/>
        <w:rPr>
          <w:rFonts w:ascii="Times New Roman" w:hAnsi="Times New Roman" w:cs="Times New Roman"/>
        </w:rPr>
      </w:pPr>
    </w:p>
    <w:p w14:paraId="1174D72E" w14:textId="2B3E1D8D" w:rsidR="00162F9C" w:rsidRDefault="00162F9C" w:rsidP="00162F9C">
      <w:pPr>
        <w:spacing w:line="360" w:lineRule="auto"/>
        <w:jc w:val="both"/>
        <w:rPr>
          <w:rFonts w:ascii="Times New Roman" w:hAnsi="Times New Roman" w:cs="Times New Roman"/>
        </w:rPr>
      </w:pPr>
      <w:r>
        <w:rPr>
          <w:rFonts w:ascii="Times New Roman" w:hAnsi="Times New Roman" w:cs="Times New Roman"/>
        </w:rPr>
        <w:t xml:space="preserve">Kant distingue entre la libertad interna y la libertad externa. El ámbito de la libertad interna es la moral y </w:t>
      </w:r>
      <w:r w:rsidR="0097521B">
        <w:rPr>
          <w:rFonts w:ascii="Times New Roman" w:hAnsi="Times New Roman" w:cs="Times New Roman"/>
        </w:rPr>
        <w:t xml:space="preserve">es </w:t>
      </w:r>
      <w:r>
        <w:rPr>
          <w:rFonts w:ascii="Times New Roman" w:hAnsi="Times New Roman" w:cs="Times New Roman"/>
        </w:rPr>
        <w:t>el campo de la virtud, en donde aparece la autonomía de la voluntad, siendo capaz de guiar su obra de acuerdo a principios racionales que pueden cohesionarse al margen de lo sensible, desde el puro ámbito de la forma. Esta libertad interna, por lo tanto, puede asociarse a la libre voluntad que toda persona tiene para autodeterminarse, en donde es fundamental el concepto del deber</w:t>
      </w:r>
      <w:r w:rsidR="0097521B">
        <w:rPr>
          <w:rFonts w:ascii="Times New Roman" w:hAnsi="Times New Roman" w:cs="Times New Roman"/>
        </w:rPr>
        <w:t xml:space="preserve"> interno</w:t>
      </w:r>
      <w:r>
        <w:rPr>
          <w:rFonts w:ascii="Times New Roman" w:hAnsi="Times New Roman" w:cs="Times New Roman"/>
        </w:rPr>
        <w:t xml:space="preserve">. </w:t>
      </w:r>
    </w:p>
    <w:p w14:paraId="3ED0AA02" w14:textId="363BA518" w:rsidR="00162F9C" w:rsidRDefault="00162F9C" w:rsidP="00162F9C">
      <w:pPr>
        <w:spacing w:line="360" w:lineRule="auto"/>
        <w:jc w:val="both"/>
        <w:rPr>
          <w:rFonts w:ascii="Times New Roman" w:hAnsi="Times New Roman" w:cs="Times New Roman"/>
        </w:rPr>
      </w:pPr>
      <w:r>
        <w:rPr>
          <w:rFonts w:ascii="Times New Roman" w:hAnsi="Times New Roman" w:cs="Times New Roman"/>
        </w:rPr>
        <w:t>Por otro lado, la libertad externa se despliega en el horizonte del derecho, las leyes y la justicia. Encontramos acá una heteronomía de la voluntad, por cuanto es</w:t>
      </w:r>
      <w:r w:rsidR="0097521B">
        <w:rPr>
          <w:rFonts w:ascii="Times New Roman" w:hAnsi="Times New Roman" w:cs="Times New Roman"/>
        </w:rPr>
        <w:t xml:space="preserve"> la formulación de un deber</w:t>
      </w:r>
      <w:r>
        <w:rPr>
          <w:rFonts w:ascii="Times New Roman" w:hAnsi="Times New Roman" w:cs="Times New Roman"/>
        </w:rPr>
        <w:t xml:space="preserve"> externo que le delimita. Una primera idea de la libertad externa tiene que ver con la posibilidad de que exista una libertad recíproca, es decir, una libertad que permita la libertad de todos, de acuerdo a principios generales</w:t>
      </w:r>
      <w:r w:rsidR="000816AC">
        <w:rPr>
          <w:rStyle w:val="FootnoteReference"/>
          <w:rFonts w:ascii="Times New Roman" w:hAnsi="Times New Roman" w:cs="Times New Roman"/>
        </w:rPr>
        <w:footnoteReference w:id="1"/>
      </w:r>
      <w:r>
        <w:rPr>
          <w:rFonts w:ascii="Times New Roman" w:hAnsi="Times New Roman" w:cs="Times New Roman"/>
        </w:rPr>
        <w:t>. Este panorama sublima la libertad salvaje para alcanzar una libertad civil, en donde es posible la coexistencia, gracias a un horizonte de leyes</w:t>
      </w:r>
      <w:r w:rsidR="000F6A1C">
        <w:rPr>
          <w:rStyle w:val="FootnoteReference"/>
          <w:rFonts w:ascii="Times New Roman" w:hAnsi="Times New Roman" w:cs="Times New Roman"/>
        </w:rPr>
        <w:footnoteReference w:id="2"/>
      </w:r>
      <w:r>
        <w:rPr>
          <w:rFonts w:ascii="Times New Roman" w:hAnsi="Times New Roman" w:cs="Times New Roman"/>
        </w:rPr>
        <w:t xml:space="preserve">. </w:t>
      </w:r>
    </w:p>
    <w:p w14:paraId="000F564E" w14:textId="35DD479B" w:rsidR="003A5127" w:rsidRDefault="00162F9C" w:rsidP="003A5127">
      <w:pPr>
        <w:spacing w:line="360" w:lineRule="auto"/>
        <w:jc w:val="both"/>
        <w:rPr>
          <w:rFonts w:ascii="Times New Roman" w:hAnsi="Times New Roman" w:cs="Times New Roman"/>
        </w:rPr>
      </w:pPr>
      <w:r>
        <w:rPr>
          <w:rFonts w:ascii="Times New Roman" w:hAnsi="Times New Roman" w:cs="Times New Roman"/>
        </w:rPr>
        <w:lastRenderedPageBreak/>
        <w:t xml:space="preserve">El sentido de las leyes apunta siempre a la justicia, y no </w:t>
      </w:r>
      <w:r w:rsidR="00A03E31">
        <w:rPr>
          <w:rFonts w:ascii="Times New Roman" w:hAnsi="Times New Roman" w:cs="Times New Roman"/>
        </w:rPr>
        <w:t>debería cometer ni facilitar la injusticia.</w:t>
      </w:r>
      <w:r w:rsidR="001E309C">
        <w:rPr>
          <w:rStyle w:val="FootnoteReference"/>
          <w:rFonts w:ascii="Times New Roman" w:hAnsi="Times New Roman" w:cs="Times New Roman"/>
        </w:rPr>
        <w:footnoteReference w:id="3"/>
      </w:r>
      <w:r w:rsidR="00A03E31">
        <w:rPr>
          <w:rFonts w:ascii="Times New Roman" w:hAnsi="Times New Roman" w:cs="Times New Roman"/>
        </w:rPr>
        <w:t xml:space="preserve"> Esto se remite a que el sentido de toda ley es plasmar en una constitución la materialización de una voluntad unificada de cualquier pueblo. En este sentido, una dimensión más precisa de la libertad jurídica, en cuanto externa y civil, alude al consentimiento que otorga cada ciudadano a las leyes</w:t>
      </w:r>
      <w:r w:rsidR="0097521B">
        <w:rPr>
          <w:rFonts w:ascii="Times New Roman" w:hAnsi="Times New Roman" w:cs="Times New Roman"/>
        </w:rPr>
        <w:t xml:space="preserve"> que tendrán que obedecer todos por igual</w:t>
      </w:r>
      <w:r w:rsidR="00A03E31">
        <w:rPr>
          <w:rFonts w:ascii="Times New Roman" w:hAnsi="Times New Roman" w:cs="Times New Roman"/>
        </w:rPr>
        <w:t xml:space="preserve">. </w:t>
      </w:r>
      <w:r w:rsidR="003A5127">
        <w:rPr>
          <w:rFonts w:ascii="Times New Roman" w:hAnsi="Times New Roman" w:cs="Times New Roman"/>
        </w:rPr>
        <w:t>En este último sentido, refiere Kant en la Paz Perpetua, en una nota al pie, lo siguiente: “</w:t>
      </w:r>
      <w:r w:rsidR="003A5127" w:rsidRPr="003A5127">
        <w:rPr>
          <w:rFonts w:ascii="Times New Roman" w:hAnsi="Times New Roman" w:cs="Times New Roman"/>
        </w:rPr>
        <w:t>La libertad jurídica (externa, por tanto) no puede definirse, como suele hacerse, por la competencia: &lt;&lt; Puede hacerse cuanto se quiera, si no se perjudica a nadie&gt;&gt;.</w:t>
      </w:r>
      <w:r w:rsidR="003A5127">
        <w:rPr>
          <w:rFonts w:ascii="Times New Roman" w:hAnsi="Times New Roman" w:cs="Times New Roman"/>
        </w:rPr>
        <w:t xml:space="preserve"> (…) </w:t>
      </w:r>
      <w:r w:rsidR="003A5127" w:rsidRPr="003A5127">
        <w:rPr>
          <w:rFonts w:ascii="Times New Roman" w:hAnsi="Times New Roman" w:cs="Times New Roman"/>
        </w:rPr>
        <w:t>Mi libertad exterior (jurídica) ha de explicarse mejor así: es la competencia a no obedecer ninguna ley exterior si no he podido darle mi aprobación." (PP; 1999, p.315, Nota al pie 108)</w:t>
      </w:r>
      <w:r w:rsidR="003A5127">
        <w:rPr>
          <w:rFonts w:ascii="Times New Roman" w:hAnsi="Times New Roman" w:cs="Times New Roman"/>
        </w:rPr>
        <w:t>”</w:t>
      </w:r>
    </w:p>
    <w:p w14:paraId="72728F38" w14:textId="7F715D95" w:rsidR="00162F9C" w:rsidRDefault="00A03E31" w:rsidP="00162F9C">
      <w:pPr>
        <w:spacing w:line="360" w:lineRule="auto"/>
        <w:jc w:val="both"/>
        <w:rPr>
          <w:rFonts w:ascii="Times New Roman" w:hAnsi="Times New Roman" w:cs="Times New Roman"/>
        </w:rPr>
      </w:pPr>
      <w:r>
        <w:rPr>
          <w:rFonts w:ascii="Times New Roman" w:hAnsi="Times New Roman" w:cs="Times New Roman"/>
        </w:rPr>
        <w:t>De los muchos elementos que constituyen la ciudadanía en una forma de gobierno republicana, es la libertad jurídica una que tiene una importancia fundamental y que se articula con otros conceptos clave del pensamiento político de Kant. Se refiere no solo al consentimiento,</w:t>
      </w:r>
      <w:r w:rsidR="003A5127">
        <w:rPr>
          <w:rFonts w:ascii="Times New Roman" w:hAnsi="Times New Roman" w:cs="Times New Roman"/>
        </w:rPr>
        <w:t xml:space="preserve"> como expresa el pasaje anterior, </w:t>
      </w:r>
      <w:r>
        <w:rPr>
          <w:rFonts w:ascii="Times New Roman" w:hAnsi="Times New Roman" w:cs="Times New Roman"/>
        </w:rPr>
        <w:t xml:space="preserve">sino </w:t>
      </w:r>
      <w:r w:rsidR="003A5127">
        <w:rPr>
          <w:rFonts w:ascii="Times New Roman" w:hAnsi="Times New Roman" w:cs="Times New Roman"/>
        </w:rPr>
        <w:t xml:space="preserve">que se complementa con </w:t>
      </w:r>
      <w:r>
        <w:rPr>
          <w:rFonts w:ascii="Times New Roman" w:hAnsi="Times New Roman" w:cs="Times New Roman"/>
        </w:rPr>
        <w:t xml:space="preserve">la actividad de </w:t>
      </w:r>
      <w:proofErr w:type="spellStart"/>
      <w:r>
        <w:rPr>
          <w:rFonts w:ascii="Times New Roman" w:hAnsi="Times New Roman" w:cs="Times New Roman"/>
        </w:rPr>
        <w:t>co-legislar</w:t>
      </w:r>
      <w:proofErr w:type="spellEnd"/>
      <w:r>
        <w:rPr>
          <w:rFonts w:ascii="Times New Roman" w:hAnsi="Times New Roman" w:cs="Times New Roman"/>
        </w:rPr>
        <w:t>, para lo cual hace falta una serie de condiciones que otorga la idea de ciudadano: libertad, equidad e independencia. La libertad externa se manifiesta en la capacidad de poder exigir a otros el cumplimiento de la ley, al mismo tiempo que requiere del consentimiento para su legitimidad soberana.</w:t>
      </w:r>
      <w:r w:rsidR="00AD3154">
        <w:rPr>
          <w:rFonts w:ascii="Times New Roman" w:hAnsi="Times New Roman" w:cs="Times New Roman"/>
        </w:rPr>
        <w:t xml:space="preserve"> Kant, al explorar el principio de igualdad entre los ciudadanos, refiere que: </w:t>
      </w:r>
      <w:r w:rsidR="00AD3154" w:rsidRPr="00AD3154">
        <w:rPr>
          <w:rFonts w:ascii="Times New Roman" w:hAnsi="Times New Roman" w:cs="Times New Roman"/>
        </w:rPr>
        <w:t>"La igualdad en tanto súbdito, cuya fórmula puede rezar así: Cada miembro de la república tiene derechos de coacción frente a cualquier otro." (</w:t>
      </w:r>
      <w:r w:rsidR="00AD3154">
        <w:rPr>
          <w:rFonts w:ascii="Times New Roman" w:hAnsi="Times New Roman" w:cs="Times New Roman"/>
        </w:rPr>
        <w:t xml:space="preserve">TP; </w:t>
      </w:r>
      <w:r w:rsidR="00AD3154" w:rsidRPr="00AD3154">
        <w:rPr>
          <w:rFonts w:ascii="Times New Roman" w:hAnsi="Times New Roman" w:cs="Times New Roman"/>
        </w:rPr>
        <w:t>1999, p. 261)</w:t>
      </w:r>
    </w:p>
    <w:p w14:paraId="30FB474E" w14:textId="787FFA78" w:rsidR="003A5127" w:rsidRDefault="00A03E31" w:rsidP="00162F9C">
      <w:pPr>
        <w:spacing w:line="360" w:lineRule="auto"/>
        <w:jc w:val="both"/>
        <w:rPr>
          <w:rFonts w:ascii="Times New Roman" w:hAnsi="Times New Roman" w:cs="Times New Roman"/>
        </w:rPr>
      </w:pPr>
      <w:r>
        <w:rPr>
          <w:rFonts w:ascii="Times New Roman" w:hAnsi="Times New Roman" w:cs="Times New Roman"/>
        </w:rPr>
        <w:t xml:space="preserve">La idea de libertad jurídica pertenece al campo de las ideas y los principios racionales; es por ello que supone una guía normativa de la razón práctica pura. En este mismo sentido, su objeto no es algo sensible, sino inteligible, y desde ese ámbito se dirige a la práctica para darle efectiva realidad, no de acuerdo a lo que ya existe, sino en virtud de las demandas de la razón misma. </w:t>
      </w:r>
      <w:r w:rsidR="003A5127">
        <w:rPr>
          <w:rFonts w:ascii="Times New Roman" w:hAnsi="Times New Roman" w:cs="Times New Roman"/>
        </w:rPr>
        <w:t xml:space="preserve">En esta línea, la </w:t>
      </w:r>
      <w:r w:rsidR="0097521B">
        <w:rPr>
          <w:rFonts w:ascii="Times New Roman" w:hAnsi="Times New Roman" w:cs="Times New Roman"/>
        </w:rPr>
        <w:t xml:space="preserve">idea de </w:t>
      </w:r>
      <w:r w:rsidR="003A5127">
        <w:rPr>
          <w:rFonts w:ascii="Times New Roman" w:hAnsi="Times New Roman" w:cs="Times New Roman"/>
        </w:rPr>
        <w:t xml:space="preserve">libertad jurídica es fundamental en </w:t>
      </w:r>
      <w:r w:rsidR="003A5127">
        <w:rPr>
          <w:rFonts w:ascii="Times New Roman" w:hAnsi="Times New Roman" w:cs="Times New Roman"/>
        </w:rPr>
        <w:lastRenderedPageBreak/>
        <w:t>un gobierno republicano, ya que éste se opone al despotismo, en donde el soberano gobierna</w:t>
      </w:r>
      <w:r w:rsidR="0097521B">
        <w:rPr>
          <w:rFonts w:ascii="Times New Roman" w:hAnsi="Times New Roman" w:cs="Times New Roman"/>
        </w:rPr>
        <w:t>, castiga</w:t>
      </w:r>
      <w:r w:rsidR="003A5127">
        <w:rPr>
          <w:rFonts w:ascii="Times New Roman" w:hAnsi="Times New Roman" w:cs="Times New Roman"/>
        </w:rPr>
        <w:t xml:space="preserve"> y legisla al mismo tiempo, sin poner una separación a su poder, considerando a los súbditos como su propiedad. Por el contrario, una forma de gobierno contraria al despotismo es la republicana, que es la única la que admite el perfil de un ciudadano, en lugar de un súbdito. Para la idea general de un ciudadano, bajo el republicanismo que Kant propone, es fundamental el papel que desarrolla ese sentido del consentimiento</w:t>
      </w:r>
      <w:r w:rsidR="0097521B">
        <w:rPr>
          <w:rFonts w:ascii="Times New Roman" w:hAnsi="Times New Roman" w:cs="Times New Roman"/>
        </w:rPr>
        <w:t xml:space="preserve"> civil</w:t>
      </w:r>
      <w:r w:rsidR="003A5127">
        <w:rPr>
          <w:rFonts w:ascii="Times New Roman" w:hAnsi="Times New Roman" w:cs="Times New Roman"/>
        </w:rPr>
        <w:t xml:space="preserve"> que engloba la idea de una libertad jurídica. </w:t>
      </w:r>
    </w:p>
    <w:p w14:paraId="0DF37F56" w14:textId="123EC4B2" w:rsidR="003A5127" w:rsidRDefault="003A5127" w:rsidP="00162F9C">
      <w:pPr>
        <w:spacing w:line="360" w:lineRule="auto"/>
        <w:jc w:val="both"/>
        <w:rPr>
          <w:rFonts w:ascii="Times New Roman" w:hAnsi="Times New Roman" w:cs="Times New Roman"/>
        </w:rPr>
      </w:pPr>
      <w:r>
        <w:rPr>
          <w:rFonts w:ascii="Times New Roman" w:hAnsi="Times New Roman" w:cs="Times New Roman"/>
        </w:rPr>
        <w:t>Este mismo sentido se expresa con el concepto de sufragio, que, en principio, se refiere a las votaciones de modo directo, pero que, bajo el sentido de la libertad jurídica, se extiende asimismo en el horizonte de la idea del consentimiento. Si bien a cada ciudadano le corresponde un voto, hay muchas instancias en que no todo ciudadano participa activamente; en este sentido, la libertad jurídica se despliega en el uso del consentimiento que se otorga a lo que hacen los representantes del pueblo, siempre y cuando no perviertan el sentido de la voluntad unida</w:t>
      </w:r>
      <w:r w:rsidR="0097521B">
        <w:rPr>
          <w:rFonts w:ascii="Times New Roman" w:hAnsi="Times New Roman" w:cs="Times New Roman"/>
        </w:rPr>
        <w:t>, ni de la justicia</w:t>
      </w:r>
      <w:r>
        <w:rPr>
          <w:rFonts w:ascii="Times New Roman" w:hAnsi="Times New Roman" w:cs="Times New Roman"/>
        </w:rPr>
        <w:t xml:space="preserve">. </w:t>
      </w:r>
    </w:p>
    <w:p w14:paraId="1467932F" w14:textId="73BBD1A3" w:rsidR="000F6A1C" w:rsidRDefault="000F6A1C" w:rsidP="00162F9C">
      <w:pPr>
        <w:spacing w:line="360" w:lineRule="auto"/>
        <w:jc w:val="both"/>
        <w:rPr>
          <w:rFonts w:ascii="Times New Roman" w:hAnsi="Times New Roman" w:cs="Times New Roman"/>
        </w:rPr>
      </w:pPr>
      <w:r>
        <w:rPr>
          <w:rFonts w:ascii="Times New Roman" w:hAnsi="Times New Roman" w:cs="Times New Roman"/>
        </w:rPr>
        <w:t xml:space="preserve">La libertad jurídica entendida como consentimiento y también como </w:t>
      </w:r>
      <w:proofErr w:type="spellStart"/>
      <w:r>
        <w:rPr>
          <w:rFonts w:ascii="Times New Roman" w:hAnsi="Times New Roman" w:cs="Times New Roman"/>
        </w:rPr>
        <w:t>co-legislación</w:t>
      </w:r>
      <w:proofErr w:type="spellEnd"/>
      <w:r>
        <w:rPr>
          <w:rFonts w:ascii="Times New Roman" w:hAnsi="Times New Roman" w:cs="Times New Roman"/>
        </w:rPr>
        <w:t xml:space="preserve">, requiere de un sistema de racionalidad pública. </w:t>
      </w:r>
      <w:r w:rsidRPr="00F70038">
        <w:rPr>
          <w:rFonts w:ascii="Times New Roman" w:hAnsi="Times New Roman" w:cs="Times New Roman"/>
        </w:rPr>
        <w:t xml:space="preserve">El uso público de la razón </w:t>
      </w:r>
      <w:r>
        <w:rPr>
          <w:rFonts w:ascii="Times New Roman" w:hAnsi="Times New Roman" w:cs="Times New Roman"/>
        </w:rPr>
        <w:t xml:space="preserve">conserva tanto la libertad de expresión y publicación, además de posibilitar todo sentido de la libertad jurídica. </w:t>
      </w:r>
      <w:r w:rsidR="00F70038">
        <w:rPr>
          <w:rFonts w:ascii="Times New Roman" w:hAnsi="Times New Roman" w:cs="Times New Roman"/>
        </w:rPr>
        <w:t xml:space="preserve">Agregado a ello, el uso público de la razón se presenta como la única solución civilizada para </w:t>
      </w:r>
      <w:r w:rsidR="00F86470">
        <w:rPr>
          <w:rFonts w:ascii="Times New Roman" w:hAnsi="Times New Roman" w:cs="Times New Roman"/>
        </w:rPr>
        <w:t xml:space="preserve">tener una alternativa a la revolución o la rebelión, </w:t>
      </w:r>
      <w:r w:rsidR="003D5C58">
        <w:rPr>
          <w:rFonts w:ascii="Times New Roman" w:hAnsi="Times New Roman" w:cs="Times New Roman"/>
        </w:rPr>
        <w:t>que,</w:t>
      </w:r>
      <w:r w:rsidR="00F86470">
        <w:rPr>
          <w:rFonts w:ascii="Times New Roman" w:hAnsi="Times New Roman" w:cs="Times New Roman"/>
        </w:rPr>
        <w:t xml:space="preserve"> para Kant, nos devuelven al estado natural y salvaje, que era justamente lo que buscábamos evitar. </w:t>
      </w:r>
      <w:r w:rsidR="00F86470">
        <w:rPr>
          <w:rStyle w:val="FootnoteReference"/>
          <w:rFonts w:ascii="Times New Roman" w:hAnsi="Times New Roman" w:cs="Times New Roman"/>
        </w:rPr>
        <w:footnoteReference w:id="4"/>
      </w:r>
    </w:p>
    <w:p w14:paraId="6BAD7855" w14:textId="52D084C1" w:rsidR="00044D3B" w:rsidRDefault="00044D3B" w:rsidP="00162F9C">
      <w:pPr>
        <w:spacing w:line="360" w:lineRule="auto"/>
        <w:jc w:val="both"/>
        <w:rPr>
          <w:rFonts w:ascii="Times New Roman" w:hAnsi="Times New Roman" w:cs="Times New Roman"/>
        </w:rPr>
      </w:pPr>
      <w:r>
        <w:rPr>
          <w:rFonts w:ascii="Times New Roman" w:hAnsi="Times New Roman" w:cs="Times New Roman"/>
        </w:rPr>
        <w:t xml:space="preserve">La libertad </w:t>
      </w:r>
      <w:r w:rsidR="00376755">
        <w:rPr>
          <w:rFonts w:ascii="Times New Roman" w:hAnsi="Times New Roman" w:cs="Times New Roman"/>
        </w:rPr>
        <w:t>civil</w:t>
      </w:r>
      <w:r>
        <w:rPr>
          <w:rFonts w:ascii="Times New Roman" w:hAnsi="Times New Roman" w:cs="Times New Roman"/>
        </w:rPr>
        <w:t xml:space="preserve"> establece un marco para que cada persona pueda realizarse plenamente de acuerdo a sus méritos, suerte y virtud, pero las leyes directamente no buscan la </w:t>
      </w:r>
      <w:r>
        <w:rPr>
          <w:rFonts w:ascii="Times New Roman" w:hAnsi="Times New Roman" w:cs="Times New Roman"/>
        </w:rPr>
        <w:lastRenderedPageBreak/>
        <w:t>felicidad de la persona</w:t>
      </w:r>
      <w:r w:rsidR="00F25D8E">
        <w:rPr>
          <w:rStyle w:val="FootnoteReference"/>
          <w:rFonts w:ascii="Times New Roman" w:hAnsi="Times New Roman" w:cs="Times New Roman"/>
        </w:rPr>
        <w:footnoteReference w:id="5"/>
      </w:r>
      <w:r>
        <w:rPr>
          <w:rFonts w:ascii="Times New Roman" w:hAnsi="Times New Roman" w:cs="Times New Roman"/>
        </w:rPr>
        <w:t>. Esta imposición sería equivalente a ejercer el despotismo de un paternalismo</w:t>
      </w:r>
      <w:r w:rsidR="00376755">
        <w:rPr>
          <w:rStyle w:val="FootnoteReference"/>
          <w:rFonts w:ascii="Times New Roman" w:hAnsi="Times New Roman" w:cs="Times New Roman"/>
        </w:rPr>
        <w:footnoteReference w:id="6"/>
      </w:r>
      <w:r>
        <w:rPr>
          <w:rFonts w:ascii="Times New Roman" w:hAnsi="Times New Roman" w:cs="Times New Roman"/>
        </w:rPr>
        <w:t xml:space="preserve">. </w:t>
      </w:r>
      <w:r w:rsidR="00376755">
        <w:rPr>
          <w:rFonts w:ascii="Times New Roman" w:hAnsi="Times New Roman" w:cs="Times New Roman"/>
        </w:rPr>
        <w:t xml:space="preserve">Así, refiere Kant que: </w:t>
      </w:r>
      <w:r w:rsidR="00376755" w:rsidRPr="00376755">
        <w:rPr>
          <w:rFonts w:ascii="Times New Roman" w:hAnsi="Times New Roman" w:cs="Times New Roman"/>
        </w:rPr>
        <w:t>“La libertad en cuanto hombre, cuyo principio para la constitución de una república expreso en la fórmula: &lt;&lt;Nadie puede obligarme a ser feliz a su manera&gt;&gt; (como se figure el bienestar de otros hombres), sino que cada uno puede buscar su felicidad por el camino que prefiera, siempre que no cause perjuicio alguno a la libertad de los demás para perseguir un fin semejante, la cual puede coexistir con la libertad de todos según una posible ley universal (es decir, según el derecho del otro).“ (</w:t>
      </w:r>
      <w:r w:rsidR="00376755">
        <w:rPr>
          <w:rFonts w:ascii="Times New Roman" w:hAnsi="Times New Roman" w:cs="Times New Roman"/>
        </w:rPr>
        <w:t xml:space="preserve">TP; </w:t>
      </w:r>
      <w:r w:rsidR="00376755" w:rsidRPr="00376755">
        <w:rPr>
          <w:rFonts w:ascii="Times New Roman" w:hAnsi="Times New Roman" w:cs="Times New Roman"/>
        </w:rPr>
        <w:t>1999, p. 260)</w:t>
      </w:r>
    </w:p>
    <w:p w14:paraId="7D5404DB" w14:textId="77777777" w:rsidR="0037643B" w:rsidRDefault="00AD3154" w:rsidP="00162F9C">
      <w:pPr>
        <w:spacing w:line="360" w:lineRule="auto"/>
        <w:jc w:val="both"/>
        <w:rPr>
          <w:rFonts w:ascii="Times New Roman" w:hAnsi="Times New Roman" w:cs="Times New Roman"/>
        </w:rPr>
      </w:pPr>
      <w:r>
        <w:rPr>
          <w:rFonts w:ascii="Times New Roman" w:hAnsi="Times New Roman" w:cs="Times New Roman"/>
        </w:rPr>
        <w:t>La igualdad de los ciudadanos es compatible con la desigualdad de sus bienes, pero esto supone equidad en las oportunidades. En este sentido, Kant rechaza la idea de nobleza hereditaria o de herencia de puestos de gobierno.</w:t>
      </w:r>
      <w:r>
        <w:rPr>
          <w:rStyle w:val="FootnoteReference"/>
          <w:rFonts w:ascii="Times New Roman" w:hAnsi="Times New Roman" w:cs="Times New Roman"/>
        </w:rPr>
        <w:footnoteReference w:id="7"/>
      </w:r>
      <w:r w:rsidR="00830E4A">
        <w:rPr>
          <w:rFonts w:ascii="Times New Roman" w:hAnsi="Times New Roman" w:cs="Times New Roman"/>
        </w:rPr>
        <w:t xml:space="preserve"> Además de libertad y equidad, el ciudadano requiere de independencia, es decir, de poder actuar como señor de sí mismo. </w:t>
      </w:r>
    </w:p>
    <w:p w14:paraId="1D752195" w14:textId="6A9DA42A" w:rsidR="00AD3154" w:rsidRDefault="00830E4A" w:rsidP="00162F9C">
      <w:pPr>
        <w:spacing w:line="360" w:lineRule="auto"/>
        <w:jc w:val="both"/>
        <w:rPr>
          <w:rFonts w:ascii="Times New Roman" w:hAnsi="Times New Roman" w:cs="Times New Roman"/>
        </w:rPr>
      </w:pPr>
      <w:r>
        <w:rPr>
          <w:rFonts w:ascii="Times New Roman" w:hAnsi="Times New Roman" w:cs="Times New Roman"/>
        </w:rPr>
        <w:t xml:space="preserve">Este supuesto remarca la importancia de la independencia de cada uno para ejercer la libertad jurídica. Kant por ello resalta: </w:t>
      </w:r>
      <w:r w:rsidRPr="00830E4A">
        <w:rPr>
          <w:rFonts w:ascii="Times New Roman" w:hAnsi="Times New Roman" w:cs="Times New Roman"/>
        </w:rPr>
        <w:t>“La independencia de un miembro de la república en cuanto ciudadano, es decir, en cuanto colegislador.</w:t>
      </w:r>
      <w:r>
        <w:rPr>
          <w:rFonts w:ascii="Times New Roman" w:hAnsi="Times New Roman" w:cs="Times New Roman"/>
        </w:rPr>
        <w:t>”</w:t>
      </w:r>
      <w:r w:rsidRPr="00830E4A">
        <w:rPr>
          <w:rFonts w:ascii="Times New Roman" w:hAnsi="Times New Roman" w:cs="Times New Roman"/>
        </w:rPr>
        <w:t xml:space="preserve"> (</w:t>
      </w:r>
      <w:r>
        <w:rPr>
          <w:rFonts w:ascii="Times New Roman" w:hAnsi="Times New Roman" w:cs="Times New Roman"/>
        </w:rPr>
        <w:t xml:space="preserve">TP; </w:t>
      </w:r>
      <w:r w:rsidRPr="00830E4A">
        <w:rPr>
          <w:rFonts w:ascii="Times New Roman" w:hAnsi="Times New Roman" w:cs="Times New Roman"/>
        </w:rPr>
        <w:t>1999, p. 265)</w:t>
      </w:r>
      <w:r w:rsidR="00F70038">
        <w:rPr>
          <w:rFonts w:ascii="Times New Roman" w:hAnsi="Times New Roman" w:cs="Times New Roman"/>
        </w:rPr>
        <w:t xml:space="preserve"> Este balance de voces, para entramar una racionalidad pública es fundamental para entablar la libertad jurídica, ya que </w:t>
      </w:r>
      <w:r w:rsidR="00F70038" w:rsidRPr="00F70038">
        <w:rPr>
          <w:rFonts w:ascii="Times New Roman" w:hAnsi="Times New Roman" w:cs="Times New Roman"/>
        </w:rPr>
        <w:t>“Ninguna voluntad particular puede ser legisladora para una república.</w:t>
      </w:r>
      <w:r w:rsidR="00F70038">
        <w:rPr>
          <w:rFonts w:ascii="Times New Roman" w:hAnsi="Times New Roman" w:cs="Times New Roman"/>
        </w:rPr>
        <w:t>”</w:t>
      </w:r>
      <w:r w:rsidR="00F70038" w:rsidRPr="00F70038">
        <w:rPr>
          <w:rFonts w:ascii="Times New Roman" w:hAnsi="Times New Roman" w:cs="Times New Roman"/>
        </w:rPr>
        <w:t xml:space="preserve"> (</w:t>
      </w:r>
      <w:r w:rsidR="00F70038">
        <w:rPr>
          <w:rFonts w:ascii="Times New Roman" w:hAnsi="Times New Roman" w:cs="Times New Roman"/>
        </w:rPr>
        <w:t xml:space="preserve">TP; </w:t>
      </w:r>
      <w:r w:rsidR="00F70038" w:rsidRPr="00F70038">
        <w:rPr>
          <w:rFonts w:ascii="Times New Roman" w:hAnsi="Times New Roman" w:cs="Times New Roman"/>
        </w:rPr>
        <w:t>1999, p. 266)</w:t>
      </w:r>
      <w:r w:rsidR="00F70038">
        <w:rPr>
          <w:rFonts w:ascii="Times New Roman" w:hAnsi="Times New Roman" w:cs="Times New Roman"/>
        </w:rPr>
        <w:t xml:space="preserve"> Para que pueda existir una voluntad general del pueblo, se debe </w:t>
      </w:r>
      <w:r w:rsidR="00F70038">
        <w:rPr>
          <w:rFonts w:ascii="Times New Roman" w:hAnsi="Times New Roman" w:cs="Times New Roman"/>
        </w:rPr>
        <w:lastRenderedPageBreak/>
        <w:t>garantizar voz</w:t>
      </w:r>
      <w:r w:rsidR="0037643B">
        <w:rPr>
          <w:rFonts w:ascii="Times New Roman" w:hAnsi="Times New Roman" w:cs="Times New Roman"/>
        </w:rPr>
        <w:t>, oportunidades equitativas</w:t>
      </w:r>
      <w:r w:rsidR="00F70038">
        <w:rPr>
          <w:rFonts w:ascii="Times New Roman" w:hAnsi="Times New Roman" w:cs="Times New Roman"/>
        </w:rPr>
        <w:t xml:space="preserve"> y participación, de suerte que exista la presencia del sentido del consentimiento y de la </w:t>
      </w:r>
      <w:proofErr w:type="spellStart"/>
      <w:r w:rsidR="00F70038">
        <w:rPr>
          <w:rFonts w:ascii="Times New Roman" w:hAnsi="Times New Roman" w:cs="Times New Roman"/>
        </w:rPr>
        <w:t>co-legislación</w:t>
      </w:r>
      <w:proofErr w:type="spellEnd"/>
      <w:r w:rsidR="00F70038">
        <w:rPr>
          <w:rFonts w:ascii="Times New Roman" w:hAnsi="Times New Roman" w:cs="Times New Roman"/>
        </w:rPr>
        <w:t>.</w:t>
      </w:r>
      <w:r w:rsidR="00F70038">
        <w:rPr>
          <w:rStyle w:val="FootnoteReference"/>
          <w:rFonts w:ascii="Times New Roman" w:hAnsi="Times New Roman" w:cs="Times New Roman"/>
        </w:rPr>
        <w:footnoteReference w:id="8"/>
      </w:r>
    </w:p>
    <w:p w14:paraId="05BF7EDF" w14:textId="69540329" w:rsidR="00F70038" w:rsidRDefault="00F70038" w:rsidP="00162F9C">
      <w:pPr>
        <w:spacing w:line="360" w:lineRule="auto"/>
        <w:jc w:val="both"/>
        <w:rPr>
          <w:rFonts w:ascii="Times New Roman" w:hAnsi="Times New Roman" w:cs="Times New Roman"/>
        </w:rPr>
      </w:pPr>
      <w:r>
        <w:rPr>
          <w:rFonts w:ascii="Times New Roman" w:hAnsi="Times New Roman" w:cs="Times New Roman"/>
        </w:rPr>
        <w:t xml:space="preserve">En el horizonte de una ciudadanía </w:t>
      </w:r>
      <w:r w:rsidR="00D10F3C">
        <w:rPr>
          <w:rFonts w:ascii="Times New Roman" w:hAnsi="Times New Roman" w:cs="Times New Roman"/>
        </w:rPr>
        <w:t xml:space="preserve">en </w:t>
      </w:r>
      <w:r>
        <w:rPr>
          <w:rFonts w:ascii="Times New Roman" w:hAnsi="Times New Roman" w:cs="Times New Roman"/>
        </w:rPr>
        <w:t xml:space="preserve">que </w:t>
      </w:r>
      <w:r w:rsidR="00D10F3C">
        <w:rPr>
          <w:rFonts w:ascii="Times New Roman" w:hAnsi="Times New Roman" w:cs="Times New Roman"/>
        </w:rPr>
        <w:t xml:space="preserve">se </w:t>
      </w:r>
      <w:r>
        <w:rPr>
          <w:rFonts w:ascii="Times New Roman" w:hAnsi="Times New Roman" w:cs="Times New Roman"/>
        </w:rPr>
        <w:t xml:space="preserve">cuente con </w:t>
      </w:r>
      <w:r w:rsidR="00D10F3C">
        <w:rPr>
          <w:rFonts w:ascii="Times New Roman" w:hAnsi="Times New Roman" w:cs="Times New Roman"/>
        </w:rPr>
        <w:t xml:space="preserve">la </w:t>
      </w:r>
      <w:r>
        <w:rPr>
          <w:rFonts w:ascii="Times New Roman" w:hAnsi="Times New Roman" w:cs="Times New Roman"/>
        </w:rPr>
        <w:t xml:space="preserve">libertad jurídica, tenemos el caso en que se contrapone a prácticas </w:t>
      </w:r>
      <w:r w:rsidR="00D10F3C">
        <w:rPr>
          <w:rFonts w:ascii="Times New Roman" w:hAnsi="Times New Roman" w:cs="Times New Roman"/>
        </w:rPr>
        <w:t xml:space="preserve">impositivas, </w:t>
      </w:r>
      <w:r>
        <w:rPr>
          <w:rFonts w:ascii="Times New Roman" w:hAnsi="Times New Roman" w:cs="Times New Roman"/>
        </w:rPr>
        <w:t xml:space="preserve">despóticas o arbitrarias. Mientras Kant propone una forma de gobierno republicana: </w:t>
      </w:r>
      <w:r w:rsidRPr="00F70038">
        <w:rPr>
          <w:rFonts w:ascii="Times New Roman" w:hAnsi="Times New Roman" w:cs="Times New Roman"/>
        </w:rPr>
        <w:t xml:space="preserve">“Hobbes es de la opinión opuesta. Según él (De </w:t>
      </w:r>
      <w:proofErr w:type="spellStart"/>
      <w:r w:rsidRPr="00F70038">
        <w:rPr>
          <w:rFonts w:ascii="Times New Roman" w:hAnsi="Times New Roman" w:cs="Times New Roman"/>
        </w:rPr>
        <w:t>Cive</w:t>
      </w:r>
      <w:proofErr w:type="spellEnd"/>
      <w:r w:rsidRPr="00F70038">
        <w:rPr>
          <w:rFonts w:ascii="Times New Roman" w:hAnsi="Times New Roman" w:cs="Times New Roman"/>
        </w:rPr>
        <w:t xml:space="preserve">, cap. 7, §14), el jefe de Estado no está vinculado en modo alguno al pueblo mediante contrato, y no puede cometer injusticia con el ciudadano (del que puede disponer como quiera). </w:t>
      </w:r>
      <w:r>
        <w:rPr>
          <w:rFonts w:ascii="Times New Roman" w:hAnsi="Times New Roman" w:cs="Times New Roman"/>
        </w:rPr>
        <w:t xml:space="preserve">(..) </w:t>
      </w:r>
      <w:r w:rsidRPr="00F70038">
        <w:rPr>
          <w:rFonts w:ascii="Times New Roman" w:hAnsi="Times New Roman" w:cs="Times New Roman"/>
        </w:rPr>
        <w:t>en su generalidad, la tesis es espantosa</w:t>
      </w:r>
      <w:r>
        <w:rPr>
          <w:rFonts w:ascii="Times New Roman" w:hAnsi="Times New Roman" w:cs="Times New Roman"/>
        </w:rPr>
        <w:t>.”</w:t>
      </w:r>
      <w:r w:rsidRPr="00F70038">
        <w:rPr>
          <w:rFonts w:ascii="Times New Roman" w:hAnsi="Times New Roman" w:cs="Times New Roman"/>
        </w:rPr>
        <w:t xml:space="preserve"> (</w:t>
      </w:r>
      <w:r>
        <w:rPr>
          <w:rFonts w:ascii="Times New Roman" w:hAnsi="Times New Roman" w:cs="Times New Roman"/>
        </w:rPr>
        <w:t xml:space="preserve">TP; </w:t>
      </w:r>
      <w:r w:rsidRPr="00F70038">
        <w:rPr>
          <w:rFonts w:ascii="Times New Roman" w:hAnsi="Times New Roman" w:cs="Times New Roman"/>
        </w:rPr>
        <w:t>1999, p. 276)</w:t>
      </w:r>
      <w:r>
        <w:rPr>
          <w:rFonts w:ascii="Times New Roman" w:hAnsi="Times New Roman" w:cs="Times New Roman"/>
        </w:rPr>
        <w:t xml:space="preserve"> Kant se opone a Hobbes y el absolutismo de su soberano, por cuanto niega esta libertad fundamental, que es externa, civil, recíproca y jurídica. A diferencia de Hobbes, para Kant el contrato originario involucra y presupone la responsabilidad civil del gobernante.  </w:t>
      </w:r>
    </w:p>
    <w:p w14:paraId="53F81A27" w14:textId="07C8B81C" w:rsidR="003D5C58" w:rsidRDefault="003D5C58" w:rsidP="003D5C58">
      <w:pPr>
        <w:spacing w:line="360" w:lineRule="auto"/>
        <w:jc w:val="both"/>
        <w:rPr>
          <w:rFonts w:ascii="Times New Roman" w:hAnsi="Times New Roman" w:cs="Times New Roman"/>
        </w:rPr>
      </w:pPr>
      <w:r>
        <w:rPr>
          <w:rFonts w:ascii="Times New Roman" w:hAnsi="Times New Roman" w:cs="Times New Roman"/>
        </w:rPr>
        <w:t xml:space="preserve">Por ejemplo, a la hora de decidir si entrar o no en guerra, el soberano debe decidir algo que representa la integridad de sus protegidos. En último término, necesita del consentimiento de quienes marcharán. Kant señala: </w:t>
      </w:r>
      <w:r w:rsidRPr="003D5C58">
        <w:rPr>
          <w:rFonts w:ascii="Times New Roman" w:hAnsi="Times New Roman" w:cs="Times New Roman"/>
        </w:rPr>
        <w:t>“Si es precisa la aprobación de los ciudadanos (como no puede ser de otro modo en esta constitución) para decidir &lt;si debe haber guerra o no&gt;, es muy natural que se piensen mucho el comenzar un juego tan maligno.</w:t>
      </w:r>
      <w:r>
        <w:rPr>
          <w:rFonts w:ascii="Times New Roman" w:hAnsi="Times New Roman" w:cs="Times New Roman"/>
        </w:rPr>
        <w:t>”</w:t>
      </w:r>
      <w:r w:rsidRPr="003D5C58">
        <w:rPr>
          <w:rFonts w:ascii="Times New Roman" w:hAnsi="Times New Roman" w:cs="Times New Roman"/>
        </w:rPr>
        <w:t xml:space="preserve"> (</w:t>
      </w:r>
      <w:r>
        <w:rPr>
          <w:rFonts w:ascii="Times New Roman" w:hAnsi="Times New Roman" w:cs="Times New Roman"/>
        </w:rPr>
        <w:t xml:space="preserve">TP; </w:t>
      </w:r>
      <w:r w:rsidRPr="003D5C58">
        <w:rPr>
          <w:rFonts w:ascii="Times New Roman" w:hAnsi="Times New Roman" w:cs="Times New Roman"/>
        </w:rPr>
        <w:t>1999, p. 316)</w:t>
      </w:r>
      <w:r>
        <w:rPr>
          <w:rFonts w:ascii="Times New Roman" w:hAnsi="Times New Roman" w:cs="Times New Roman"/>
        </w:rPr>
        <w:t xml:space="preserve"> Luego agrega lo siguiente: </w:t>
      </w:r>
      <w:r w:rsidRPr="003D5C58">
        <w:rPr>
          <w:rFonts w:ascii="Times New Roman" w:hAnsi="Times New Roman" w:cs="Times New Roman"/>
        </w:rPr>
        <w:t>“Por el contrario, en una constitución en la que el súbdito no es ciudadano, y que, por tanto, no es republicana, la guerra es la cosa más sencilla del mundo, porque el jefe del Estado no es miembro del Estado, sino su propietario.</w:t>
      </w:r>
      <w:r>
        <w:rPr>
          <w:rFonts w:ascii="Times New Roman" w:hAnsi="Times New Roman" w:cs="Times New Roman"/>
        </w:rPr>
        <w:t>”</w:t>
      </w:r>
      <w:r w:rsidRPr="003D5C58">
        <w:rPr>
          <w:rFonts w:ascii="Times New Roman" w:hAnsi="Times New Roman" w:cs="Times New Roman"/>
        </w:rPr>
        <w:t xml:space="preserve"> (</w:t>
      </w:r>
      <w:r>
        <w:rPr>
          <w:rFonts w:ascii="Times New Roman" w:hAnsi="Times New Roman" w:cs="Times New Roman"/>
        </w:rPr>
        <w:t xml:space="preserve">TP; </w:t>
      </w:r>
      <w:r w:rsidRPr="003D5C58">
        <w:rPr>
          <w:rFonts w:ascii="Times New Roman" w:hAnsi="Times New Roman" w:cs="Times New Roman"/>
        </w:rPr>
        <w:t>1999, p. 316)</w:t>
      </w:r>
      <w:r>
        <w:rPr>
          <w:rFonts w:ascii="Times New Roman" w:hAnsi="Times New Roman" w:cs="Times New Roman"/>
        </w:rPr>
        <w:t xml:space="preserve"> Es en el escenario de la guerra, contraparte de la paz, que contrasta la importancia de la libertad jurídica en el horizonte de una forma de gobierno que no sea despótica, sino republicana. </w:t>
      </w:r>
    </w:p>
    <w:p w14:paraId="1F1A2610" w14:textId="77777777" w:rsidR="00D03B21" w:rsidRDefault="003D5C58" w:rsidP="003D5C58">
      <w:pPr>
        <w:spacing w:line="360" w:lineRule="auto"/>
        <w:jc w:val="both"/>
        <w:rPr>
          <w:rFonts w:ascii="Times New Roman" w:hAnsi="Times New Roman" w:cs="Times New Roman"/>
        </w:rPr>
      </w:pPr>
      <w:r>
        <w:rPr>
          <w:rFonts w:ascii="Times New Roman" w:hAnsi="Times New Roman" w:cs="Times New Roman"/>
        </w:rPr>
        <w:t xml:space="preserve">La libertad jurídica, por todo lo revisado, se refiere principalmente al involucramiento activo que tiene todo ciudadano en su sociedad. En la medida </w:t>
      </w:r>
      <w:r w:rsidR="00D03B21">
        <w:rPr>
          <w:rFonts w:ascii="Times New Roman" w:hAnsi="Times New Roman" w:cs="Times New Roman"/>
        </w:rPr>
        <w:t xml:space="preserve">en </w:t>
      </w:r>
      <w:r>
        <w:rPr>
          <w:rFonts w:ascii="Times New Roman" w:hAnsi="Times New Roman" w:cs="Times New Roman"/>
        </w:rPr>
        <w:t>que es una libertad externa, tiene como encuentro y límite, la libertad de otros. Desde que la ley enuncia un mandato para el orden y bienestar de todos, luego todos podemos reclamar el cumplimiento a la ley a todo otro ciudadano.</w:t>
      </w:r>
      <w:r w:rsidR="00D03B21">
        <w:rPr>
          <w:rFonts w:ascii="Times New Roman" w:hAnsi="Times New Roman" w:cs="Times New Roman"/>
        </w:rPr>
        <w:t xml:space="preserve"> L</w:t>
      </w:r>
      <w:r>
        <w:rPr>
          <w:rFonts w:ascii="Times New Roman" w:hAnsi="Times New Roman" w:cs="Times New Roman"/>
        </w:rPr>
        <w:t xml:space="preserve">a libertad jurídica se expone en la capacidad para </w:t>
      </w:r>
      <w:proofErr w:type="spellStart"/>
      <w:r>
        <w:rPr>
          <w:rFonts w:ascii="Times New Roman" w:hAnsi="Times New Roman" w:cs="Times New Roman"/>
        </w:rPr>
        <w:t>co-legislar</w:t>
      </w:r>
      <w:proofErr w:type="spellEnd"/>
      <w:r>
        <w:rPr>
          <w:rFonts w:ascii="Times New Roman" w:hAnsi="Times New Roman" w:cs="Times New Roman"/>
        </w:rPr>
        <w:t>, en la medida en que la voluntad general y unificada del pueblo nace de la deliberación y del diálogo racional</w:t>
      </w:r>
      <w:r w:rsidR="00992676">
        <w:rPr>
          <w:rFonts w:ascii="Times New Roman" w:hAnsi="Times New Roman" w:cs="Times New Roman"/>
        </w:rPr>
        <w:t xml:space="preserve">. Por todo ello, el concepto fundamental que </w:t>
      </w:r>
      <w:r w:rsidR="00992676">
        <w:rPr>
          <w:rFonts w:ascii="Times New Roman" w:hAnsi="Times New Roman" w:cs="Times New Roman"/>
        </w:rPr>
        <w:lastRenderedPageBreak/>
        <w:t>cohesiona todos estos elementos, puede bien encontrarse en la función de aprobación y autorización que ejerce cada ciudadano desde su libertad, equidad e independencia. La libertad jurídica, por todo lo dicho, se remite finalmente a un consentimiento que es precisamente el que otorga legitimidad a toda ley y todo decreto</w:t>
      </w:r>
      <w:r w:rsidR="00D03B21">
        <w:rPr>
          <w:rFonts w:ascii="Times New Roman" w:hAnsi="Times New Roman" w:cs="Times New Roman"/>
        </w:rPr>
        <w:t>, en el sentido civil</w:t>
      </w:r>
      <w:r w:rsidR="00992676">
        <w:rPr>
          <w:rFonts w:ascii="Times New Roman" w:hAnsi="Times New Roman" w:cs="Times New Roman"/>
        </w:rPr>
        <w:t>.</w:t>
      </w:r>
    </w:p>
    <w:p w14:paraId="072D35AE" w14:textId="24A6ACDA" w:rsidR="003D5C58" w:rsidRDefault="00D03B21" w:rsidP="003D5C58">
      <w:pPr>
        <w:spacing w:line="360" w:lineRule="auto"/>
        <w:jc w:val="both"/>
        <w:rPr>
          <w:rFonts w:ascii="Times New Roman" w:hAnsi="Times New Roman" w:cs="Times New Roman"/>
        </w:rPr>
      </w:pPr>
      <w:r>
        <w:rPr>
          <w:rFonts w:ascii="Times New Roman" w:hAnsi="Times New Roman" w:cs="Times New Roman"/>
        </w:rPr>
        <w:t xml:space="preserve">Luego de revisar el concepto de libertad jurídica en Kant, podemos considerar el ámbito de la idea de ciudadanía, ya que ésta se articula alrededor de la idea desarrollada en este apartado. Sobre la idea de ciudadanía, a su vez, revisaremos algunos conceptos sobre la forma de gobierno republicana que propone Kant. En todo nivel, la idea del consentimiento y la </w:t>
      </w:r>
      <w:proofErr w:type="spellStart"/>
      <w:r>
        <w:rPr>
          <w:rFonts w:ascii="Times New Roman" w:hAnsi="Times New Roman" w:cs="Times New Roman"/>
        </w:rPr>
        <w:t>co-legislación</w:t>
      </w:r>
      <w:proofErr w:type="spellEnd"/>
      <w:r>
        <w:rPr>
          <w:rFonts w:ascii="Times New Roman" w:hAnsi="Times New Roman" w:cs="Times New Roman"/>
        </w:rPr>
        <w:t xml:space="preserve"> serán fundamentales para la idea de lo civil. </w:t>
      </w:r>
    </w:p>
    <w:p w14:paraId="35EB504D" w14:textId="77777777" w:rsidR="00A03E31" w:rsidRDefault="00A03E31" w:rsidP="00A03E31">
      <w:pPr>
        <w:spacing w:line="360" w:lineRule="auto"/>
        <w:jc w:val="right"/>
        <w:rPr>
          <w:rFonts w:ascii="Times New Roman" w:hAnsi="Times New Roman" w:cs="Times New Roman"/>
        </w:rPr>
      </w:pPr>
    </w:p>
    <w:p w14:paraId="5C429E7B" w14:textId="77777777" w:rsidR="00AD3154" w:rsidRPr="00162F9C" w:rsidRDefault="00AD3154" w:rsidP="00A03E31">
      <w:pPr>
        <w:spacing w:line="360" w:lineRule="auto"/>
        <w:jc w:val="right"/>
        <w:rPr>
          <w:rFonts w:ascii="Times New Roman" w:hAnsi="Times New Roman" w:cs="Times New Roman"/>
        </w:rPr>
      </w:pPr>
    </w:p>
    <w:p w14:paraId="6D49F755" w14:textId="77777777" w:rsidR="00162F9C" w:rsidRPr="00162F9C" w:rsidRDefault="00162F9C" w:rsidP="00162F9C">
      <w:pPr>
        <w:spacing w:line="360" w:lineRule="auto"/>
        <w:jc w:val="both"/>
        <w:rPr>
          <w:rFonts w:ascii="Times New Roman" w:hAnsi="Times New Roman" w:cs="Times New Roman"/>
        </w:rPr>
      </w:pPr>
    </w:p>
    <w:sectPr w:rsidR="00162F9C" w:rsidRPr="00162F9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A2032" w14:textId="77777777" w:rsidR="00C10BCF" w:rsidRDefault="00C10BCF" w:rsidP="00A03E31">
      <w:pPr>
        <w:spacing w:after="0" w:line="240" w:lineRule="auto"/>
      </w:pPr>
      <w:r>
        <w:separator/>
      </w:r>
    </w:p>
  </w:endnote>
  <w:endnote w:type="continuationSeparator" w:id="0">
    <w:p w14:paraId="6CCE2AEF" w14:textId="77777777" w:rsidR="00C10BCF" w:rsidRDefault="00C10BCF" w:rsidP="00A03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69ED8" w14:textId="77777777" w:rsidR="00C10BCF" w:rsidRDefault="00C10BCF" w:rsidP="00A03E31">
      <w:pPr>
        <w:spacing w:after="0" w:line="240" w:lineRule="auto"/>
      </w:pPr>
      <w:r>
        <w:separator/>
      </w:r>
    </w:p>
  </w:footnote>
  <w:footnote w:type="continuationSeparator" w:id="0">
    <w:p w14:paraId="4822D55B" w14:textId="77777777" w:rsidR="00C10BCF" w:rsidRDefault="00C10BCF" w:rsidP="00A03E31">
      <w:pPr>
        <w:spacing w:after="0" w:line="240" w:lineRule="auto"/>
      </w:pPr>
      <w:r>
        <w:continuationSeparator/>
      </w:r>
    </w:p>
  </w:footnote>
  <w:footnote w:id="1">
    <w:p w14:paraId="1ECE5952" w14:textId="0802E312" w:rsidR="000816AC" w:rsidRPr="00376755" w:rsidRDefault="000816AC" w:rsidP="00C407BC">
      <w:pPr>
        <w:pStyle w:val="FootnoteText"/>
        <w:jc w:val="both"/>
        <w:rPr>
          <w:rFonts w:ascii="Times New Roman" w:hAnsi="Times New Roman" w:cs="Times New Roman"/>
          <w:i/>
          <w:iCs/>
          <w:lang w:val="es-MX"/>
        </w:rPr>
      </w:pPr>
      <w:r w:rsidRPr="001E309C">
        <w:rPr>
          <w:rStyle w:val="FootnoteReference"/>
          <w:rFonts w:ascii="Times New Roman" w:hAnsi="Times New Roman" w:cs="Times New Roman"/>
        </w:rPr>
        <w:footnoteRef/>
      </w:r>
      <w:r w:rsidRPr="001E309C">
        <w:rPr>
          <w:rFonts w:ascii="Times New Roman" w:hAnsi="Times New Roman" w:cs="Times New Roman"/>
        </w:rPr>
        <w:t xml:space="preserve"> </w:t>
      </w:r>
      <w:r w:rsidR="001E309C">
        <w:rPr>
          <w:rFonts w:ascii="Times New Roman" w:hAnsi="Times New Roman" w:cs="Times New Roman"/>
        </w:rPr>
        <w:t xml:space="preserve">Kant postula en los </w:t>
      </w:r>
      <w:r w:rsidR="001E309C" w:rsidRPr="001E309C">
        <w:rPr>
          <w:rFonts w:ascii="Times New Roman" w:hAnsi="Times New Roman" w:cs="Times New Roman"/>
          <w:i/>
          <w:iCs/>
        </w:rPr>
        <w:t>Principios metafísicos del derecho</w:t>
      </w:r>
      <w:r w:rsidR="001E309C">
        <w:rPr>
          <w:rFonts w:ascii="Times New Roman" w:hAnsi="Times New Roman" w:cs="Times New Roman"/>
          <w:i/>
          <w:iCs/>
        </w:rPr>
        <w:t xml:space="preserve"> </w:t>
      </w:r>
      <w:r w:rsidR="001E309C">
        <w:rPr>
          <w:rFonts w:ascii="Times New Roman" w:hAnsi="Times New Roman" w:cs="Times New Roman"/>
        </w:rPr>
        <w:t>(2008), primera parte de la Metafísica de las costumbres, el p</w:t>
      </w:r>
      <w:r w:rsidRPr="001E309C">
        <w:rPr>
          <w:rFonts w:ascii="Times New Roman" w:hAnsi="Times New Roman" w:cs="Times New Roman"/>
        </w:rPr>
        <w:t>rincipio universal del derecho: “Es justa toda acción que, por sí, por su máxima, no es un obstáculo a la conformidad de la libertad del arbitrio de todos con la libertad de cada uno según leyes universales.” (MM; 2008, p. 42)</w:t>
      </w:r>
      <w:r w:rsidR="001E309C">
        <w:rPr>
          <w:rFonts w:ascii="Times New Roman" w:hAnsi="Times New Roman" w:cs="Times New Roman"/>
        </w:rPr>
        <w:t xml:space="preserve"> Para distinguir este uso de otros, podemos considerar este sentido en cuanto una libertad recíproca. </w:t>
      </w:r>
      <w:r w:rsidR="00CA5C08">
        <w:rPr>
          <w:rFonts w:ascii="Times New Roman" w:hAnsi="Times New Roman" w:cs="Times New Roman"/>
        </w:rPr>
        <w:t xml:space="preserve">Kant </w:t>
      </w:r>
      <w:r w:rsidR="00376755">
        <w:rPr>
          <w:rFonts w:ascii="Times New Roman" w:hAnsi="Times New Roman" w:cs="Times New Roman"/>
        </w:rPr>
        <w:t xml:space="preserve">había expresado en el texto sobre Teoría y práctica lo siguiente: </w:t>
      </w:r>
      <w:r w:rsidR="00376755" w:rsidRPr="00376755">
        <w:rPr>
          <w:rFonts w:ascii="Times New Roman" w:hAnsi="Times New Roman" w:cs="Times New Roman"/>
        </w:rPr>
        <w:t>“El derecho es la limitación de la libertad de cada uno a la condición de su concordancia con la libertad de todos, en cuanto sea posible según una ley universal.</w:t>
      </w:r>
      <w:r w:rsidR="00376755">
        <w:rPr>
          <w:rFonts w:ascii="Times New Roman" w:hAnsi="Times New Roman" w:cs="Times New Roman"/>
        </w:rPr>
        <w:t>”</w:t>
      </w:r>
      <w:r w:rsidR="00376755" w:rsidRPr="00376755">
        <w:rPr>
          <w:rFonts w:ascii="Times New Roman" w:hAnsi="Times New Roman" w:cs="Times New Roman"/>
        </w:rPr>
        <w:t xml:space="preserve"> (</w:t>
      </w:r>
      <w:r w:rsidR="00376755">
        <w:rPr>
          <w:rFonts w:ascii="Times New Roman" w:hAnsi="Times New Roman" w:cs="Times New Roman"/>
        </w:rPr>
        <w:t xml:space="preserve">TP; </w:t>
      </w:r>
      <w:r w:rsidR="00376755" w:rsidRPr="00376755">
        <w:rPr>
          <w:rFonts w:ascii="Times New Roman" w:hAnsi="Times New Roman" w:cs="Times New Roman"/>
        </w:rPr>
        <w:t>1999, p. 259)</w:t>
      </w:r>
    </w:p>
  </w:footnote>
  <w:footnote w:id="2">
    <w:p w14:paraId="479F259B" w14:textId="03BE690B" w:rsidR="000F6A1C" w:rsidRPr="00C407BC" w:rsidRDefault="000F6A1C" w:rsidP="00C407BC">
      <w:pPr>
        <w:pStyle w:val="FootnoteText"/>
        <w:jc w:val="both"/>
        <w:rPr>
          <w:rFonts w:ascii="Times New Roman" w:hAnsi="Times New Roman" w:cs="Times New Roman"/>
          <w:lang w:val="es-MX"/>
        </w:rPr>
      </w:pPr>
      <w:r w:rsidRPr="00C407BC">
        <w:rPr>
          <w:rStyle w:val="FootnoteReference"/>
          <w:rFonts w:ascii="Times New Roman" w:hAnsi="Times New Roman" w:cs="Times New Roman"/>
        </w:rPr>
        <w:footnoteRef/>
      </w:r>
      <w:r w:rsidRPr="00C407BC">
        <w:rPr>
          <w:rFonts w:ascii="Times New Roman" w:hAnsi="Times New Roman" w:cs="Times New Roman"/>
        </w:rPr>
        <w:t xml:space="preserve">  En este sentido, en </w:t>
      </w:r>
      <w:r w:rsidRPr="00C407BC">
        <w:rPr>
          <w:rFonts w:ascii="Times New Roman" w:hAnsi="Times New Roman" w:cs="Times New Roman"/>
          <w:i/>
          <w:iCs/>
          <w:lang w:val="es-MX"/>
        </w:rPr>
        <w:t xml:space="preserve">Sobre el tópico: Esto puede ser correcto en teoría, pero no vale para la práctica </w:t>
      </w:r>
      <w:r w:rsidRPr="00C407BC">
        <w:rPr>
          <w:rFonts w:ascii="Times New Roman" w:hAnsi="Times New Roman" w:cs="Times New Roman"/>
          <w:lang w:val="es-MX"/>
        </w:rPr>
        <w:t>(1999)</w:t>
      </w:r>
      <w:r w:rsidR="00C407BC" w:rsidRPr="00C407BC">
        <w:rPr>
          <w:rFonts w:ascii="Times New Roman" w:hAnsi="Times New Roman" w:cs="Times New Roman"/>
          <w:lang w:val="es-MX"/>
        </w:rPr>
        <w:t xml:space="preserve">, señala Kant lo siguiente: </w:t>
      </w:r>
      <w:r w:rsidR="00C407BC">
        <w:rPr>
          <w:rFonts w:ascii="Times New Roman" w:hAnsi="Times New Roman" w:cs="Times New Roman"/>
          <w:lang w:val="es-MX"/>
        </w:rPr>
        <w:t>“En l</w:t>
      </w:r>
      <w:r w:rsidR="00C407BC" w:rsidRPr="00C407BC">
        <w:rPr>
          <w:rFonts w:ascii="Times New Roman" w:hAnsi="Times New Roman" w:cs="Times New Roman"/>
          <w:lang w:val="es-MX"/>
        </w:rPr>
        <w:t xml:space="preserve">os hombres en todas sus relaciones externas, en general, que no pueden evitar el llegar a un influjo recíproco, es un deber primordial e incondicionado: tal unión sólo puede encontrarse en una sociedad en la medida en que ésta se halle en el estado civil, es decir, en que constituya una </w:t>
      </w:r>
      <w:r w:rsidR="00C407BC" w:rsidRPr="00C407BC">
        <w:rPr>
          <w:rFonts w:ascii="Times New Roman" w:hAnsi="Times New Roman" w:cs="Times New Roman"/>
          <w:lang w:val="es-MX"/>
        </w:rPr>
        <w:t>república.</w:t>
      </w:r>
      <w:r w:rsidR="00C407BC">
        <w:rPr>
          <w:rFonts w:ascii="Times New Roman" w:hAnsi="Times New Roman" w:cs="Times New Roman"/>
          <w:lang w:val="es-MX"/>
        </w:rPr>
        <w:t xml:space="preserve">” </w:t>
      </w:r>
      <w:r w:rsidR="00C407BC" w:rsidRPr="00C407BC">
        <w:rPr>
          <w:rFonts w:ascii="Times New Roman" w:hAnsi="Times New Roman" w:cs="Times New Roman"/>
          <w:lang w:val="es-MX"/>
        </w:rPr>
        <w:t>(</w:t>
      </w:r>
      <w:r w:rsidR="00C407BC" w:rsidRPr="00C407BC">
        <w:rPr>
          <w:rFonts w:ascii="Times New Roman" w:hAnsi="Times New Roman" w:cs="Times New Roman"/>
          <w:lang w:val="es-MX"/>
        </w:rPr>
        <w:t>TP; 1999, p. 258)</w:t>
      </w:r>
      <w:r w:rsidR="00C407BC">
        <w:rPr>
          <w:rFonts w:ascii="Times New Roman" w:hAnsi="Times New Roman" w:cs="Times New Roman"/>
          <w:lang w:val="es-MX"/>
        </w:rPr>
        <w:t xml:space="preserve"> y agrega a continuación: </w:t>
      </w:r>
      <w:r w:rsidR="00C407BC" w:rsidRPr="00C407BC">
        <w:rPr>
          <w:rFonts w:ascii="Times New Roman" w:hAnsi="Times New Roman" w:cs="Times New Roman"/>
          <w:lang w:val="es-MX"/>
        </w:rPr>
        <w:t xml:space="preserve">“El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w:t>
      </w:r>
      <w:r w:rsidR="00044D3B" w:rsidRPr="00C407BC">
        <w:rPr>
          <w:rFonts w:ascii="Times New Roman" w:hAnsi="Times New Roman" w:cs="Times New Roman"/>
          <w:lang w:val="es-MX"/>
        </w:rPr>
        <w:t>otro.</w:t>
      </w:r>
      <w:r w:rsidR="00044D3B">
        <w:rPr>
          <w:rFonts w:ascii="Times New Roman" w:hAnsi="Times New Roman" w:cs="Times New Roman"/>
          <w:lang w:val="es-MX"/>
        </w:rPr>
        <w:t>”</w:t>
      </w:r>
      <w:r w:rsidR="00C407BC" w:rsidRPr="00C407BC">
        <w:rPr>
          <w:rFonts w:ascii="Times New Roman" w:hAnsi="Times New Roman" w:cs="Times New Roman"/>
          <w:lang w:val="es-MX"/>
        </w:rPr>
        <w:t xml:space="preserve"> (</w:t>
      </w:r>
      <w:r w:rsidR="00C407BC">
        <w:rPr>
          <w:rFonts w:ascii="Times New Roman" w:hAnsi="Times New Roman" w:cs="Times New Roman"/>
          <w:lang w:val="es-MX"/>
        </w:rPr>
        <w:t xml:space="preserve">TP; </w:t>
      </w:r>
      <w:r w:rsidR="00C407BC" w:rsidRPr="00C407BC">
        <w:rPr>
          <w:rFonts w:ascii="Times New Roman" w:hAnsi="Times New Roman" w:cs="Times New Roman"/>
          <w:lang w:val="es-MX"/>
        </w:rPr>
        <w:t>1999, p. 259)</w:t>
      </w:r>
    </w:p>
  </w:footnote>
  <w:footnote w:id="3">
    <w:p w14:paraId="3A30CE39" w14:textId="1FE7052B" w:rsidR="001E309C" w:rsidRPr="001E309C" w:rsidRDefault="001E309C" w:rsidP="001E309C">
      <w:pPr>
        <w:pStyle w:val="FootnoteText"/>
        <w:jc w:val="both"/>
        <w:rPr>
          <w:rFonts w:ascii="Times New Roman" w:hAnsi="Times New Roman" w:cs="Times New Roman"/>
          <w:lang w:val="es-MX"/>
        </w:rPr>
      </w:pPr>
      <w:r w:rsidRPr="001E309C">
        <w:rPr>
          <w:rStyle w:val="FootnoteReference"/>
          <w:rFonts w:ascii="Times New Roman" w:hAnsi="Times New Roman" w:cs="Times New Roman"/>
        </w:rPr>
        <w:footnoteRef/>
      </w:r>
      <w:r w:rsidRPr="001E309C">
        <w:rPr>
          <w:rFonts w:ascii="Times New Roman" w:hAnsi="Times New Roman" w:cs="Times New Roman"/>
        </w:rPr>
        <w:t xml:space="preserve"> </w:t>
      </w:r>
      <w:r w:rsidRPr="001E309C">
        <w:rPr>
          <w:rFonts w:ascii="Times New Roman" w:hAnsi="Times New Roman" w:cs="Times New Roman"/>
          <w:lang w:val="es-MX"/>
        </w:rPr>
        <w:t xml:space="preserve">Refiere Kant en </w:t>
      </w:r>
      <w:r w:rsidR="003A5127" w:rsidRPr="003A5127">
        <w:rPr>
          <w:rFonts w:ascii="Times New Roman" w:hAnsi="Times New Roman" w:cs="Times New Roman"/>
          <w:i/>
          <w:iCs/>
          <w:lang w:val="es-MX"/>
        </w:rPr>
        <w:t>Sobre el tópico</w:t>
      </w:r>
      <w:r w:rsidR="00044D3B">
        <w:rPr>
          <w:rFonts w:ascii="Times New Roman" w:hAnsi="Times New Roman" w:cs="Times New Roman"/>
          <w:i/>
          <w:iCs/>
          <w:lang w:val="es-MX"/>
        </w:rPr>
        <w:t>…</w:t>
      </w:r>
      <w:r>
        <w:rPr>
          <w:rFonts w:ascii="Times New Roman" w:hAnsi="Times New Roman" w:cs="Times New Roman"/>
          <w:lang w:val="es-MX"/>
        </w:rPr>
        <w:t>(1999)</w:t>
      </w:r>
      <w:r w:rsidRPr="001E309C">
        <w:rPr>
          <w:rFonts w:ascii="Times New Roman" w:hAnsi="Times New Roman" w:cs="Times New Roman"/>
          <w:lang w:val="es-MX"/>
        </w:rPr>
        <w:t xml:space="preserve">: </w:t>
      </w:r>
      <w:r w:rsidRPr="001E309C">
        <w:rPr>
          <w:rFonts w:ascii="Times New Roman" w:hAnsi="Times New Roman" w:cs="Times New Roman"/>
          <w:lang w:val="es-MX"/>
        </w:rPr>
        <w:t xml:space="preserve">“Una ley pública, que determina para todos lo que debe estar jurídicamente permitido o prohibido, es el acto de una voluntad pública, de que procede todo derecho, y, por ende, no ha de suponer injusticia contra </w:t>
      </w:r>
      <w:r w:rsidRPr="001E309C">
        <w:rPr>
          <w:rFonts w:ascii="Times New Roman" w:hAnsi="Times New Roman" w:cs="Times New Roman"/>
          <w:lang w:val="es-MX"/>
        </w:rPr>
        <w:t>nadie. “(</w:t>
      </w:r>
      <w:r>
        <w:rPr>
          <w:rFonts w:ascii="Times New Roman" w:hAnsi="Times New Roman" w:cs="Times New Roman"/>
          <w:lang w:val="es-MX"/>
        </w:rPr>
        <w:t xml:space="preserve">TP; </w:t>
      </w:r>
      <w:r w:rsidRPr="001E309C">
        <w:rPr>
          <w:rFonts w:ascii="Times New Roman" w:hAnsi="Times New Roman" w:cs="Times New Roman"/>
          <w:lang w:val="es-MX"/>
        </w:rPr>
        <w:t>1999, p. 265)</w:t>
      </w:r>
    </w:p>
  </w:footnote>
  <w:footnote w:id="4">
    <w:p w14:paraId="0CA7AA55" w14:textId="0F07DA4E" w:rsidR="00F86470" w:rsidRPr="00F86470" w:rsidRDefault="00F86470" w:rsidP="00F86470">
      <w:pPr>
        <w:pStyle w:val="FootnoteText"/>
        <w:jc w:val="both"/>
        <w:rPr>
          <w:rFonts w:ascii="Times New Roman" w:hAnsi="Times New Roman" w:cs="Times New Roman"/>
        </w:rPr>
      </w:pPr>
      <w:r w:rsidRPr="00F86470">
        <w:rPr>
          <w:rStyle w:val="FootnoteReference"/>
          <w:rFonts w:ascii="Times New Roman" w:hAnsi="Times New Roman" w:cs="Times New Roman"/>
        </w:rPr>
        <w:footnoteRef/>
      </w:r>
      <w:r w:rsidRPr="00F86470">
        <w:rPr>
          <w:rFonts w:ascii="Times New Roman" w:hAnsi="Times New Roman" w:cs="Times New Roman"/>
        </w:rPr>
        <w:t xml:space="preserve"> Kant indica sobre la libertad de pluma que: </w:t>
      </w:r>
      <w:r w:rsidRPr="00F86470">
        <w:rPr>
          <w:rFonts w:ascii="Times New Roman" w:hAnsi="Times New Roman" w:cs="Times New Roman"/>
        </w:rPr>
        <w:t xml:space="preserve">“Cada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w:t>
      </w:r>
      <w:r w:rsidRPr="00F86470">
        <w:rPr>
          <w:rFonts w:ascii="Times New Roman" w:hAnsi="Times New Roman" w:cs="Times New Roman"/>
        </w:rPr>
        <w:t>equivocarse</w:t>
      </w:r>
      <w:r w:rsidRPr="00F86470">
        <w:rPr>
          <w:rFonts w:ascii="Times New Roman" w:hAnsi="Times New Roman" w:cs="Times New Roman"/>
        </w:rPr>
        <w:t xml:space="preserv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w:t>
      </w:r>
      <w:r>
        <w:rPr>
          <w:rFonts w:ascii="Times New Roman" w:hAnsi="Times New Roman" w:cs="Times New Roman"/>
        </w:rPr>
        <w:t>”</w:t>
      </w:r>
      <w:r w:rsidRPr="00F86470">
        <w:rPr>
          <w:rFonts w:ascii="Times New Roman" w:hAnsi="Times New Roman" w:cs="Times New Roman"/>
        </w:rPr>
        <w:t xml:space="preserve"> (</w:t>
      </w:r>
      <w:r>
        <w:rPr>
          <w:rFonts w:ascii="Times New Roman" w:hAnsi="Times New Roman" w:cs="Times New Roman"/>
        </w:rPr>
        <w:t xml:space="preserve">TP; </w:t>
      </w:r>
      <w:r w:rsidRPr="00F86470">
        <w:rPr>
          <w:rFonts w:ascii="Times New Roman" w:hAnsi="Times New Roman" w:cs="Times New Roman"/>
        </w:rPr>
        <w:t>1999, p. 276)</w:t>
      </w:r>
      <w:r w:rsidR="003D5C58">
        <w:rPr>
          <w:rFonts w:ascii="Times New Roman" w:hAnsi="Times New Roman" w:cs="Times New Roman"/>
        </w:rPr>
        <w:t xml:space="preserve"> Luego agrega lo siguiente: </w:t>
      </w:r>
      <w:r w:rsidR="003D5C58" w:rsidRPr="003D5C58">
        <w:rPr>
          <w:rFonts w:ascii="Times New Roman" w:hAnsi="Times New Roman" w:cs="Times New Roman"/>
        </w:rPr>
        <w:t>“En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w:t>
      </w:r>
      <w:r w:rsidR="003D5C58">
        <w:rPr>
          <w:rFonts w:ascii="Times New Roman" w:hAnsi="Times New Roman" w:cs="Times New Roman"/>
        </w:rPr>
        <w:t>”</w:t>
      </w:r>
      <w:r w:rsidR="003D5C58" w:rsidRPr="003D5C58">
        <w:rPr>
          <w:rFonts w:ascii="Times New Roman" w:hAnsi="Times New Roman" w:cs="Times New Roman"/>
        </w:rPr>
        <w:t xml:space="preserve"> (</w:t>
      </w:r>
      <w:r w:rsidR="003D5C58">
        <w:rPr>
          <w:rFonts w:ascii="Times New Roman" w:hAnsi="Times New Roman" w:cs="Times New Roman"/>
        </w:rPr>
        <w:t xml:space="preserve">TP; </w:t>
      </w:r>
      <w:r w:rsidR="003D5C58" w:rsidRPr="003D5C58">
        <w:rPr>
          <w:rFonts w:ascii="Times New Roman" w:hAnsi="Times New Roman" w:cs="Times New Roman"/>
        </w:rPr>
        <w:t>1999, p. 278)</w:t>
      </w:r>
    </w:p>
  </w:footnote>
  <w:footnote w:id="5">
    <w:p w14:paraId="2C8566E0" w14:textId="3CA255CB" w:rsidR="00F25D8E" w:rsidRPr="00376755" w:rsidRDefault="00F25D8E" w:rsidP="00376755">
      <w:pPr>
        <w:pStyle w:val="FootnoteText"/>
        <w:jc w:val="both"/>
        <w:rPr>
          <w:rFonts w:ascii="Times New Roman" w:hAnsi="Times New Roman" w:cs="Times New Roman"/>
          <w:lang w:val="es-MX"/>
        </w:rPr>
      </w:pPr>
      <w:r w:rsidRPr="00F25D8E">
        <w:rPr>
          <w:rStyle w:val="FootnoteReference"/>
          <w:rFonts w:ascii="Times New Roman" w:hAnsi="Times New Roman" w:cs="Times New Roman"/>
        </w:rPr>
        <w:footnoteRef/>
      </w:r>
      <w:r w:rsidRPr="00F25D8E">
        <w:rPr>
          <w:rFonts w:ascii="Times New Roman" w:hAnsi="Times New Roman" w:cs="Times New Roman"/>
        </w:rPr>
        <w:t xml:space="preserve"> </w:t>
      </w:r>
      <w:r w:rsidRPr="00F25D8E">
        <w:rPr>
          <w:rFonts w:ascii="Times New Roman" w:hAnsi="Times New Roman" w:cs="Times New Roman"/>
          <w:lang w:val="es-MX"/>
        </w:rPr>
        <w:t xml:space="preserve">Kant en </w:t>
      </w:r>
      <w:r w:rsidRPr="00F25D8E">
        <w:rPr>
          <w:rFonts w:ascii="Times New Roman" w:hAnsi="Times New Roman" w:cs="Times New Roman"/>
          <w:i/>
          <w:iCs/>
          <w:lang w:val="es-MX"/>
        </w:rPr>
        <w:t>Sobre el tópico…</w:t>
      </w:r>
      <w:r w:rsidRPr="00F25D8E">
        <w:rPr>
          <w:rFonts w:ascii="Times New Roman" w:hAnsi="Times New Roman" w:cs="Times New Roman"/>
          <w:lang w:val="es-MX"/>
        </w:rPr>
        <w:t>(1999)</w:t>
      </w:r>
      <w:r w:rsidRPr="00F25D8E">
        <w:rPr>
          <w:rFonts w:ascii="Times New Roman" w:hAnsi="Times New Roman" w:cs="Times New Roman"/>
          <w:lang w:val="es-MX"/>
        </w:rPr>
        <w:t xml:space="preserve"> escribe lo siguiente: </w:t>
      </w:r>
      <w:r w:rsidRPr="00F25D8E">
        <w:rPr>
          <w:rFonts w:ascii="Times New Roman" w:hAnsi="Times New Roman" w:cs="Times New Roman"/>
          <w:lang w:val="es-MX"/>
        </w:rPr>
        <w:t xml:space="preserve">“El concepto de un derecho externo en general procede por completo del concepto de libertad en las relaciones externas de los hombres entre sí, y nada tiene que ver con el fin que persiguen los hombres de manera natural (el propósito de la felicidad) ni con la </w:t>
      </w:r>
      <w:r w:rsidRPr="00376755">
        <w:rPr>
          <w:rFonts w:ascii="Times New Roman" w:hAnsi="Times New Roman" w:cs="Times New Roman"/>
          <w:lang w:val="es-MX"/>
        </w:rPr>
        <w:t>prescripción de los medios para alcanzarlo: de suerte que este fin no debe mezclarse en manera alguna con aquella ley como fundamento de determinación de la misma.</w:t>
      </w:r>
      <w:r w:rsidRPr="00376755">
        <w:rPr>
          <w:rFonts w:ascii="Times New Roman" w:hAnsi="Times New Roman" w:cs="Times New Roman"/>
          <w:lang w:val="es-MX"/>
        </w:rPr>
        <w:t>”</w:t>
      </w:r>
      <w:r w:rsidRPr="00376755">
        <w:rPr>
          <w:rFonts w:ascii="Times New Roman" w:hAnsi="Times New Roman" w:cs="Times New Roman"/>
          <w:lang w:val="es-MX"/>
        </w:rPr>
        <w:t xml:space="preserve"> (</w:t>
      </w:r>
      <w:r w:rsidRPr="00376755">
        <w:rPr>
          <w:rFonts w:ascii="Times New Roman" w:hAnsi="Times New Roman" w:cs="Times New Roman"/>
          <w:lang w:val="es-MX"/>
        </w:rPr>
        <w:t xml:space="preserve">TP; </w:t>
      </w:r>
      <w:r w:rsidRPr="00376755">
        <w:rPr>
          <w:rFonts w:ascii="Times New Roman" w:hAnsi="Times New Roman" w:cs="Times New Roman"/>
          <w:lang w:val="es-MX"/>
        </w:rPr>
        <w:t>1999, p. 259)</w:t>
      </w:r>
    </w:p>
  </w:footnote>
  <w:footnote w:id="6">
    <w:p w14:paraId="5215DC0D" w14:textId="14055A1A" w:rsidR="00376755" w:rsidRPr="00376755" w:rsidRDefault="00376755" w:rsidP="00376755">
      <w:pPr>
        <w:pStyle w:val="FootnoteText"/>
        <w:jc w:val="both"/>
        <w:rPr>
          <w:lang w:val="es-MX"/>
        </w:rPr>
      </w:pPr>
      <w:r w:rsidRPr="00376755">
        <w:rPr>
          <w:rStyle w:val="FootnoteReference"/>
          <w:rFonts w:ascii="Times New Roman" w:hAnsi="Times New Roman" w:cs="Times New Roman"/>
        </w:rPr>
        <w:footnoteRef/>
      </w:r>
      <w:r w:rsidRPr="00376755">
        <w:rPr>
          <w:rFonts w:ascii="Times New Roman" w:hAnsi="Times New Roman" w:cs="Times New Roman"/>
        </w:rPr>
        <w:t xml:space="preserve"> </w:t>
      </w:r>
      <w:r w:rsidRPr="00376755">
        <w:rPr>
          <w:rFonts w:ascii="Times New Roman" w:hAnsi="Times New Roman" w:cs="Times New Roman"/>
          <w:lang w:val="es-MX"/>
        </w:rPr>
        <w:t xml:space="preserve">Kant en </w:t>
      </w:r>
      <w:r w:rsidRPr="00376755">
        <w:rPr>
          <w:rFonts w:ascii="Times New Roman" w:hAnsi="Times New Roman" w:cs="Times New Roman"/>
          <w:i/>
          <w:iCs/>
          <w:lang w:val="es-MX"/>
        </w:rPr>
        <w:t>Sobre el tópico…</w:t>
      </w:r>
      <w:r w:rsidRPr="00376755">
        <w:rPr>
          <w:rFonts w:ascii="Times New Roman" w:hAnsi="Times New Roman" w:cs="Times New Roman"/>
          <w:lang w:val="es-MX"/>
        </w:rPr>
        <w:t xml:space="preserve">(1999) </w:t>
      </w:r>
      <w:r w:rsidRPr="00376755">
        <w:rPr>
          <w:rFonts w:ascii="Times New Roman" w:hAnsi="Times New Roman" w:cs="Times New Roman"/>
          <w:lang w:val="es-MX"/>
        </w:rPr>
        <w:t>señala</w:t>
      </w:r>
      <w:r w:rsidRPr="00376755">
        <w:rPr>
          <w:rFonts w:ascii="Times New Roman" w:hAnsi="Times New Roman" w:cs="Times New Roman"/>
          <w:lang w:val="es-MX"/>
        </w:rPr>
        <w:t xml:space="preserve">: </w:t>
      </w:r>
      <w:r w:rsidRPr="00376755">
        <w:rPr>
          <w:rFonts w:ascii="Times New Roman" w:hAnsi="Times New Roman" w:cs="Times New Roman"/>
        </w:rPr>
        <w:t>“Un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w:t>
      </w:r>
      <w:r w:rsidRPr="00376755">
        <w:rPr>
          <w:rFonts w:ascii="Times New Roman" w:hAnsi="Times New Roman" w:cs="Times New Roman"/>
        </w:rPr>
        <w:t xml:space="preserve"> </w:t>
      </w:r>
      <w:r w:rsidRPr="00376755">
        <w:rPr>
          <w:rFonts w:ascii="Times New Roman" w:hAnsi="Times New Roman" w:cs="Times New Roman"/>
        </w:rPr>
        <w:t>que deban ser felices, y de su bondad el que éste también quiera que lo sean, tal gobierno es el mayor despotismo imaginable (una constitución que suprime toda libertad de los súbditos, que carecen, por tanto, de derecho en absoluto).“ (</w:t>
      </w:r>
      <w:r w:rsidRPr="00376755">
        <w:rPr>
          <w:rFonts w:ascii="Times New Roman" w:hAnsi="Times New Roman" w:cs="Times New Roman"/>
        </w:rPr>
        <w:t xml:space="preserve">TP; </w:t>
      </w:r>
      <w:r w:rsidRPr="00376755">
        <w:rPr>
          <w:rFonts w:ascii="Times New Roman" w:hAnsi="Times New Roman" w:cs="Times New Roman"/>
        </w:rPr>
        <w:t>1999, p. 260)</w:t>
      </w:r>
      <w:r w:rsidR="00AD3154">
        <w:rPr>
          <w:rFonts w:ascii="Times New Roman" w:hAnsi="Times New Roman" w:cs="Times New Roman"/>
        </w:rPr>
        <w:t xml:space="preserve"> Luego agrega: </w:t>
      </w:r>
      <w:r w:rsidR="00AD3154" w:rsidRPr="00AD3154">
        <w:rPr>
          <w:rFonts w:ascii="Times New Roman" w:hAnsi="Times New Roman" w:cs="Times New Roman"/>
        </w:rPr>
        <w:t xml:space="preserve">“No un gobierno paternalista, sino uno </w:t>
      </w:r>
      <w:r w:rsidR="00AD3154" w:rsidRPr="00AD3154">
        <w:rPr>
          <w:rFonts w:ascii="Times New Roman" w:hAnsi="Times New Roman" w:cs="Times New Roman"/>
        </w:rPr>
        <w:t>patriótico</w:t>
      </w:r>
      <w:r w:rsidR="00AD3154" w:rsidRPr="00AD3154">
        <w:rPr>
          <w:rFonts w:ascii="Times New Roman" w:hAnsi="Times New Roman" w:cs="Times New Roman"/>
        </w:rPr>
        <w:t xml:space="preserve"> es aquel que puede pensarse para hombres capaces de tener derechos.“ (</w:t>
      </w:r>
      <w:r w:rsidR="00AD3154">
        <w:rPr>
          <w:rFonts w:ascii="Times New Roman" w:hAnsi="Times New Roman" w:cs="Times New Roman"/>
        </w:rPr>
        <w:t xml:space="preserve">TP; </w:t>
      </w:r>
      <w:r w:rsidR="00AD3154" w:rsidRPr="00AD3154">
        <w:rPr>
          <w:rFonts w:ascii="Times New Roman" w:hAnsi="Times New Roman" w:cs="Times New Roman"/>
        </w:rPr>
        <w:t>1999, p. 261)</w:t>
      </w:r>
    </w:p>
  </w:footnote>
  <w:footnote w:id="7">
    <w:p w14:paraId="5AE867A1" w14:textId="6EA9F5C4" w:rsidR="00AD3154" w:rsidRPr="00F70038" w:rsidRDefault="00AD3154" w:rsidP="00F70038">
      <w:pPr>
        <w:pStyle w:val="FootnoteText"/>
        <w:jc w:val="both"/>
        <w:rPr>
          <w:rFonts w:ascii="Times New Roman" w:hAnsi="Times New Roman" w:cs="Times New Roman"/>
          <w:lang w:val="es-MX"/>
        </w:rPr>
      </w:pPr>
      <w:r w:rsidRPr="00AD3154">
        <w:rPr>
          <w:rStyle w:val="FootnoteReference"/>
          <w:rFonts w:ascii="Times New Roman" w:hAnsi="Times New Roman" w:cs="Times New Roman"/>
        </w:rPr>
        <w:footnoteRef/>
      </w:r>
      <w:r w:rsidRPr="00AD3154">
        <w:rPr>
          <w:rFonts w:ascii="Times New Roman" w:hAnsi="Times New Roman" w:cs="Times New Roman"/>
        </w:rPr>
        <w:t xml:space="preserve"> </w:t>
      </w:r>
      <w:r w:rsidRPr="00AD3154">
        <w:rPr>
          <w:rFonts w:ascii="Times New Roman" w:hAnsi="Times New Roman" w:cs="Times New Roman"/>
          <w:lang w:val="es-MX"/>
        </w:rPr>
        <w:t xml:space="preserve">Señala Kant, en Teoría y práctica que: </w:t>
      </w:r>
      <w:r w:rsidRPr="00AD3154">
        <w:rPr>
          <w:rFonts w:ascii="Times New Roman" w:hAnsi="Times New Roman" w:cs="Times New Roman"/>
          <w:lang w:val="es-MX"/>
        </w:rPr>
        <w:t xml:space="preserve">“El derecho público (en una república) es meramente el estado de una legislación efectiva, conforme este principio y asistida por el poder, en virtud de la cual, cuantos pertenecen a un pueblo, en cuanto súbditos, se hallan en un estado jurídico, es decir, el de la igualdad de </w:t>
      </w:r>
      <w:r w:rsidRPr="00AD3154">
        <w:rPr>
          <w:rFonts w:ascii="Times New Roman" w:hAnsi="Times New Roman" w:cs="Times New Roman"/>
          <w:lang w:val="es-MX"/>
        </w:rPr>
        <w:t>acción</w:t>
      </w:r>
      <w:r w:rsidRPr="00AD3154">
        <w:rPr>
          <w:rFonts w:ascii="Times New Roman" w:hAnsi="Times New Roman" w:cs="Times New Roman"/>
          <w:lang w:val="es-MX"/>
        </w:rPr>
        <w:t xml:space="preserve">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w:t>
      </w:r>
      <w:proofErr w:type="spellStart"/>
      <w:r w:rsidRPr="00AD3154">
        <w:rPr>
          <w:rFonts w:ascii="Times New Roman" w:hAnsi="Times New Roman" w:cs="Times New Roman"/>
          <w:lang w:val="es-MX"/>
        </w:rPr>
        <w:t>consúbdito</w:t>
      </w:r>
      <w:proofErr w:type="spellEnd"/>
      <w:r w:rsidRPr="00AD3154">
        <w:rPr>
          <w:rFonts w:ascii="Times New Roman" w:hAnsi="Times New Roman" w:cs="Times New Roman"/>
          <w:lang w:val="es-MX"/>
        </w:rPr>
        <w:t xml:space="preserve">; y nadie puede </w:t>
      </w:r>
      <w:proofErr w:type="spellStart"/>
      <w:r w:rsidRPr="00AD3154">
        <w:rPr>
          <w:rFonts w:ascii="Times New Roman" w:hAnsi="Times New Roman" w:cs="Times New Roman"/>
          <w:lang w:val="es-MX"/>
        </w:rPr>
        <w:t>legar</w:t>
      </w:r>
      <w:proofErr w:type="spellEnd"/>
      <w:r w:rsidRPr="00AD3154">
        <w:rPr>
          <w:rFonts w:ascii="Times New Roman" w:hAnsi="Times New Roman" w:cs="Times New Roman"/>
          <w:lang w:val="es-MX"/>
        </w:rPr>
        <w:t xml:space="preserve"> a sus descendientes el privilegio de la posición que tiene dentro de la </w:t>
      </w:r>
      <w:r w:rsidRPr="00AD3154">
        <w:rPr>
          <w:rFonts w:ascii="Times New Roman" w:hAnsi="Times New Roman" w:cs="Times New Roman"/>
          <w:lang w:val="es-MX"/>
        </w:rPr>
        <w:t>república.</w:t>
      </w:r>
      <w:r>
        <w:rPr>
          <w:rFonts w:ascii="Times New Roman" w:hAnsi="Times New Roman" w:cs="Times New Roman"/>
          <w:lang w:val="es-MX"/>
        </w:rPr>
        <w:t>”</w:t>
      </w:r>
      <w:r w:rsidRPr="00AD3154">
        <w:rPr>
          <w:rFonts w:ascii="Times New Roman" w:hAnsi="Times New Roman" w:cs="Times New Roman"/>
          <w:lang w:val="es-MX"/>
        </w:rPr>
        <w:t xml:space="preserve"> (</w:t>
      </w:r>
      <w:r>
        <w:rPr>
          <w:rFonts w:ascii="Times New Roman" w:hAnsi="Times New Roman" w:cs="Times New Roman"/>
          <w:lang w:val="es-MX"/>
        </w:rPr>
        <w:t>TP;</w:t>
      </w:r>
      <w:r w:rsidRPr="00AD3154">
        <w:rPr>
          <w:rFonts w:ascii="Times New Roman" w:hAnsi="Times New Roman" w:cs="Times New Roman"/>
          <w:lang w:val="es-MX"/>
        </w:rPr>
        <w:t>1999, p. 263)</w:t>
      </w:r>
    </w:p>
  </w:footnote>
  <w:footnote w:id="8">
    <w:p w14:paraId="4A0869F4" w14:textId="2B977B0B" w:rsidR="00F70038" w:rsidRPr="00F70038" w:rsidRDefault="00F70038" w:rsidP="00F70038">
      <w:pPr>
        <w:pStyle w:val="FootnoteText"/>
        <w:jc w:val="both"/>
        <w:rPr>
          <w:lang w:val="es-MX"/>
        </w:rPr>
      </w:pPr>
      <w:r w:rsidRPr="00F70038">
        <w:rPr>
          <w:rStyle w:val="FootnoteReference"/>
          <w:rFonts w:ascii="Times New Roman" w:hAnsi="Times New Roman" w:cs="Times New Roman"/>
        </w:rPr>
        <w:footnoteRef/>
      </w:r>
      <w:r w:rsidRPr="00F70038">
        <w:rPr>
          <w:rFonts w:ascii="Times New Roman" w:hAnsi="Times New Roman" w:cs="Times New Roman"/>
        </w:rPr>
        <w:t xml:space="preserve"> </w:t>
      </w:r>
      <w:r w:rsidRPr="00F70038">
        <w:rPr>
          <w:rFonts w:ascii="Times New Roman" w:hAnsi="Times New Roman" w:cs="Times New Roman"/>
          <w:lang w:val="es-MX"/>
        </w:rPr>
        <w:t xml:space="preserve">Añade Kant lo siguiente: </w:t>
      </w:r>
      <w:r w:rsidRPr="00F70038">
        <w:rPr>
          <w:rFonts w:ascii="Times New Roman" w:hAnsi="Times New Roman" w:cs="Times New Roman"/>
          <w:lang w:val="es-MX"/>
        </w:rPr>
        <w:t>“(Para constituir este concepto</w:t>
      </w:r>
      <w:r>
        <w:rPr>
          <w:rFonts w:ascii="Times New Roman" w:hAnsi="Times New Roman" w:cs="Times New Roman"/>
          <w:lang w:val="es-MX"/>
        </w:rPr>
        <w:t xml:space="preserve"> (*de república*)</w:t>
      </w:r>
      <w:r w:rsidRPr="00F70038">
        <w:rPr>
          <w:rFonts w:ascii="Times New Roman" w:hAnsi="Times New Roman" w:cs="Times New Roman"/>
          <w:lang w:val="es-MX"/>
        </w:rPr>
        <w:t xml:space="preserve"> concurren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w:t>
      </w:r>
      <w:r w:rsidRPr="00F70038">
        <w:rPr>
          <w:rFonts w:ascii="Times New Roman" w:hAnsi="Times New Roman" w:cs="Times New Roman"/>
          <w:lang w:val="es-MX"/>
        </w:rPr>
        <w:t>”</w:t>
      </w:r>
      <w:r w:rsidRPr="00F70038">
        <w:rPr>
          <w:rFonts w:ascii="Times New Roman" w:hAnsi="Times New Roman" w:cs="Times New Roman"/>
          <w:lang w:val="es-MX"/>
        </w:rPr>
        <w:t xml:space="preserve"> (</w:t>
      </w:r>
      <w:r w:rsidRPr="00F70038">
        <w:rPr>
          <w:rFonts w:ascii="Times New Roman" w:hAnsi="Times New Roman" w:cs="Times New Roman"/>
          <w:lang w:val="es-MX"/>
        </w:rPr>
        <w:t xml:space="preserve">TP; </w:t>
      </w:r>
      <w:r w:rsidRPr="00F70038">
        <w:rPr>
          <w:rFonts w:ascii="Times New Roman" w:hAnsi="Times New Roman" w:cs="Times New Roman"/>
          <w:lang w:val="es-MX"/>
        </w:rPr>
        <w:t>1999, p. 266)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D6351"/>
    <w:multiLevelType w:val="hybridMultilevel"/>
    <w:tmpl w:val="01BA8AD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966012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F9C"/>
    <w:rsid w:val="00044D3B"/>
    <w:rsid w:val="000816AC"/>
    <w:rsid w:val="000F6A1C"/>
    <w:rsid w:val="00162F9C"/>
    <w:rsid w:val="001E309C"/>
    <w:rsid w:val="0037643B"/>
    <w:rsid w:val="00376755"/>
    <w:rsid w:val="003A5127"/>
    <w:rsid w:val="003D5C58"/>
    <w:rsid w:val="00830E4A"/>
    <w:rsid w:val="0097521B"/>
    <w:rsid w:val="00992676"/>
    <w:rsid w:val="00A03E31"/>
    <w:rsid w:val="00AD3154"/>
    <w:rsid w:val="00BE2634"/>
    <w:rsid w:val="00C10BCF"/>
    <w:rsid w:val="00C407BC"/>
    <w:rsid w:val="00CA5C08"/>
    <w:rsid w:val="00D03B21"/>
    <w:rsid w:val="00D10F3C"/>
    <w:rsid w:val="00F25D8E"/>
    <w:rsid w:val="00F70038"/>
    <w:rsid w:val="00F8647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7B40B"/>
  <w15:chartTrackingRefBased/>
  <w15:docId w15:val="{6EEB2910-875D-4161-A2B4-E7D91EF33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2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2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2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2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2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2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2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2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F9C"/>
    <w:rPr>
      <w:rFonts w:eastAsiaTheme="majorEastAsia" w:cstheme="majorBidi"/>
      <w:color w:val="272727" w:themeColor="text1" w:themeTint="D8"/>
    </w:rPr>
  </w:style>
  <w:style w:type="paragraph" w:styleId="Title">
    <w:name w:val="Title"/>
    <w:basedOn w:val="Normal"/>
    <w:next w:val="Normal"/>
    <w:link w:val="TitleChar"/>
    <w:uiPriority w:val="10"/>
    <w:qFormat/>
    <w:rsid w:val="0016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F9C"/>
    <w:pPr>
      <w:spacing w:before="160"/>
      <w:jc w:val="center"/>
    </w:pPr>
    <w:rPr>
      <w:i/>
      <w:iCs/>
      <w:color w:val="404040" w:themeColor="text1" w:themeTint="BF"/>
    </w:rPr>
  </w:style>
  <w:style w:type="character" w:customStyle="1" w:styleId="QuoteChar">
    <w:name w:val="Quote Char"/>
    <w:basedOn w:val="DefaultParagraphFont"/>
    <w:link w:val="Quote"/>
    <w:uiPriority w:val="29"/>
    <w:rsid w:val="00162F9C"/>
    <w:rPr>
      <w:i/>
      <w:iCs/>
      <w:color w:val="404040" w:themeColor="text1" w:themeTint="BF"/>
    </w:rPr>
  </w:style>
  <w:style w:type="paragraph" w:styleId="ListParagraph">
    <w:name w:val="List Paragraph"/>
    <w:basedOn w:val="Normal"/>
    <w:uiPriority w:val="34"/>
    <w:qFormat/>
    <w:rsid w:val="00162F9C"/>
    <w:pPr>
      <w:ind w:left="720"/>
      <w:contextualSpacing/>
    </w:pPr>
  </w:style>
  <w:style w:type="character" w:styleId="IntenseEmphasis">
    <w:name w:val="Intense Emphasis"/>
    <w:basedOn w:val="DefaultParagraphFont"/>
    <w:uiPriority w:val="21"/>
    <w:qFormat/>
    <w:rsid w:val="00162F9C"/>
    <w:rPr>
      <w:i/>
      <w:iCs/>
      <w:color w:val="2F5496" w:themeColor="accent1" w:themeShade="BF"/>
    </w:rPr>
  </w:style>
  <w:style w:type="paragraph" w:styleId="IntenseQuote">
    <w:name w:val="Intense Quote"/>
    <w:basedOn w:val="Normal"/>
    <w:next w:val="Normal"/>
    <w:link w:val="IntenseQuoteChar"/>
    <w:uiPriority w:val="30"/>
    <w:qFormat/>
    <w:rsid w:val="0016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2F9C"/>
    <w:rPr>
      <w:i/>
      <w:iCs/>
      <w:color w:val="2F5496" w:themeColor="accent1" w:themeShade="BF"/>
    </w:rPr>
  </w:style>
  <w:style w:type="character" w:styleId="IntenseReference">
    <w:name w:val="Intense Reference"/>
    <w:basedOn w:val="DefaultParagraphFont"/>
    <w:uiPriority w:val="32"/>
    <w:qFormat/>
    <w:rsid w:val="00162F9C"/>
    <w:rPr>
      <w:b/>
      <w:bCs/>
      <w:smallCaps/>
      <w:color w:val="2F5496" w:themeColor="accent1" w:themeShade="BF"/>
      <w:spacing w:val="5"/>
    </w:rPr>
  </w:style>
  <w:style w:type="paragraph" w:styleId="Header">
    <w:name w:val="header"/>
    <w:basedOn w:val="Normal"/>
    <w:link w:val="HeaderChar"/>
    <w:uiPriority w:val="99"/>
    <w:unhideWhenUsed/>
    <w:rsid w:val="00A03E31"/>
    <w:pPr>
      <w:tabs>
        <w:tab w:val="center" w:pos="4252"/>
        <w:tab w:val="right" w:pos="8504"/>
      </w:tabs>
      <w:spacing w:after="0" w:line="240" w:lineRule="auto"/>
    </w:pPr>
  </w:style>
  <w:style w:type="character" w:customStyle="1" w:styleId="HeaderChar">
    <w:name w:val="Header Char"/>
    <w:basedOn w:val="DefaultParagraphFont"/>
    <w:link w:val="Header"/>
    <w:uiPriority w:val="99"/>
    <w:rsid w:val="00A03E31"/>
  </w:style>
  <w:style w:type="paragraph" w:styleId="Footer">
    <w:name w:val="footer"/>
    <w:basedOn w:val="Normal"/>
    <w:link w:val="FooterChar"/>
    <w:uiPriority w:val="99"/>
    <w:unhideWhenUsed/>
    <w:rsid w:val="00A03E31"/>
    <w:pPr>
      <w:tabs>
        <w:tab w:val="center" w:pos="4252"/>
        <w:tab w:val="right" w:pos="8504"/>
      </w:tabs>
      <w:spacing w:after="0" w:line="240" w:lineRule="auto"/>
    </w:pPr>
  </w:style>
  <w:style w:type="character" w:customStyle="1" w:styleId="FooterChar">
    <w:name w:val="Footer Char"/>
    <w:basedOn w:val="DefaultParagraphFont"/>
    <w:link w:val="Footer"/>
    <w:uiPriority w:val="99"/>
    <w:rsid w:val="00A03E31"/>
  </w:style>
  <w:style w:type="paragraph" w:styleId="FootnoteText">
    <w:name w:val="footnote text"/>
    <w:basedOn w:val="Normal"/>
    <w:link w:val="FootnoteTextChar"/>
    <w:uiPriority w:val="99"/>
    <w:semiHidden/>
    <w:unhideWhenUsed/>
    <w:rsid w:val="000816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16AC"/>
    <w:rPr>
      <w:sz w:val="20"/>
      <w:szCs w:val="20"/>
    </w:rPr>
  </w:style>
  <w:style w:type="character" w:styleId="FootnoteReference">
    <w:name w:val="footnote reference"/>
    <w:basedOn w:val="DefaultParagraphFont"/>
    <w:uiPriority w:val="99"/>
    <w:semiHidden/>
    <w:unhideWhenUsed/>
    <w:rsid w:val="000816A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9E804-A93A-4D0E-9840-2A93483C0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6</Pages>
  <Words>1560</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14</cp:revision>
  <dcterms:created xsi:type="dcterms:W3CDTF">2025-10-23T11:09:00Z</dcterms:created>
  <dcterms:modified xsi:type="dcterms:W3CDTF">2025-10-23T14:28:00Z</dcterms:modified>
</cp:coreProperties>
</file>