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C9E37" w14:textId="4AE8A10B" w:rsidR="007A1530" w:rsidRPr="00CA0124" w:rsidRDefault="007A1530" w:rsidP="00CA0124">
      <w:pPr>
        <w:spacing w:line="360" w:lineRule="auto"/>
        <w:jc w:val="right"/>
        <w:rPr>
          <w:rFonts w:ascii="Times New Roman" w:hAnsi="Times New Roman" w:cs="Times New Roman"/>
          <w:sz w:val="24"/>
          <w:szCs w:val="24"/>
        </w:rPr>
      </w:pPr>
      <w:r w:rsidRPr="00CA0124">
        <w:rPr>
          <w:rFonts w:ascii="Times New Roman" w:hAnsi="Times New Roman" w:cs="Times New Roman"/>
          <w:sz w:val="24"/>
          <w:szCs w:val="24"/>
        </w:rPr>
        <w:t xml:space="preserve">UARM 2024 – II </w:t>
      </w:r>
    </w:p>
    <w:p w14:paraId="7D2A5498" w14:textId="4931789B" w:rsidR="007A1530" w:rsidRPr="00CA0124" w:rsidRDefault="007A1530" w:rsidP="00CA0124">
      <w:pPr>
        <w:spacing w:line="360" w:lineRule="auto"/>
        <w:jc w:val="right"/>
        <w:rPr>
          <w:rFonts w:ascii="Times New Roman" w:hAnsi="Times New Roman" w:cs="Times New Roman"/>
          <w:sz w:val="24"/>
          <w:szCs w:val="24"/>
        </w:rPr>
      </w:pPr>
      <w:r w:rsidRPr="00CA0124">
        <w:rPr>
          <w:rFonts w:ascii="Times New Roman" w:hAnsi="Times New Roman" w:cs="Times New Roman"/>
          <w:sz w:val="24"/>
          <w:szCs w:val="24"/>
        </w:rPr>
        <w:t>Seminario de Filosofía Crítica</w:t>
      </w:r>
    </w:p>
    <w:p w14:paraId="537D12E2" w14:textId="18D218A3" w:rsidR="007A1530" w:rsidRPr="00CA0124" w:rsidRDefault="007A1530" w:rsidP="00CA0124">
      <w:pPr>
        <w:spacing w:line="360" w:lineRule="auto"/>
        <w:jc w:val="right"/>
        <w:rPr>
          <w:rFonts w:ascii="Times New Roman" w:hAnsi="Times New Roman" w:cs="Times New Roman"/>
          <w:sz w:val="24"/>
          <w:szCs w:val="24"/>
        </w:rPr>
      </w:pPr>
      <w:r w:rsidRPr="00CA0124">
        <w:rPr>
          <w:rFonts w:ascii="Times New Roman" w:hAnsi="Times New Roman" w:cs="Times New Roman"/>
          <w:sz w:val="24"/>
          <w:szCs w:val="24"/>
        </w:rPr>
        <w:t>Profesor: César Inca Mendoza Loyola</w:t>
      </w:r>
    </w:p>
    <w:p w14:paraId="7A548871" w14:textId="48C1ADB3" w:rsidR="007A1530" w:rsidRPr="00CA0124" w:rsidRDefault="007A1530" w:rsidP="00CA0124">
      <w:pPr>
        <w:spacing w:line="360" w:lineRule="auto"/>
        <w:jc w:val="right"/>
        <w:rPr>
          <w:rFonts w:ascii="Times New Roman" w:hAnsi="Times New Roman" w:cs="Times New Roman"/>
          <w:sz w:val="24"/>
          <w:szCs w:val="24"/>
        </w:rPr>
      </w:pPr>
      <w:r w:rsidRPr="00CA0124">
        <w:rPr>
          <w:rFonts w:ascii="Times New Roman" w:hAnsi="Times New Roman" w:cs="Times New Roman"/>
          <w:sz w:val="24"/>
          <w:szCs w:val="24"/>
        </w:rPr>
        <w:t>Alumno: Fernando García Alcalá</w:t>
      </w:r>
    </w:p>
    <w:p w14:paraId="47D68C7F" w14:textId="77777777" w:rsidR="007A1530" w:rsidRPr="00CA0124" w:rsidRDefault="007A1530" w:rsidP="00CA0124">
      <w:pPr>
        <w:spacing w:line="360" w:lineRule="auto"/>
        <w:rPr>
          <w:rFonts w:ascii="Times New Roman" w:hAnsi="Times New Roman" w:cs="Times New Roman"/>
          <w:sz w:val="24"/>
          <w:szCs w:val="24"/>
        </w:rPr>
      </w:pPr>
    </w:p>
    <w:p w14:paraId="71E5F286" w14:textId="28FD4225" w:rsidR="007A1530" w:rsidRPr="00CA0124" w:rsidRDefault="007A1530" w:rsidP="00CA0124">
      <w:pPr>
        <w:spacing w:line="360" w:lineRule="auto"/>
        <w:jc w:val="center"/>
        <w:rPr>
          <w:rFonts w:ascii="Times New Roman" w:hAnsi="Times New Roman" w:cs="Times New Roman"/>
          <w:b/>
          <w:bCs/>
          <w:sz w:val="24"/>
          <w:szCs w:val="24"/>
          <w:u w:val="single"/>
        </w:rPr>
      </w:pPr>
      <w:r w:rsidRPr="00CA0124">
        <w:rPr>
          <w:rFonts w:ascii="Times New Roman" w:hAnsi="Times New Roman" w:cs="Times New Roman"/>
          <w:b/>
          <w:bCs/>
          <w:sz w:val="24"/>
          <w:szCs w:val="24"/>
          <w:u w:val="single"/>
        </w:rPr>
        <w:t>Ensayo final</w:t>
      </w:r>
    </w:p>
    <w:p w14:paraId="21819008" w14:textId="77777777" w:rsidR="000F20A4" w:rsidRPr="00CA0124" w:rsidRDefault="000F20A4" w:rsidP="00CA0124">
      <w:pPr>
        <w:spacing w:line="360" w:lineRule="auto"/>
        <w:rPr>
          <w:rFonts w:ascii="Times New Roman" w:hAnsi="Times New Roman" w:cs="Times New Roman"/>
          <w:sz w:val="24"/>
          <w:szCs w:val="24"/>
        </w:rPr>
      </w:pPr>
    </w:p>
    <w:p w14:paraId="48C385C7" w14:textId="23217760" w:rsidR="000F20A4" w:rsidRPr="00CA0124" w:rsidRDefault="000F20A4" w:rsidP="00CA0124">
      <w:pPr>
        <w:spacing w:line="360" w:lineRule="auto"/>
        <w:jc w:val="center"/>
        <w:rPr>
          <w:rFonts w:ascii="Times New Roman" w:hAnsi="Times New Roman" w:cs="Times New Roman"/>
          <w:b/>
          <w:bCs/>
          <w:sz w:val="24"/>
          <w:szCs w:val="24"/>
          <w:u w:val="single"/>
        </w:rPr>
      </w:pPr>
      <w:r w:rsidRPr="00CA0124">
        <w:rPr>
          <w:rFonts w:ascii="Times New Roman" w:hAnsi="Times New Roman" w:cs="Times New Roman"/>
          <w:b/>
          <w:bCs/>
          <w:sz w:val="24"/>
          <w:szCs w:val="24"/>
          <w:u w:val="single"/>
        </w:rPr>
        <w:t xml:space="preserve">El complemento neokantiano de dos teorías distintas: el rescate de los principios metafísicos de K. Flikschuh y el concepto de poder nouménico de </w:t>
      </w:r>
      <w:r w:rsidR="00E33066" w:rsidRPr="00CA0124">
        <w:rPr>
          <w:rFonts w:ascii="Times New Roman" w:hAnsi="Times New Roman" w:cs="Times New Roman"/>
          <w:b/>
          <w:bCs/>
          <w:sz w:val="24"/>
          <w:szCs w:val="24"/>
          <w:u w:val="single"/>
        </w:rPr>
        <w:t xml:space="preserve">R. </w:t>
      </w:r>
      <w:r w:rsidRPr="00CA0124">
        <w:rPr>
          <w:rFonts w:ascii="Times New Roman" w:hAnsi="Times New Roman" w:cs="Times New Roman"/>
          <w:b/>
          <w:bCs/>
          <w:sz w:val="24"/>
          <w:szCs w:val="24"/>
          <w:u w:val="single"/>
        </w:rPr>
        <w:t>Forst</w:t>
      </w:r>
      <w:r w:rsidR="008D20AB">
        <w:rPr>
          <w:rFonts w:ascii="Times New Roman" w:hAnsi="Times New Roman" w:cs="Times New Roman"/>
          <w:b/>
          <w:bCs/>
          <w:sz w:val="24"/>
          <w:szCs w:val="24"/>
          <w:u w:val="single"/>
        </w:rPr>
        <w:t xml:space="preserve"> como filtro para interpretar la Doctrina del Derecho de Kant</w:t>
      </w:r>
    </w:p>
    <w:p w14:paraId="12799D47" w14:textId="77777777" w:rsidR="007A1530" w:rsidRPr="00CA0124" w:rsidRDefault="007A1530" w:rsidP="00CA0124">
      <w:pPr>
        <w:spacing w:line="360" w:lineRule="auto"/>
        <w:jc w:val="center"/>
        <w:rPr>
          <w:rFonts w:ascii="Times New Roman" w:hAnsi="Times New Roman" w:cs="Times New Roman"/>
          <w:b/>
          <w:bCs/>
          <w:sz w:val="24"/>
          <w:szCs w:val="24"/>
          <w:u w:val="single"/>
        </w:rPr>
      </w:pPr>
    </w:p>
    <w:p w14:paraId="4115F830" w14:textId="68B3124F" w:rsidR="00BB2E57" w:rsidRPr="00CA0124" w:rsidRDefault="00BB2E57"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Este ensayo busca establecer una relación entre dos interpretaciones relativamente actuales sobre el pensamiento de Kant. Por un lado, Katrin Flikschuh rescata el papel que juegan los principios metafísicos en cualquier discusión sobre filosofía política. De acuerdo a ella, esto se puede remitir a cómo Stephen Körner comprende la idea de un marco categorial, como trasfondo ineludible para el ejercicio de la razón práctica. </w:t>
      </w:r>
    </w:p>
    <w:p w14:paraId="5AE61A70" w14:textId="53C87337" w:rsidR="007A1530" w:rsidRPr="00CA0124" w:rsidRDefault="00BB2E57"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Por otro lado, Rainer Forst tiene una concepción del poder como uno que se fundamenta no únicamente en el concepto de dominación, como sostenía Steven </w:t>
      </w:r>
      <w:r w:rsidR="00A01AC7" w:rsidRPr="00CA0124">
        <w:rPr>
          <w:rFonts w:ascii="Times New Roman" w:hAnsi="Times New Roman" w:cs="Times New Roman"/>
          <w:sz w:val="24"/>
          <w:szCs w:val="24"/>
        </w:rPr>
        <w:t xml:space="preserve">Lukes, sino que amplía </w:t>
      </w:r>
      <w:r w:rsidR="008D20AB">
        <w:rPr>
          <w:rFonts w:ascii="Times New Roman" w:hAnsi="Times New Roman" w:cs="Times New Roman"/>
          <w:sz w:val="24"/>
          <w:szCs w:val="24"/>
        </w:rPr>
        <w:t>el concepto</w:t>
      </w:r>
      <w:r w:rsidR="00A01AC7" w:rsidRPr="00CA0124">
        <w:rPr>
          <w:rFonts w:ascii="Times New Roman" w:hAnsi="Times New Roman" w:cs="Times New Roman"/>
          <w:sz w:val="24"/>
          <w:szCs w:val="24"/>
        </w:rPr>
        <w:t xml:space="preserve"> gracias a la idea de un poder nouménico fundamentado en el ámbito de las razones y justificaciones. </w:t>
      </w:r>
    </w:p>
    <w:p w14:paraId="213CF4ED" w14:textId="2148C3BE" w:rsidR="00A01AC7" w:rsidRPr="00CA0124" w:rsidRDefault="00A01AC7"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Al explorar estos dos modelos de interpretación neokantiana, busco encontrar un punto complementario para poder analizar un caso particular en el pensamiento de Kant. De su filosofía del derecho podemos extraer elementos que prefiguran el sentido de su filosofía política, y, de acuerdo al proyecto del sistema crítico de la razón, podemos tener el poder de los principios metafísicos como uno noumenal. En este sentido, resaltando el aspecto crítico de las ideas de la razón práctica, me gustaría profundizar en el concepto de razón pública como elemento fundamental para el republicanismo o liberalismo kantiano, especialmente como una salida o alternativa a cualquier tipo de violencia. </w:t>
      </w:r>
    </w:p>
    <w:p w14:paraId="766E19F6" w14:textId="30C58649" w:rsidR="00A01AC7" w:rsidRPr="00CA0124" w:rsidRDefault="00A01AC7"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lastRenderedPageBreak/>
        <w:t xml:space="preserve">De acuerdo a esta breve introducción, la investigación se separa en </w:t>
      </w:r>
      <w:r w:rsidR="008D20AB">
        <w:rPr>
          <w:rFonts w:ascii="Times New Roman" w:hAnsi="Times New Roman" w:cs="Times New Roman"/>
          <w:sz w:val="24"/>
          <w:szCs w:val="24"/>
        </w:rPr>
        <w:t>algunos</w:t>
      </w:r>
      <w:r w:rsidRPr="00CA0124">
        <w:rPr>
          <w:rFonts w:ascii="Times New Roman" w:hAnsi="Times New Roman" w:cs="Times New Roman"/>
          <w:sz w:val="24"/>
          <w:szCs w:val="24"/>
        </w:rPr>
        <w:t xml:space="preserve"> puntos distintos. En primer lugar (1) una revisión general y panorámica del pensamiento de Kant en la actualidad. En segundo lugar, una consideración de (2) la teoría de Flikschuh, en virtud del uso de los principios metafísicos en las discusiones de filosofía política. En tercer lugar, (3) la revisión de lo referido por Forst respecto del poder de las ideas y su carácter noumenal. En cuarto lugar, una ejemplificación de la convergencia posible de estas dos teorías, mediante el ejemplo de lo referido en (4) la doctrina del derecho de Kant, en la </w:t>
      </w:r>
      <w:r w:rsidRPr="008D20AB">
        <w:rPr>
          <w:rFonts w:ascii="Times New Roman" w:hAnsi="Times New Roman" w:cs="Times New Roman"/>
          <w:i/>
          <w:iCs/>
          <w:sz w:val="24"/>
          <w:szCs w:val="24"/>
        </w:rPr>
        <w:t>Metafísica de las costumbres</w:t>
      </w:r>
      <w:r w:rsidR="008D20AB">
        <w:rPr>
          <w:rFonts w:ascii="Times New Roman" w:hAnsi="Times New Roman" w:cs="Times New Roman"/>
          <w:i/>
          <w:iCs/>
          <w:sz w:val="24"/>
          <w:szCs w:val="24"/>
        </w:rPr>
        <w:t xml:space="preserve"> </w:t>
      </w:r>
      <w:r w:rsidR="008D20AB">
        <w:rPr>
          <w:rFonts w:ascii="Times New Roman" w:hAnsi="Times New Roman" w:cs="Times New Roman"/>
          <w:sz w:val="24"/>
          <w:szCs w:val="24"/>
        </w:rPr>
        <w:t>(2008)</w:t>
      </w:r>
      <w:r w:rsidRPr="00CA0124">
        <w:rPr>
          <w:rFonts w:ascii="Times New Roman" w:hAnsi="Times New Roman" w:cs="Times New Roman"/>
          <w:sz w:val="24"/>
          <w:szCs w:val="24"/>
        </w:rPr>
        <w:t xml:space="preserve">. </w:t>
      </w:r>
    </w:p>
    <w:p w14:paraId="0FF0042E" w14:textId="77777777" w:rsidR="000F20A4" w:rsidRPr="00CA0124" w:rsidRDefault="000F20A4" w:rsidP="00CA0124">
      <w:pPr>
        <w:spacing w:line="360" w:lineRule="auto"/>
        <w:rPr>
          <w:rFonts w:ascii="Times New Roman" w:hAnsi="Times New Roman" w:cs="Times New Roman"/>
          <w:sz w:val="24"/>
          <w:szCs w:val="24"/>
        </w:rPr>
      </w:pPr>
    </w:p>
    <w:p w14:paraId="05DD06DF" w14:textId="77777777" w:rsidR="000F20A4" w:rsidRPr="00CA0124" w:rsidRDefault="000F20A4" w:rsidP="00CA0124">
      <w:pPr>
        <w:pStyle w:val="ListParagraph"/>
        <w:numPr>
          <w:ilvl w:val="0"/>
          <w:numId w:val="3"/>
        </w:numPr>
        <w:spacing w:line="360" w:lineRule="auto"/>
        <w:rPr>
          <w:rFonts w:ascii="Times New Roman" w:hAnsi="Times New Roman" w:cs="Times New Roman"/>
          <w:b/>
          <w:bCs/>
          <w:sz w:val="24"/>
          <w:szCs w:val="24"/>
          <w:u w:val="single"/>
        </w:rPr>
      </w:pPr>
      <w:r w:rsidRPr="00CA0124">
        <w:rPr>
          <w:rFonts w:ascii="Times New Roman" w:hAnsi="Times New Roman" w:cs="Times New Roman"/>
          <w:b/>
          <w:bCs/>
          <w:sz w:val="24"/>
          <w:szCs w:val="24"/>
          <w:u w:val="single"/>
        </w:rPr>
        <w:t>El pensamiento de Kant en la actualidad</w:t>
      </w:r>
    </w:p>
    <w:p w14:paraId="00D80E50" w14:textId="77777777" w:rsidR="00A01AC7" w:rsidRPr="00CA0124" w:rsidRDefault="00A01AC7" w:rsidP="00CA0124">
      <w:pPr>
        <w:spacing w:line="360" w:lineRule="auto"/>
        <w:rPr>
          <w:rFonts w:ascii="Times New Roman" w:hAnsi="Times New Roman" w:cs="Times New Roman"/>
          <w:b/>
          <w:bCs/>
          <w:sz w:val="24"/>
          <w:szCs w:val="24"/>
          <w:u w:val="single"/>
        </w:rPr>
      </w:pPr>
    </w:p>
    <w:p w14:paraId="6542FCF9" w14:textId="1AAF67D0" w:rsidR="00A01AC7" w:rsidRPr="00CA0124" w:rsidRDefault="004D2F5A"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La influencia general del pensamiento de Kant es difícil de considerar</w:t>
      </w:r>
      <w:r w:rsidR="009548A5" w:rsidRPr="00CA0124">
        <w:rPr>
          <w:rFonts w:ascii="Times New Roman" w:hAnsi="Times New Roman" w:cs="Times New Roman"/>
          <w:sz w:val="24"/>
          <w:szCs w:val="24"/>
        </w:rPr>
        <w:t xml:space="preserve"> por su vasta extensión que alcanza áreas más allá de la filosofía, en disciplinas como las ciencias sociales, políticas, estéticas, entre otros ámbitos. </w:t>
      </w:r>
      <w:r w:rsidRPr="00CA0124">
        <w:rPr>
          <w:rFonts w:ascii="Times New Roman" w:hAnsi="Times New Roman" w:cs="Times New Roman"/>
          <w:sz w:val="24"/>
          <w:szCs w:val="24"/>
        </w:rPr>
        <w:t xml:space="preserve"> Su proyecto crítico buscó establecer el papel de la metafísica como algo más cercano a una ciencia. En este sentido, </w:t>
      </w:r>
      <w:r w:rsidR="00C101EC" w:rsidRPr="00CA0124">
        <w:rPr>
          <w:rFonts w:ascii="Times New Roman" w:hAnsi="Times New Roman" w:cs="Times New Roman"/>
          <w:sz w:val="24"/>
          <w:szCs w:val="24"/>
        </w:rPr>
        <w:t xml:space="preserve">la metafísica purificada por la crítica </w:t>
      </w:r>
      <w:r w:rsidR="00F12135" w:rsidRPr="00CA0124">
        <w:rPr>
          <w:rFonts w:ascii="Times New Roman" w:hAnsi="Times New Roman" w:cs="Times New Roman"/>
          <w:sz w:val="24"/>
          <w:szCs w:val="24"/>
        </w:rPr>
        <w:t>representa un rechazo al dogmatismo, a la imposición despótica de ideas sin consentimiento y fundamentándose en la experiencia, en la medida de lo posible. En el sentido del uso de la razón práctica, se entiende que la facultad humana de la razón produce sus propios principios para la acción en lo que refiere a los ámbitos de la voluntad humana. El sistema del proyecto crítico, por lo tanto, ha influenciado al núcleo entero de la historia de la filosofía desde su aparecimiento</w:t>
      </w:r>
      <w:r w:rsidR="009548A5" w:rsidRPr="00CA0124">
        <w:rPr>
          <w:rFonts w:ascii="Times New Roman" w:hAnsi="Times New Roman" w:cs="Times New Roman"/>
          <w:sz w:val="24"/>
          <w:szCs w:val="24"/>
        </w:rPr>
        <w:t xml:space="preserve"> y le ha rebasado</w:t>
      </w:r>
      <w:r w:rsidR="00F12135" w:rsidRPr="00CA0124">
        <w:rPr>
          <w:rFonts w:ascii="Times New Roman" w:hAnsi="Times New Roman" w:cs="Times New Roman"/>
          <w:sz w:val="24"/>
          <w:szCs w:val="24"/>
        </w:rPr>
        <w:t xml:space="preserve">. </w:t>
      </w:r>
    </w:p>
    <w:p w14:paraId="5F2F7DCD" w14:textId="66BA1770" w:rsidR="00384452" w:rsidRPr="00CA0124" w:rsidRDefault="00F12135"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Uno de los primeros autores notables en recibir la herencia kantiana, para discutirla y re-interpretarla, es Hegel, quien ofrece un acento en la intersubjetividad, el reconocimiento, el sentido histórico de lo humano y la consideración de una lógica que va más allá del modelo que tiene sus bases en Aristóteles, es decir, que en su caso, lo racional no se limita a la facultad humana como tal, sino que se entiende que la realidad misma se encuentra articulada con esta lógica de contrarios, que en contraste dialéctico produce un sentido pleno o absoluto. De acuerdo a Reiss, las generaciones posteriores a Kant no pudieron dejar de asimilar su sistema, o bien criticarlo, pero nunca dejándolo de lado. (Cfr. 1991) E</w:t>
      </w:r>
      <w:r w:rsidR="007F11D9" w:rsidRPr="00CA0124">
        <w:rPr>
          <w:rFonts w:ascii="Times New Roman" w:hAnsi="Times New Roman" w:cs="Times New Roman"/>
          <w:sz w:val="24"/>
          <w:szCs w:val="24"/>
        </w:rPr>
        <w:t>n e</w:t>
      </w:r>
      <w:r w:rsidRPr="00CA0124">
        <w:rPr>
          <w:rFonts w:ascii="Times New Roman" w:hAnsi="Times New Roman" w:cs="Times New Roman"/>
          <w:sz w:val="24"/>
          <w:szCs w:val="24"/>
        </w:rPr>
        <w:t>l caso de los alemanes del romanticismo la postura es más clara, en cuanto</w:t>
      </w:r>
      <w:r w:rsidR="007F11D9" w:rsidRPr="00CA0124">
        <w:rPr>
          <w:rFonts w:ascii="Times New Roman" w:hAnsi="Times New Roman" w:cs="Times New Roman"/>
          <w:sz w:val="24"/>
          <w:szCs w:val="24"/>
        </w:rPr>
        <w:t xml:space="preserve"> para ellos “Kant era el archi-enemigo: en la medida en que encarnaba, según ellos, las características de la ilustración contra la que ellos lucharon con tanta vehemencia.” (1991, p.13)</w:t>
      </w:r>
      <w:r w:rsidR="009548A5" w:rsidRPr="00CA0124">
        <w:rPr>
          <w:rFonts w:ascii="Times New Roman" w:hAnsi="Times New Roman" w:cs="Times New Roman"/>
          <w:sz w:val="24"/>
          <w:szCs w:val="24"/>
        </w:rPr>
        <w:t xml:space="preserve"> En este </w:t>
      </w:r>
      <w:r w:rsidR="009548A5" w:rsidRPr="00CA0124">
        <w:rPr>
          <w:rFonts w:ascii="Times New Roman" w:hAnsi="Times New Roman" w:cs="Times New Roman"/>
          <w:sz w:val="24"/>
          <w:szCs w:val="24"/>
        </w:rPr>
        <w:lastRenderedPageBreak/>
        <w:t>sentido, se puede considerar el pensamiento de Kant como una base para el idealismo alemán, como en el caso de Fichte</w:t>
      </w:r>
      <w:r w:rsidR="00384452" w:rsidRPr="00CA0124">
        <w:rPr>
          <w:rFonts w:ascii="Times New Roman" w:hAnsi="Times New Roman" w:cs="Times New Roman"/>
          <w:sz w:val="24"/>
          <w:szCs w:val="24"/>
        </w:rPr>
        <w:t xml:space="preserve"> y su consideración de la metafísica fundamentada en el concepto de </w:t>
      </w:r>
      <w:r w:rsidR="008D20AB">
        <w:rPr>
          <w:rFonts w:ascii="Times New Roman" w:hAnsi="Times New Roman" w:cs="Times New Roman"/>
          <w:sz w:val="24"/>
          <w:szCs w:val="24"/>
        </w:rPr>
        <w:t xml:space="preserve">un </w:t>
      </w:r>
      <w:r w:rsidR="00384452" w:rsidRPr="00CA0124">
        <w:rPr>
          <w:rFonts w:ascii="Times New Roman" w:hAnsi="Times New Roman" w:cs="Times New Roman"/>
          <w:sz w:val="24"/>
          <w:szCs w:val="24"/>
        </w:rPr>
        <w:t xml:space="preserve">“Yo trascendental”, o bien, en el caso de Schelling en su filosofía de la naturaleza, o bien, como se ha mencionado, en el caso de Hegel, en particular en su fenomenología o ciencia de la experiencia de la consciencia y la autoconsciencia. </w:t>
      </w:r>
    </w:p>
    <w:p w14:paraId="2AE03469" w14:textId="03D41394" w:rsidR="00384452" w:rsidRPr="00CA0124" w:rsidRDefault="00384452"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En este sentido, el aporte de Kant para la fenomenología es amplio, considerando el insumo que representa para el pensamiento de Hegel, Husserl, Heidegger y otros como Merleau-Ponty, Marion, Derrida, entre otros. En este mismo panorama, el aporte de Kant representa una influencia en los campos de la epistemología y de la filosofía analítica, como se evidencia en el caso de Sellars, Strawson y especialmente Putnam, con la noción de “realismo interno”.</w:t>
      </w:r>
    </w:p>
    <w:p w14:paraId="07BF98F2" w14:textId="550C4C86" w:rsidR="007F11D9" w:rsidRPr="00CA0124" w:rsidRDefault="007F11D9"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Probablemente uno de los autores más importantes a la hora de rescatar las consideraciones de Kant, en el contexto de la filosofía política</w:t>
      </w:r>
      <w:r w:rsidR="008D20AB">
        <w:rPr>
          <w:rFonts w:ascii="Times New Roman" w:hAnsi="Times New Roman" w:cs="Times New Roman"/>
          <w:sz w:val="24"/>
          <w:szCs w:val="24"/>
        </w:rPr>
        <w:t xml:space="preserve"> contemporánea</w:t>
      </w:r>
      <w:r w:rsidRPr="00CA0124">
        <w:rPr>
          <w:rFonts w:ascii="Times New Roman" w:hAnsi="Times New Roman" w:cs="Times New Roman"/>
          <w:sz w:val="24"/>
          <w:szCs w:val="24"/>
        </w:rPr>
        <w:t xml:space="preserve">, es la obra de John Rawls, quien reavivó el debate por una disciplina que había sido dejada de lado en tiempos de supremacía del positivismo, la filosofía del lenguaje y la filosofía analítica. </w:t>
      </w:r>
      <w:r w:rsidR="006654B4" w:rsidRPr="00CA0124">
        <w:rPr>
          <w:rFonts w:ascii="Times New Roman" w:hAnsi="Times New Roman" w:cs="Times New Roman"/>
          <w:sz w:val="24"/>
          <w:szCs w:val="24"/>
        </w:rPr>
        <w:t xml:space="preserve">En este contexto es importante resaltar la desacreditación de la metafísica que algunos autores neokantianos, especialmente como el caso de Flikschuh, consideran algo importante de rescatar para las discusiones sobre filosofía política, especialmente en el registro del liberalismo. </w:t>
      </w:r>
    </w:p>
    <w:p w14:paraId="6ACBF8AC" w14:textId="41DA641E" w:rsidR="0061135E" w:rsidRPr="00CA0124" w:rsidRDefault="00F5189C"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Del mismo modo, cabe considerar la influencia de Kant en la filosofía crítica de la escuela de estudios sociales de Frankfurt, </w:t>
      </w:r>
      <w:r w:rsidR="009548A5" w:rsidRPr="00CA0124">
        <w:rPr>
          <w:rFonts w:ascii="Times New Roman" w:hAnsi="Times New Roman" w:cs="Times New Roman"/>
          <w:sz w:val="24"/>
          <w:szCs w:val="24"/>
        </w:rPr>
        <w:t>que,</w:t>
      </w:r>
      <w:r w:rsidRPr="00CA0124">
        <w:rPr>
          <w:rFonts w:ascii="Times New Roman" w:hAnsi="Times New Roman" w:cs="Times New Roman"/>
          <w:sz w:val="24"/>
          <w:szCs w:val="24"/>
        </w:rPr>
        <w:t xml:space="preserve"> si bien tienen una tradición más orientada a las teorías de Freud</w:t>
      </w:r>
      <w:r w:rsidR="008D20AB">
        <w:rPr>
          <w:rFonts w:ascii="Times New Roman" w:hAnsi="Times New Roman" w:cs="Times New Roman"/>
          <w:sz w:val="24"/>
          <w:szCs w:val="24"/>
        </w:rPr>
        <w:t xml:space="preserve">, Marx </w:t>
      </w:r>
      <w:r w:rsidRPr="00CA0124">
        <w:rPr>
          <w:rFonts w:ascii="Times New Roman" w:hAnsi="Times New Roman" w:cs="Times New Roman"/>
          <w:sz w:val="24"/>
          <w:szCs w:val="24"/>
        </w:rPr>
        <w:t xml:space="preserve">y Hegel, en el caso de algunos aspectos estéticos y otros, se puede reconocer la huella kantiana, si bien en muchos casos es para ser sometida a crítica, como </w:t>
      </w:r>
      <w:r w:rsidR="008E27B0" w:rsidRPr="00CA0124">
        <w:rPr>
          <w:rFonts w:ascii="Times New Roman" w:hAnsi="Times New Roman" w:cs="Times New Roman"/>
          <w:sz w:val="24"/>
          <w:szCs w:val="24"/>
        </w:rPr>
        <w:t>representación del pensamiento</w:t>
      </w:r>
      <w:r w:rsidRPr="00CA0124">
        <w:rPr>
          <w:rFonts w:ascii="Times New Roman" w:hAnsi="Times New Roman" w:cs="Times New Roman"/>
          <w:sz w:val="24"/>
          <w:szCs w:val="24"/>
        </w:rPr>
        <w:t xml:space="preserve"> de la ilustración.</w:t>
      </w:r>
      <w:r w:rsidR="006654B4" w:rsidRPr="00CA0124">
        <w:rPr>
          <w:rFonts w:ascii="Times New Roman" w:hAnsi="Times New Roman" w:cs="Times New Roman"/>
          <w:sz w:val="24"/>
          <w:szCs w:val="24"/>
        </w:rPr>
        <w:t xml:space="preserve"> Así, en el ámbito de la ética y la filosofía moral, algunos autores asociados a la escuela de Frankfurt, tales como Habermas</w:t>
      </w:r>
      <w:r w:rsidR="008D20AB">
        <w:rPr>
          <w:rFonts w:ascii="Times New Roman" w:hAnsi="Times New Roman" w:cs="Times New Roman"/>
          <w:sz w:val="24"/>
          <w:szCs w:val="24"/>
        </w:rPr>
        <w:t xml:space="preserve"> y Forst</w:t>
      </w:r>
      <w:r w:rsidR="006654B4" w:rsidRPr="00CA0124">
        <w:rPr>
          <w:rFonts w:ascii="Times New Roman" w:hAnsi="Times New Roman" w:cs="Times New Roman"/>
          <w:sz w:val="24"/>
          <w:szCs w:val="24"/>
        </w:rPr>
        <w:t xml:space="preserve">, han realizado propuestas que actualizan los temas discutidos por Kant. Para Habermas, la ética del discurso se sustenta en la acción comunicativa, lo que presupone tanto a la razón como piedra de toque o encuentro, al mismo tiempo que se reconoce el carácter intersubjetivo que Kant buscó resaltar con el uso de la razón pública. Además, sus principios “U” y “D”, parecen referirse a una actualización de la formulación del imperativo categórico, teniendo en cuenta que los involucrados en la deliberación abierta deben facultar su consentimiento, en la medida en que se ven afectados directamente por lo debatido. (Cfr. Habermas, 1989) </w:t>
      </w:r>
    </w:p>
    <w:p w14:paraId="2496C221" w14:textId="12F45E0A" w:rsidR="006654B4" w:rsidRPr="00CA0124" w:rsidRDefault="006654B4"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lastRenderedPageBreak/>
        <w:t xml:space="preserve">Sobre esta base, Apel (1991) ofrece una comprensión de la ética del discurso que mezcla dos elementos clave que no podemos dejar de tener en cuenta, por cuanto involucra un aspecto pragmático, al mismo tiempo que trascendental, es decir, que se ocupa de la razón práctica orientada por </w:t>
      </w:r>
      <w:r w:rsidR="009364A2" w:rsidRPr="00CA0124">
        <w:rPr>
          <w:rFonts w:ascii="Times New Roman" w:hAnsi="Times New Roman" w:cs="Times New Roman"/>
          <w:sz w:val="24"/>
          <w:szCs w:val="24"/>
        </w:rPr>
        <w:t>la guía de la reflexión metafísica, siempre y cuando ésta sea crítica y no dogmática</w:t>
      </w:r>
      <w:r w:rsidR="0061135E" w:rsidRPr="00CA0124">
        <w:rPr>
          <w:rFonts w:ascii="Times New Roman" w:hAnsi="Times New Roman" w:cs="Times New Roman"/>
          <w:sz w:val="24"/>
          <w:szCs w:val="24"/>
        </w:rPr>
        <w:t xml:space="preserve">, es decir, </w:t>
      </w:r>
      <w:r w:rsidR="008D20AB">
        <w:rPr>
          <w:rFonts w:ascii="Times New Roman" w:hAnsi="Times New Roman" w:cs="Times New Roman"/>
          <w:sz w:val="24"/>
          <w:szCs w:val="24"/>
        </w:rPr>
        <w:t xml:space="preserve">en </w:t>
      </w:r>
      <w:r w:rsidR="0061135E" w:rsidRPr="00CA0124">
        <w:rPr>
          <w:rFonts w:ascii="Times New Roman" w:hAnsi="Times New Roman" w:cs="Times New Roman"/>
          <w:sz w:val="24"/>
          <w:szCs w:val="24"/>
        </w:rPr>
        <w:t xml:space="preserve">cuanto se adecúe en función de la experiencia y lo práctico, sin desentenderse del poder de las ideas como conceptos regentes para la conducta humana. </w:t>
      </w:r>
    </w:p>
    <w:p w14:paraId="4F26292A" w14:textId="77952ABE" w:rsidR="00F5189C" w:rsidRPr="00CA0124" w:rsidRDefault="006654B4"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En la misma línea, Koorsgaard tiene una lectura de la razón práctica en Kant que le acerca a Aristóteles, si bien, sus modelos </w:t>
      </w:r>
      <w:r w:rsidR="009364A2" w:rsidRPr="00CA0124">
        <w:rPr>
          <w:rFonts w:ascii="Times New Roman" w:hAnsi="Times New Roman" w:cs="Times New Roman"/>
          <w:sz w:val="24"/>
          <w:szCs w:val="24"/>
        </w:rPr>
        <w:t xml:space="preserve">morales </w:t>
      </w:r>
      <w:r w:rsidRPr="00CA0124">
        <w:rPr>
          <w:rFonts w:ascii="Times New Roman" w:hAnsi="Times New Roman" w:cs="Times New Roman"/>
          <w:sz w:val="24"/>
          <w:szCs w:val="24"/>
        </w:rPr>
        <w:t xml:space="preserve">clásicos son de claros límites, en </w:t>
      </w:r>
      <w:r w:rsidR="008D20AB">
        <w:rPr>
          <w:rFonts w:ascii="Times New Roman" w:hAnsi="Times New Roman" w:cs="Times New Roman"/>
          <w:sz w:val="24"/>
          <w:szCs w:val="24"/>
        </w:rPr>
        <w:t>relación a</w:t>
      </w:r>
      <w:r w:rsidRPr="00CA0124">
        <w:rPr>
          <w:rFonts w:ascii="Times New Roman" w:hAnsi="Times New Roman" w:cs="Times New Roman"/>
          <w:sz w:val="24"/>
          <w:szCs w:val="24"/>
        </w:rPr>
        <w:t xml:space="preserve"> una propuesta</w:t>
      </w:r>
      <w:r w:rsidR="00802A98" w:rsidRPr="00CA0124">
        <w:rPr>
          <w:rFonts w:ascii="Times New Roman" w:hAnsi="Times New Roman" w:cs="Times New Roman"/>
          <w:sz w:val="24"/>
          <w:szCs w:val="24"/>
        </w:rPr>
        <w:t xml:space="preserve"> de las virtudes o </w:t>
      </w:r>
      <w:r w:rsidRPr="00CA0124">
        <w:rPr>
          <w:rFonts w:ascii="Times New Roman" w:hAnsi="Times New Roman" w:cs="Times New Roman"/>
          <w:sz w:val="24"/>
          <w:szCs w:val="24"/>
        </w:rPr>
        <w:t>eudaimonista, en el caso de Aristóteles, y</w:t>
      </w:r>
      <w:r w:rsidR="00802A98" w:rsidRPr="00CA0124">
        <w:rPr>
          <w:rFonts w:ascii="Times New Roman" w:hAnsi="Times New Roman" w:cs="Times New Roman"/>
          <w:sz w:val="24"/>
          <w:szCs w:val="24"/>
        </w:rPr>
        <w:t xml:space="preserve"> por otro lado,</w:t>
      </w:r>
      <w:r w:rsidRPr="00CA0124">
        <w:rPr>
          <w:rFonts w:ascii="Times New Roman" w:hAnsi="Times New Roman" w:cs="Times New Roman"/>
          <w:sz w:val="24"/>
          <w:szCs w:val="24"/>
        </w:rPr>
        <w:t xml:space="preserve"> bajo la perspectiva deontológica, en el caso de Kant</w:t>
      </w:r>
      <w:r w:rsidR="0061135E" w:rsidRPr="00CA0124">
        <w:rPr>
          <w:rFonts w:ascii="Times New Roman" w:hAnsi="Times New Roman" w:cs="Times New Roman"/>
          <w:sz w:val="24"/>
          <w:szCs w:val="24"/>
        </w:rPr>
        <w:t>;</w:t>
      </w:r>
      <w:r w:rsidRPr="00CA0124">
        <w:rPr>
          <w:rFonts w:ascii="Times New Roman" w:hAnsi="Times New Roman" w:cs="Times New Roman"/>
          <w:sz w:val="24"/>
          <w:szCs w:val="24"/>
        </w:rPr>
        <w:t xml:space="preserve"> Koorsgard</w:t>
      </w:r>
      <w:r w:rsidR="009364A2" w:rsidRPr="00CA0124">
        <w:rPr>
          <w:rFonts w:ascii="Times New Roman" w:hAnsi="Times New Roman" w:cs="Times New Roman"/>
          <w:sz w:val="24"/>
          <w:szCs w:val="24"/>
        </w:rPr>
        <w:t xml:space="preserve"> resalta el hecho de que la razón, en cuanto facultad, no se limita a una pura receptividad, como ocurre en el caso del uso de la razón teórica</w:t>
      </w:r>
      <w:r w:rsidR="00802A98" w:rsidRPr="00CA0124">
        <w:rPr>
          <w:rFonts w:ascii="Times New Roman" w:hAnsi="Times New Roman" w:cs="Times New Roman"/>
          <w:sz w:val="24"/>
          <w:szCs w:val="24"/>
        </w:rPr>
        <w:t xml:space="preserve"> kantiana</w:t>
      </w:r>
      <w:r w:rsidR="009364A2" w:rsidRPr="00CA0124">
        <w:rPr>
          <w:rFonts w:ascii="Times New Roman" w:hAnsi="Times New Roman" w:cs="Times New Roman"/>
          <w:sz w:val="24"/>
          <w:szCs w:val="24"/>
        </w:rPr>
        <w:t>, sino que se proyecta a un uso activo, en lo que se refiere a lo articulado como guía para la acción moral, en el caso de la razón práctica</w:t>
      </w:r>
      <w:r w:rsidR="00802A98" w:rsidRPr="00CA0124">
        <w:rPr>
          <w:rFonts w:ascii="Times New Roman" w:hAnsi="Times New Roman" w:cs="Times New Roman"/>
          <w:sz w:val="24"/>
          <w:szCs w:val="24"/>
        </w:rPr>
        <w:t>, de nuevo, siguiendo a Kant</w:t>
      </w:r>
      <w:r w:rsidR="009364A2" w:rsidRPr="00CA0124">
        <w:rPr>
          <w:rFonts w:ascii="Times New Roman" w:hAnsi="Times New Roman" w:cs="Times New Roman"/>
          <w:sz w:val="24"/>
          <w:szCs w:val="24"/>
        </w:rPr>
        <w:t xml:space="preserve">. </w:t>
      </w:r>
      <w:r w:rsidR="0061135E" w:rsidRPr="00CA0124">
        <w:rPr>
          <w:rFonts w:ascii="Times New Roman" w:hAnsi="Times New Roman" w:cs="Times New Roman"/>
          <w:sz w:val="24"/>
          <w:szCs w:val="24"/>
        </w:rPr>
        <w:t>Por ello, ella refiere que: “Razonar es una actividad autoconsciente y autodirigida mediante la cual modelamos deliberadamente las informaciones de la receptividad.” (2004, p.88) y luego agrega lo siguiente: “Esto ocurre tanto en el caso del razonamiento teórico, mediante el cual construimos una explicación científica del mundo, como en el caso del razonamiento práctico, cuya manifestación característica es la elección.” (</w:t>
      </w:r>
      <w:r w:rsidR="0061135E" w:rsidRPr="00CA0124">
        <w:rPr>
          <w:rFonts w:ascii="Times New Roman" w:hAnsi="Times New Roman" w:cs="Times New Roman"/>
          <w:i/>
          <w:iCs/>
          <w:sz w:val="24"/>
          <w:szCs w:val="24"/>
        </w:rPr>
        <w:t>Ib.</w:t>
      </w:r>
      <w:r w:rsidR="0061135E" w:rsidRPr="00CA0124">
        <w:rPr>
          <w:rFonts w:ascii="Times New Roman" w:hAnsi="Times New Roman" w:cs="Times New Roman"/>
          <w:sz w:val="24"/>
          <w:szCs w:val="24"/>
        </w:rPr>
        <w:t>)</w:t>
      </w:r>
    </w:p>
    <w:p w14:paraId="49D9DF9A" w14:textId="7A410420" w:rsidR="005B4F55" w:rsidRPr="00CA0124" w:rsidRDefault="005B4F55"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De acuerdo a Koorsgard, </w:t>
      </w:r>
      <w:r w:rsidR="0024312D" w:rsidRPr="00CA0124">
        <w:rPr>
          <w:rFonts w:ascii="Times New Roman" w:hAnsi="Times New Roman" w:cs="Times New Roman"/>
          <w:sz w:val="24"/>
          <w:szCs w:val="24"/>
        </w:rPr>
        <w:t>la palabra razón tiene distintos sentidos</w:t>
      </w:r>
      <w:r w:rsidR="00802A98" w:rsidRPr="00CA0124">
        <w:rPr>
          <w:rFonts w:ascii="Times New Roman" w:hAnsi="Times New Roman" w:cs="Times New Roman"/>
          <w:sz w:val="24"/>
          <w:szCs w:val="24"/>
        </w:rPr>
        <w:t>; ella señala que tradicionalmente: “la razón también se ha identificado con el empleo de ciertos principios o con una mera conformidad con dichos principios.” (p. 89) Estos principios que Koorsgard refiere podrían entenderse como aquellos juicios que adquieren validez implícita por su carácter lógico o racional, al margen de lo particular o subjetivo, volviendo a algún tipo de ideas que se podrían entender como independientes de la experiencia, o bien, incondicionados. Ella agrega, respectos de estos principios, que: “entre ellos se encuentran, por ejemplo, los principios de la inferencia lógica, los principios que Kant identificó como los principios del entendimiento, los principios matemáticos y los principios de la razón práctica.” (</w:t>
      </w:r>
      <w:r w:rsidR="00802A98" w:rsidRPr="00CA0124">
        <w:rPr>
          <w:rFonts w:ascii="Times New Roman" w:hAnsi="Times New Roman" w:cs="Times New Roman"/>
          <w:i/>
          <w:iCs/>
          <w:sz w:val="24"/>
          <w:szCs w:val="24"/>
        </w:rPr>
        <w:t>Ib.</w:t>
      </w:r>
      <w:r w:rsidR="00802A98" w:rsidRPr="00CA0124">
        <w:rPr>
          <w:rFonts w:ascii="Times New Roman" w:hAnsi="Times New Roman" w:cs="Times New Roman"/>
          <w:sz w:val="24"/>
          <w:szCs w:val="24"/>
        </w:rPr>
        <w:t xml:space="preserve">) Esta distinción </w:t>
      </w:r>
      <w:r w:rsidR="005D2589" w:rsidRPr="00CA0124">
        <w:rPr>
          <w:rFonts w:ascii="Times New Roman" w:hAnsi="Times New Roman" w:cs="Times New Roman"/>
          <w:sz w:val="24"/>
          <w:szCs w:val="24"/>
        </w:rPr>
        <w:t xml:space="preserve">supone considerar a la lógica y su operatividad bajo el marco de las categorías del entendimiento, que ubican algún tipo de autosuficiencia en cierto tipo de concepto. Del mismo modo, los axiomas de las matemáticas y la geometría, poseen un tipo de carácter universal de aplicación </w:t>
      </w:r>
      <w:r w:rsidR="005D2589" w:rsidRPr="00CA0124">
        <w:rPr>
          <w:rFonts w:ascii="Times New Roman" w:hAnsi="Times New Roman" w:cs="Times New Roman"/>
          <w:sz w:val="24"/>
          <w:szCs w:val="24"/>
        </w:rPr>
        <w:lastRenderedPageBreak/>
        <w:t xml:space="preserve">incondicionada, y en la misma línea, la física (específicamente el modelo newtoniano) posee del mismo modo cierto tipo de principios que se adecúan a la realidad hasta cierto punto razonable y pragmático. Finalmente, hay dos caras del uso de la razón práctica que cabe resaltar; por un lado, la razón proyecta un escenario desde el cual ciertos juicios adquieren sentido, y el presupuesto fundamental para cualquier enunciado implica un “yo” que articula el pensamiento, al mismo tiempo que se sobrentiende como presente en un “mundo”, creado por una entidad que podría llamarse “Dios”. Además, para todo uso práctico final de la razón hace falta presuponer la “libertad” y que tenemos un “alma” o espíritu que anima nuestra mezcla de materia y forma. Estas ideas referidas son postulados de la razón práctica, de las cuales carecemos de experiencia plena, y, sin embargo, necesitamos para establecer un horizonte de significado, que dote de sentido al resto de juicios o pensamientos. En este sentido, la parte “pasiva” de la razón práctica proyecta estos conceptos como realidades, </w:t>
      </w:r>
      <w:r w:rsidR="00400307" w:rsidRPr="00CA0124">
        <w:rPr>
          <w:rFonts w:ascii="Times New Roman" w:hAnsi="Times New Roman" w:cs="Times New Roman"/>
          <w:sz w:val="24"/>
          <w:szCs w:val="24"/>
        </w:rPr>
        <w:t>aun</w:t>
      </w:r>
      <w:r w:rsidR="005D2589" w:rsidRPr="00CA0124">
        <w:rPr>
          <w:rFonts w:ascii="Times New Roman" w:hAnsi="Times New Roman" w:cs="Times New Roman"/>
          <w:sz w:val="24"/>
          <w:szCs w:val="24"/>
        </w:rPr>
        <w:t xml:space="preserve"> considerando que carecemos plena experiencia de las mismas con la finalidad de otorgar coherencia y sentido al otro ámbito, el de la razón “activa” práctica, que se encarga puntualmente de resolver rumbos, en cuanto guías como principios para la acción concreta e histórica. </w:t>
      </w:r>
    </w:p>
    <w:p w14:paraId="35BF8759" w14:textId="3AE2DBD5" w:rsidR="005D2589" w:rsidRPr="00CA0124" w:rsidRDefault="005D2589"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Por todo lo dicho, de acuerdo a Koorsgard, la razón puede significar una apelación a estas instancias, que aluden a la racionalidad en general, como un marco lógico, a los axiomas matemáticos y físicos, </w:t>
      </w:r>
      <w:r w:rsidR="00750218" w:rsidRPr="00CA0124">
        <w:rPr>
          <w:rFonts w:ascii="Times New Roman" w:hAnsi="Times New Roman" w:cs="Times New Roman"/>
          <w:sz w:val="24"/>
          <w:szCs w:val="24"/>
        </w:rPr>
        <w:t>y,</w:t>
      </w:r>
      <w:r w:rsidRPr="00CA0124">
        <w:rPr>
          <w:rFonts w:ascii="Times New Roman" w:hAnsi="Times New Roman" w:cs="Times New Roman"/>
          <w:sz w:val="24"/>
          <w:szCs w:val="24"/>
        </w:rPr>
        <w:t xml:space="preserve"> por último, a los sentidos pasivo y activo de la razón práctica. Agregado a ello, ella suma lo siguiente: “Se dice que una persona es razonable cuando sus creencias y acciones se ajustan a los mandatos de dichos principios, o cuando se guía por ellos de forma deliberada. </w:t>
      </w:r>
      <w:r w:rsidR="00750218" w:rsidRPr="00CA0124">
        <w:rPr>
          <w:rFonts w:ascii="Times New Roman" w:hAnsi="Times New Roman" w:cs="Times New Roman"/>
          <w:sz w:val="24"/>
          <w:szCs w:val="24"/>
        </w:rPr>
        <w:t>Y,</w:t>
      </w:r>
      <w:r w:rsidRPr="00CA0124">
        <w:rPr>
          <w:rFonts w:ascii="Times New Roman" w:hAnsi="Times New Roman" w:cs="Times New Roman"/>
          <w:sz w:val="24"/>
          <w:szCs w:val="24"/>
        </w:rPr>
        <w:t xml:space="preserve"> por último, hay consideraciones particulares, que favorecen una creencia o acción, a las cuales llamamos razones.” (p.</w:t>
      </w:r>
      <w:r w:rsidR="00DE1C8F" w:rsidRPr="00CA0124">
        <w:rPr>
          <w:rFonts w:ascii="Times New Roman" w:hAnsi="Times New Roman" w:cs="Times New Roman"/>
          <w:sz w:val="24"/>
          <w:szCs w:val="24"/>
        </w:rPr>
        <w:t xml:space="preserve"> </w:t>
      </w:r>
      <w:r w:rsidRPr="00CA0124">
        <w:rPr>
          <w:rFonts w:ascii="Times New Roman" w:hAnsi="Times New Roman" w:cs="Times New Roman"/>
          <w:sz w:val="24"/>
          <w:szCs w:val="24"/>
        </w:rPr>
        <w:t>89)</w:t>
      </w:r>
      <w:r w:rsidR="00750218" w:rsidRPr="00CA0124">
        <w:rPr>
          <w:rFonts w:ascii="Times New Roman" w:hAnsi="Times New Roman" w:cs="Times New Roman"/>
          <w:sz w:val="24"/>
          <w:szCs w:val="24"/>
        </w:rPr>
        <w:t xml:space="preserve"> De este modo, podemos pensar en la razón, tanto en cuanto representa una operatividad mental humana, como en sus efectos prácticos, en el sentido en que gobiernan nuestras decisiones y deliberaciones. Estos principios de la razón son precisamente el eje que articula tanto la tesis de Forst, como de Flikschuh, como veremos más adelante. </w:t>
      </w:r>
    </w:p>
    <w:p w14:paraId="3FE2F403" w14:textId="5D3FCBE0" w:rsidR="00EE626F" w:rsidRPr="00CA0124" w:rsidRDefault="00EE626F"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Koorsgard plantea su lectura de una posible unión entre las perspectivas de Aristóteles y Kant en virtud del poder que tiene la justificación para el entramado de significados intersubjetivos de toda relación humana; en este mismo sentido, ella refiere: “la visión que tiene Aristóteles de la naturaleza de la acción coincide con la de Kant. Kant cree que una acción se describe con una máxima, y que la máxima de una acción es también la máxima de la estructura de &lt;hacer-este-acto-por-este-fin&gt;.” (p. 103)</w:t>
      </w:r>
      <w:r w:rsidR="005260A1" w:rsidRPr="00CA0124">
        <w:rPr>
          <w:rFonts w:ascii="Times New Roman" w:hAnsi="Times New Roman" w:cs="Times New Roman"/>
          <w:sz w:val="24"/>
          <w:szCs w:val="24"/>
        </w:rPr>
        <w:t xml:space="preserve"> La razón, de esta </w:t>
      </w:r>
      <w:r w:rsidR="005260A1" w:rsidRPr="00CA0124">
        <w:rPr>
          <w:rFonts w:ascii="Times New Roman" w:hAnsi="Times New Roman" w:cs="Times New Roman"/>
          <w:sz w:val="24"/>
          <w:szCs w:val="24"/>
        </w:rPr>
        <w:lastRenderedPageBreak/>
        <w:t xml:space="preserve">manera, articula los actos mediante justificaciones, y esto se comprueba cuando constatamos que exigimos razones a todo agente que obra de cualquier modo, e incluso cuando </w:t>
      </w:r>
      <w:r w:rsidR="00074487" w:rsidRPr="00CA0124">
        <w:rPr>
          <w:rFonts w:ascii="Times New Roman" w:hAnsi="Times New Roman" w:cs="Times New Roman"/>
          <w:sz w:val="24"/>
          <w:szCs w:val="24"/>
        </w:rPr>
        <w:t>pareciera o se declarase que no hubiera motivos o razones detrás de los actos, muchas veces insistimos en buscarlos, aunque estén de modo oculto o sublimado. Así: “una acción es un objeto esencialmente inteligible que encarna una razón”. (p. 118)</w:t>
      </w:r>
    </w:p>
    <w:p w14:paraId="2FCCF796" w14:textId="77777777" w:rsidR="00A01AC7" w:rsidRPr="00CA0124" w:rsidRDefault="00A01AC7" w:rsidP="00CA0124">
      <w:pPr>
        <w:spacing w:line="360" w:lineRule="auto"/>
        <w:rPr>
          <w:rFonts w:ascii="Times New Roman" w:hAnsi="Times New Roman" w:cs="Times New Roman"/>
          <w:b/>
          <w:bCs/>
          <w:sz w:val="24"/>
          <w:szCs w:val="24"/>
          <w:u w:val="single"/>
        </w:rPr>
      </w:pPr>
    </w:p>
    <w:p w14:paraId="07A484F5" w14:textId="77777777" w:rsidR="007A1530" w:rsidRPr="00CA0124" w:rsidRDefault="007A1530" w:rsidP="00CA0124">
      <w:pPr>
        <w:spacing w:line="360" w:lineRule="auto"/>
        <w:rPr>
          <w:rFonts w:ascii="Times New Roman" w:hAnsi="Times New Roman" w:cs="Times New Roman"/>
          <w:b/>
          <w:bCs/>
          <w:sz w:val="24"/>
          <w:szCs w:val="24"/>
          <w:u w:val="single"/>
        </w:rPr>
      </w:pPr>
    </w:p>
    <w:p w14:paraId="0B5D484C" w14:textId="77777777" w:rsidR="000F20A4" w:rsidRPr="00CA0124" w:rsidRDefault="000F20A4" w:rsidP="00CA0124">
      <w:pPr>
        <w:pStyle w:val="ListParagraph"/>
        <w:numPr>
          <w:ilvl w:val="0"/>
          <w:numId w:val="3"/>
        </w:numPr>
        <w:spacing w:line="360" w:lineRule="auto"/>
        <w:rPr>
          <w:rFonts w:ascii="Times New Roman" w:hAnsi="Times New Roman" w:cs="Times New Roman"/>
          <w:b/>
          <w:bCs/>
          <w:sz w:val="24"/>
          <w:szCs w:val="24"/>
          <w:u w:val="single"/>
        </w:rPr>
      </w:pPr>
      <w:r w:rsidRPr="00CA0124">
        <w:rPr>
          <w:rFonts w:ascii="Times New Roman" w:hAnsi="Times New Roman" w:cs="Times New Roman"/>
          <w:b/>
          <w:bCs/>
          <w:sz w:val="24"/>
          <w:szCs w:val="24"/>
          <w:u w:val="single"/>
        </w:rPr>
        <w:t>Los principios metafísicos en las discusiones de filosofía política (K. Flikschuh)</w:t>
      </w:r>
    </w:p>
    <w:p w14:paraId="7C70E8AF" w14:textId="77777777" w:rsidR="00A01AC7" w:rsidRPr="00CA0124" w:rsidRDefault="00A01AC7" w:rsidP="00CA0124">
      <w:pPr>
        <w:spacing w:line="360" w:lineRule="auto"/>
        <w:rPr>
          <w:rFonts w:ascii="Times New Roman" w:hAnsi="Times New Roman" w:cs="Times New Roman"/>
          <w:b/>
          <w:bCs/>
          <w:sz w:val="24"/>
          <w:szCs w:val="24"/>
          <w:u w:val="single"/>
        </w:rPr>
      </w:pPr>
    </w:p>
    <w:p w14:paraId="3AFA0F32" w14:textId="31856E92" w:rsidR="00A01AC7" w:rsidRPr="00CA0124" w:rsidRDefault="00074487"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Katrin Flikschuh tiene una tesis muy sencilla y valiosa respecto de los principios metafísicos, como aquellos articulados en el sistema crítico de Kant. Para ella, los principios metafísicos no solo son importantes, sino que son inevitables, y precisamente por esta razón, ella sostiene que no deben dejarse de tener en cuenta en el marco de las discusiones sobre política, liberalismo y otros, en la actualidad. Ella amplía el concepto de marco categorial que ofrece Stephen Körner, en tanto representa un trasfondo a toda idea práctica, que por muy material que fuera, implica un entramado de razones inteligibles, y por lo tanto justificables. El proceso práctico de deliberar con uno mismo en la libertad personal, o bien, en la co-determinación con otros, en el ámbito de una libertad compartida, recíproca o jurídica, supone que tenemos una serie de valoraciones abstractas, de corte metafísico, y para que este tipo de especulación no fuera dogmática, solamente nos haría falta un sistema crítico del pensamiento, que ponga a la experiencia en su lugar. Por suerte, Kant dedicó largos años a establecer este marco</w:t>
      </w:r>
      <w:r w:rsidR="00400307">
        <w:rPr>
          <w:rFonts w:ascii="Times New Roman" w:hAnsi="Times New Roman" w:cs="Times New Roman"/>
          <w:sz w:val="24"/>
          <w:szCs w:val="24"/>
        </w:rPr>
        <w:t xml:space="preserve"> crítico</w:t>
      </w:r>
      <w:r w:rsidRPr="00CA0124">
        <w:rPr>
          <w:rFonts w:ascii="Times New Roman" w:hAnsi="Times New Roman" w:cs="Times New Roman"/>
          <w:sz w:val="24"/>
          <w:szCs w:val="24"/>
        </w:rPr>
        <w:t xml:space="preserve">, gracias al cual podemos hablar del poder efectivo de las ideas, en escenarios prácticos, históricos y materiales. </w:t>
      </w:r>
    </w:p>
    <w:p w14:paraId="66F11141" w14:textId="324A3083" w:rsidR="00074487" w:rsidRPr="00CA0124" w:rsidRDefault="00876413"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En el libro </w:t>
      </w:r>
      <w:r w:rsidRPr="00CA0124">
        <w:rPr>
          <w:rFonts w:ascii="Times New Roman" w:hAnsi="Times New Roman" w:cs="Times New Roman"/>
          <w:i/>
          <w:iCs/>
          <w:sz w:val="24"/>
          <w:szCs w:val="24"/>
        </w:rPr>
        <w:t>Kant and modern political philosophy</w:t>
      </w:r>
      <w:r w:rsidRPr="00CA0124">
        <w:rPr>
          <w:rFonts w:ascii="Times New Roman" w:hAnsi="Times New Roman" w:cs="Times New Roman"/>
          <w:sz w:val="24"/>
          <w:szCs w:val="24"/>
        </w:rPr>
        <w:t xml:space="preserve"> (2000)</w:t>
      </w:r>
      <w:r w:rsidR="00D63745" w:rsidRPr="00CA0124">
        <w:rPr>
          <w:rFonts w:ascii="Times New Roman" w:hAnsi="Times New Roman" w:cs="Times New Roman"/>
          <w:sz w:val="24"/>
          <w:szCs w:val="24"/>
        </w:rPr>
        <w:t xml:space="preserve"> refiere Flikschuh lo siguiente: “Hay tres aspectos (…) que delimitan mi lectura de la doctrina del derecho de Kant. Lo primero concierne a la importancia</w:t>
      </w:r>
      <w:r w:rsidR="00601FAE" w:rsidRPr="00CA0124">
        <w:rPr>
          <w:rFonts w:ascii="Times New Roman" w:hAnsi="Times New Roman" w:cs="Times New Roman"/>
          <w:sz w:val="24"/>
          <w:szCs w:val="24"/>
        </w:rPr>
        <w:t xml:space="preserve"> de los </w:t>
      </w:r>
      <w:r w:rsidR="00400307" w:rsidRPr="00CA0124">
        <w:rPr>
          <w:rFonts w:ascii="Times New Roman" w:hAnsi="Times New Roman" w:cs="Times New Roman"/>
          <w:sz w:val="24"/>
          <w:szCs w:val="24"/>
        </w:rPr>
        <w:t>límites</w:t>
      </w:r>
      <w:r w:rsidR="00601FAE" w:rsidRPr="00CA0124">
        <w:rPr>
          <w:rFonts w:ascii="Times New Roman" w:hAnsi="Times New Roman" w:cs="Times New Roman"/>
          <w:sz w:val="24"/>
          <w:szCs w:val="24"/>
        </w:rPr>
        <w:t xml:space="preserve"> de la naturaleza en relación a la agencia humana. Lo segundo orbita sobre la noción de la finitud humana y la inevitable interdependencia de los individuos en cuanto agentes. </w:t>
      </w:r>
      <w:r w:rsidR="008E264D" w:rsidRPr="00CA0124">
        <w:rPr>
          <w:rFonts w:ascii="Times New Roman" w:hAnsi="Times New Roman" w:cs="Times New Roman"/>
          <w:sz w:val="24"/>
          <w:szCs w:val="24"/>
        </w:rPr>
        <w:t xml:space="preserve">El tercer aspecto es menos tangible y concierne al role de la metafísica en el pensamiento político. (…) Agrego un cuarto </w:t>
      </w:r>
      <w:r w:rsidR="008E264D" w:rsidRPr="00CA0124">
        <w:rPr>
          <w:rFonts w:ascii="Times New Roman" w:hAnsi="Times New Roman" w:cs="Times New Roman"/>
          <w:sz w:val="24"/>
          <w:szCs w:val="24"/>
        </w:rPr>
        <w:lastRenderedPageBreak/>
        <w:t xml:space="preserve">aspecto sobre la libertad.” </w:t>
      </w:r>
      <w:r w:rsidR="00601FAE" w:rsidRPr="00CA0124">
        <w:rPr>
          <w:rFonts w:ascii="Times New Roman" w:hAnsi="Times New Roman" w:cs="Times New Roman"/>
          <w:sz w:val="24"/>
          <w:szCs w:val="24"/>
        </w:rPr>
        <w:t>(p. 2)</w:t>
      </w:r>
      <w:r w:rsidR="008E264D" w:rsidRPr="00CA0124">
        <w:rPr>
          <w:rFonts w:ascii="Times New Roman" w:hAnsi="Times New Roman" w:cs="Times New Roman"/>
          <w:sz w:val="24"/>
          <w:szCs w:val="24"/>
        </w:rPr>
        <w:t xml:space="preserve"> De esta interpretación podemos rescatar la apelación al uso de principios metafísicos en discusiones actuales, en cuanto por éstos se entiende una idea de la razón en reconocimiento de las relaciones interdependientes, comunicativas y públicas. </w:t>
      </w:r>
      <w:r w:rsidR="00DC1FAE" w:rsidRPr="00CA0124">
        <w:rPr>
          <w:rFonts w:ascii="Times New Roman" w:hAnsi="Times New Roman" w:cs="Times New Roman"/>
          <w:sz w:val="24"/>
          <w:szCs w:val="24"/>
        </w:rPr>
        <w:t>En este sentido, Flikschuh señala que</w:t>
      </w:r>
      <w:r w:rsidR="00400307">
        <w:rPr>
          <w:rFonts w:ascii="Times New Roman" w:hAnsi="Times New Roman" w:cs="Times New Roman"/>
          <w:sz w:val="24"/>
          <w:szCs w:val="24"/>
        </w:rPr>
        <w:t xml:space="preserve"> en</w:t>
      </w:r>
      <w:r w:rsidR="00DC1FAE" w:rsidRPr="00CA0124">
        <w:rPr>
          <w:rFonts w:ascii="Times New Roman" w:hAnsi="Times New Roman" w:cs="Times New Roman"/>
          <w:sz w:val="24"/>
          <w:szCs w:val="24"/>
        </w:rPr>
        <w:t>: “una formulación positiva las asunciones metafísicas no solo son inevitables, sino que además son indispensables.” (p. 5) Por esta razón, afirma que: “la metafísica facilita la teorización coherente sobre, por ejemplo, el problema de la justicia. Lo consigue ofreciendo un marco conceptual subyacente y normativo en los límites en que la teorización práctica consistente puede proceder.” (</w:t>
      </w:r>
      <w:r w:rsidR="00DC1FAE" w:rsidRPr="00CA0124">
        <w:rPr>
          <w:rFonts w:ascii="Times New Roman" w:hAnsi="Times New Roman" w:cs="Times New Roman"/>
          <w:i/>
          <w:iCs/>
          <w:sz w:val="24"/>
          <w:szCs w:val="24"/>
        </w:rPr>
        <w:t>Ib.</w:t>
      </w:r>
      <w:r w:rsidR="00DC1FAE" w:rsidRPr="00CA0124">
        <w:rPr>
          <w:rFonts w:ascii="Times New Roman" w:hAnsi="Times New Roman" w:cs="Times New Roman"/>
          <w:sz w:val="24"/>
          <w:szCs w:val="24"/>
        </w:rPr>
        <w:t>)</w:t>
      </w:r>
    </w:p>
    <w:p w14:paraId="607F29F4" w14:textId="77777777" w:rsidR="007A1530" w:rsidRPr="00CA0124" w:rsidRDefault="007A1530" w:rsidP="00CA0124">
      <w:pPr>
        <w:spacing w:line="360" w:lineRule="auto"/>
        <w:rPr>
          <w:rFonts w:ascii="Times New Roman" w:hAnsi="Times New Roman" w:cs="Times New Roman"/>
          <w:b/>
          <w:bCs/>
          <w:sz w:val="24"/>
          <w:szCs w:val="24"/>
          <w:u w:val="single"/>
        </w:rPr>
      </w:pPr>
    </w:p>
    <w:p w14:paraId="14AB3054" w14:textId="77777777" w:rsidR="000F20A4" w:rsidRPr="00CA0124" w:rsidRDefault="000F20A4" w:rsidP="00CA0124">
      <w:pPr>
        <w:pStyle w:val="ListParagraph"/>
        <w:numPr>
          <w:ilvl w:val="0"/>
          <w:numId w:val="3"/>
        </w:numPr>
        <w:spacing w:line="360" w:lineRule="auto"/>
        <w:rPr>
          <w:rFonts w:ascii="Times New Roman" w:hAnsi="Times New Roman" w:cs="Times New Roman"/>
          <w:b/>
          <w:bCs/>
          <w:sz w:val="24"/>
          <w:szCs w:val="24"/>
          <w:u w:val="single"/>
        </w:rPr>
      </w:pPr>
      <w:r w:rsidRPr="00CA0124">
        <w:rPr>
          <w:rFonts w:ascii="Times New Roman" w:hAnsi="Times New Roman" w:cs="Times New Roman"/>
          <w:b/>
          <w:bCs/>
          <w:sz w:val="24"/>
          <w:szCs w:val="24"/>
          <w:u w:val="single"/>
        </w:rPr>
        <w:t>El poder de las ideas (R. Forst)</w:t>
      </w:r>
    </w:p>
    <w:p w14:paraId="4DF37B6F" w14:textId="77777777" w:rsidR="00A01AC7" w:rsidRPr="00CA0124" w:rsidRDefault="00A01AC7" w:rsidP="00CA0124">
      <w:pPr>
        <w:spacing w:line="360" w:lineRule="auto"/>
        <w:rPr>
          <w:rFonts w:ascii="Times New Roman" w:hAnsi="Times New Roman" w:cs="Times New Roman"/>
          <w:b/>
          <w:bCs/>
          <w:sz w:val="24"/>
          <w:szCs w:val="24"/>
          <w:u w:val="single"/>
        </w:rPr>
      </w:pPr>
    </w:p>
    <w:p w14:paraId="150C17B3" w14:textId="1186C556" w:rsidR="00A01AC7" w:rsidRPr="00CA0124" w:rsidRDefault="00A01AC7"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E</w:t>
      </w:r>
      <w:r w:rsidR="00A257FC" w:rsidRPr="00CA0124">
        <w:rPr>
          <w:rFonts w:ascii="Times New Roman" w:hAnsi="Times New Roman" w:cs="Times New Roman"/>
          <w:sz w:val="24"/>
          <w:szCs w:val="24"/>
        </w:rPr>
        <w:t xml:space="preserve">n </w:t>
      </w:r>
      <w:r w:rsidR="00A257FC" w:rsidRPr="00CA0124">
        <w:rPr>
          <w:rFonts w:ascii="Times New Roman" w:hAnsi="Times New Roman" w:cs="Times New Roman"/>
          <w:i/>
          <w:iCs/>
          <w:sz w:val="24"/>
          <w:szCs w:val="24"/>
        </w:rPr>
        <w:t>Poder Nouménico</w:t>
      </w:r>
      <w:r w:rsidR="00A257FC" w:rsidRPr="00CA0124">
        <w:rPr>
          <w:rFonts w:ascii="Times New Roman" w:hAnsi="Times New Roman" w:cs="Times New Roman"/>
          <w:sz w:val="24"/>
          <w:szCs w:val="24"/>
        </w:rPr>
        <w:t xml:space="preserve"> (2019), Rainer Forst discute y amplía el concepto de poder presentado por Steven Lukes, en virtud de un enfoque radical, del poder, en donde la dominación parece ser el núcleo de la relación. Por otro lado, Forst sostiene contrariamente que: “Mi argumento es que sólo podemos entender qué es el poder y cómo es ejercido una vez que entendemos su naturaleza esencialmente nouménica.” (p. 161)</w:t>
      </w:r>
      <w:r w:rsidR="00AC6E0D" w:rsidRPr="00CA0124">
        <w:rPr>
          <w:rFonts w:ascii="Times New Roman" w:hAnsi="Times New Roman" w:cs="Times New Roman"/>
          <w:sz w:val="24"/>
          <w:szCs w:val="24"/>
        </w:rPr>
        <w:t xml:space="preserve"> Esto supone que, tanto en el caso efectivo de la dominación, como en un ideal caso de un consenso, el poder se </w:t>
      </w:r>
      <w:r w:rsidR="00FA7326" w:rsidRPr="00CA0124">
        <w:rPr>
          <w:rFonts w:ascii="Times New Roman" w:hAnsi="Times New Roman" w:cs="Times New Roman"/>
          <w:sz w:val="24"/>
          <w:szCs w:val="24"/>
        </w:rPr>
        <w:t>entrama en virtud del mundo de las ideas, de los pensamientos, de las razones y de las justificaciones. Incluso la coerción se presenta como una suerte de razón</w:t>
      </w:r>
      <w:r w:rsidR="00B25675" w:rsidRPr="00CA0124">
        <w:rPr>
          <w:rFonts w:ascii="Times New Roman" w:hAnsi="Times New Roman" w:cs="Times New Roman"/>
          <w:sz w:val="24"/>
          <w:szCs w:val="24"/>
        </w:rPr>
        <w:t xml:space="preserve"> no razonable. Forst expresa lo siguiente: “Sostengo que el fenómeno real y general del poder se encuentra en el reino nouménico, es decir, en el espacio de las razones, entendido como el reino de las justificaciones.” (</w:t>
      </w:r>
      <w:r w:rsidR="00B25675" w:rsidRPr="00CA0124">
        <w:rPr>
          <w:rFonts w:ascii="Times New Roman" w:hAnsi="Times New Roman" w:cs="Times New Roman"/>
          <w:i/>
          <w:iCs/>
          <w:sz w:val="24"/>
          <w:szCs w:val="24"/>
        </w:rPr>
        <w:t>Ib.</w:t>
      </w:r>
      <w:r w:rsidR="00B25675" w:rsidRPr="00CA0124">
        <w:rPr>
          <w:rFonts w:ascii="Times New Roman" w:hAnsi="Times New Roman" w:cs="Times New Roman"/>
          <w:sz w:val="24"/>
          <w:szCs w:val="24"/>
        </w:rPr>
        <w:t>) De esto se desprende la intención de Forst en tanto: “El análisis pretende abrir camino a una teoría crítica del poder”. (</w:t>
      </w:r>
      <w:r w:rsidR="00B25675" w:rsidRPr="00CA0124">
        <w:rPr>
          <w:rFonts w:ascii="Times New Roman" w:hAnsi="Times New Roman" w:cs="Times New Roman"/>
          <w:i/>
          <w:iCs/>
          <w:sz w:val="24"/>
          <w:szCs w:val="24"/>
        </w:rPr>
        <w:t>Ib.</w:t>
      </w:r>
      <w:r w:rsidR="00B25675" w:rsidRPr="00CA0124">
        <w:rPr>
          <w:rFonts w:ascii="Times New Roman" w:hAnsi="Times New Roman" w:cs="Times New Roman"/>
          <w:sz w:val="24"/>
          <w:szCs w:val="24"/>
        </w:rPr>
        <w:t>)</w:t>
      </w:r>
    </w:p>
    <w:p w14:paraId="3CDC8525" w14:textId="42940A4D" w:rsidR="00E33066" w:rsidRPr="00CA0124" w:rsidRDefault="00E33066"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Mientras Flikschuh rescata el uso de los principios metafísicos en las discusiones actuales sobre filosofía política, Forst indica que: “En filosofía </w:t>
      </w:r>
      <w:r w:rsidR="004F047B" w:rsidRPr="00CA0124">
        <w:rPr>
          <w:rFonts w:ascii="Times New Roman" w:hAnsi="Times New Roman" w:cs="Times New Roman"/>
          <w:sz w:val="24"/>
          <w:szCs w:val="24"/>
        </w:rPr>
        <w:t>política o social, hablamos todo el tiempo del poder.</w:t>
      </w:r>
      <w:r w:rsidRPr="00CA0124">
        <w:rPr>
          <w:rFonts w:ascii="Times New Roman" w:hAnsi="Times New Roman" w:cs="Times New Roman"/>
          <w:sz w:val="24"/>
          <w:szCs w:val="24"/>
        </w:rPr>
        <w:t>” (p.163)</w:t>
      </w:r>
      <w:r w:rsidR="004F047B" w:rsidRPr="00CA0124">
        <w:rPr>
          <w:rFonts w:ascii="Times New Roman" w:hAnsi="Times New Roman" w:cs="Times New Roman"/>
          <w:sz w:val="24"/>
          <w:szCs w:val="24"/>
        </w:rPr>
        <w:t xml:space="preserve"> De acuerdo a la tesis de Forst, el poder se efectúa desde su naturaleza nouménica, es decir, en el ámbito de la razón y la construcción de sus significados intersubjetivos en la aplicación práctica. De modo más específico, Forst puntualiza que: “para evitar malos entendidos sobre las ideas platónicas o la metafísica kantiana de las </w:t>
      </w:r>
      <w:r w:rsidR="004F047B" w:rsidRPr="00CA0124">
        <w:rPr>
          <w:rFonts w:ascii="Times New Roman" w:hAnsi="Times New Roman" w:cs="Times New Roman"/>
          <w:i/>
          <w:iCs/>
          <w:sz w:val="24"/>
          <w:szCs w:val="24"/>
        </w:rPr>
        <w:t>cosas en sí</w:t>
      </w:r>
      <w:r w:rsidR="004F047B" w:rsidRPr="00CA0124">
        <w:rPr>
          <w:rFonts w:ascii="Times New Roman" w:hAnsi="Times New Roman" w:cs="Times New Roman"/>
          <w:sz w:val="24"/>
          <w:szCs w:val="24"/>
        </w:rPr>
        <w:t>, en el espacio de las razones, para tomar la famosa frase de Sellars, entendido como el reino de las justificaciones.” (</w:t>
      </w:r>
      <w:r w:rsidR="004F047B" w:rsidRPr="00CA0124">
        <w:rPr>
          <w:rFonts w:ascii="Times New Roman" w:hAnsi="Times New Roman" w:cs="Times New Roman"/>
          <w:i/>
          <w:iCs/>
          <w:sz w:val="24"/>
          <w:szCs w:val="24"/>
        </w:rPr>
        <w:t>Ib.</w:t>
      </w:r>
      <w:r w:rsidR="004F047B" w:rsidRPr="00CA0124">
        <w:rPr>
          <w:rFonts w:ascii="Times New Roman" w:hAnsi="Times New Roman" w:cs="Times New Roman"/>
          <w:sz w:val="24"/>
          <w:szCs w:val="24"/>
        </w:rPr>
        <w:t xml:space="preserve">) Este acento resalta el </w:t>
      </w:r>
      <w:r w:rsidR="004F047B" w:rsidRPr="00CA0124">
        <w:rPr>
          <w:rFonts w:ascii="Times New Roman" w:hAnsi="Times New Roman" w:cs="Times New Roman"/>
          <w:sz w:val="24"/>
          <w:szCs w:val="24"/>
        </w:rPr>
        <w:lastRenderedPageBreak/>
        <w:t xml:space="preserve">carácter intersubjetivo de la construcción histórica de significado, y en ese sentido, se puede </w:t>
      </w:r>
      <w:r w:rsidR="00EB1A24" w:rsidRPr="00CA0124">
        <w:rPr>
          <w:rFonts w:ascii="Times New Roman" w:hAnsi="Times New Roman" w:cs="Times New Roman"/>
          <w:sz w:val="24"/>
          <w:szCs w:val="24"/>
        </w:rPr>
        <w:t xml:space="preserve">rescatar el poder nouménico de los principios metafísicos para cualquier discusión, siempre y cuando, no se trate de una metafísica dogmática. </w:t>
      </w:r>
      <w:r w:rsidR="0002418D" w:rsidRPr="00CA0124">
        <w:rPr>
          <w:rFonts w:ascii="Times New Roman" w:hAnsi="Times New Roman" w:cs="Times New Roman"/>
          <w:sz w:val="24"/>
          <w:szCs w:val="24"/>
        </w:rPr>
        <w:t>En este horizonte, el despliegue de la razón y el poder suponen que: “tenemos que ubicarlo(s) en el espacio de razones o el espacio normativo de libertad y acción.” (p. 164) La interpretación de un enfoque del poder que no sea radical, sino que resalte su carácter del reino de las ideas o justificaciones apunta precisamente a la práctica de la agencia moral concreta</w:t>
      </w:r>
      <w:r w:rsidR="00B348C2" w:rsidRPr="00CA0124">
        <w:rPr>
          <w:rFonts w:ascii="Times New Roman" w:hAnsi="Times New Roman" w:cs="Times New Roman"/>
          <w:sz w:val="24"/>
          <w:szCs w:val="24"/>
        </w:rPr>
        <w:t>, y en esta misma línea, Forst apunta que: “Ser un sujeto de poder es ser movido por razones que otros me han dado y que me motivan a pensar o actuar de un cierto modo, buscado por el dador de razones. Por consiguiente, mientras en filosofía política usualmente investigamos la justificación del poder, en lo que sigue, yo estoy interesado en el poder de las justificaciones.” (</w:t>
      </w:r>
      <w:r w:rsidR="00B348C2" w:rsidRPr="00CA0124">
        <w:rPr>
          <w:rFonts w:ascii="Times New Roman" w:hAnsi="Times New Roman" w:cs="Times New Roman"/>
          <w:i/>
          <w:iCs/>
          <w:sz w:val="24"/>
          <w:szCs w:val="24"/>
        </w:rPr>
        <w:t>Ib.</w:t>
      </w:r>
      <w:r w:rsidR="00B348C2" w:rsidRPr="00CA0124">
        <w:rPr>
          <w:rFonts w:ascii="Times New Roman" w:hAnsi="Times New Roman" w:cs="Times New Roman"/>
          <w:sz w:val="24"/>
          <w:szCs w:val="24"/>
        </w:rPr>
        <w:t xml:space="preserve">) El poder de las razones que nos co-exigimos construyen un entramado de valores de carácter nouménico. </w:t>
      </w:r>
      <w:r w:rsidR="00731435" w:rsidRPr="00CA0124">
        <w:rPr>
          <w:rFonts w:ascii="Times New Roman" w:hAnsi="Times New Roman" w:cs="Times New Roman"/>
          <w:sz w:val="24"/>
          <w:szCs w:val="24"/>
        </w:rPr>
        <w:t xml:space="preserve">De este modo, para Forst, las materializaciones del poder se reflejan directamente con las estructuras de las ideas que sostienen sus fundamentos de conceptos y valores intersubjetivos. </w:t>
      </w:r>
    </w:p>
    <w:p w14:paraId="7C009285" w14:textId="45A387A1" w:rsidR="004911A6" w:rsidRPr="00CA0124" w:rsidRDefault="004911A6"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Forst tiene la aguda prudencia de señalar que el reino de justificaciones es uno impuro, en el sentido en que las personas pueden tener tanto buenas, como malas razones. En este sentido, no adopta una postura que reconozca que todos se comprometan con una perspectiva crítica, sino que la reflexión o el autoexamen puede suspenderse y “las justificaciones ideológicas también cuentan como justificaciones</w:t>
      </w:r>
      <w:r w:rsidR="001566B5" w:rsidRPr="00CA0124">
        <w:rPr>
          <w:rFonts w:ascii="Times New Roman" w:hAnsi="Times New Roman" w:cs="Times New Roman"/>
          <w:sz w:val="24"/>
          <w:szCs w:val="24"/>
        </w:rPr>
        <w:t xml:space="preserve"> a la hora de comprender cómo funciona el poder. El espacio nouménico que pienso que es aquí relevante es un espacio impuro que incluye</w:t>
      </w:r>
      <w:r w:rsidR="009F73D4" w:rsidRPr="00CA0124">
        <w:rPr>
          <w:rFonts w:ascii="Times New Roman" w:hAnsi="Times New Roman" w:cs="Times New Roman"/>
          <w:sz w:val="24"/>
          <w:szCs w:val="24"/>
        </w:rPr>
        <w:t xml:space="preserve"> lo que las personas ven como justificado, por buenas o malas razones.</w:t>
      </w:r>
      <w:r w:rsidR="001566B5" w:rsidRPr="00CA0124">
        <w:rPr>
          <w:rFonts w:ascii="Times New Roman" w:hAnsi="Times New Roman" w:cs="Times New Roman"/>
          <w:sz w:val="24"/>
          <w:szCs w:val="24"/>
        </w:rPr>
        <w:t xml:space="preserve"> “(p.164)</w:t>
      </w:r>
    </w:p>
    <w:p w14:paraId="1748EEA3" w14:textId="268FBFB3" w:rsidR="004B6D37" w:rsidRPr="00CA0124" w:rsidRDefault="004B6D37"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Forst, como se ha mencionado antes, reformula la postura de Lukes en su enfoque del poder radical, ya que estima que su postura refleja solo una variante común del poder: la dominación, mientras que Forst busca expandir el concepto ya que estima que hay más de un modo de ejercer el poder y esto representa diversas variedades. Forst nos explica la postura que combate así: “La definición original de Lukes: &lt;A ejerce poder sobre B cuando A afecta B en manera contraria a los intereses de B&gt; (2005, p.30)” (p.165)</w:t>
      </w:r>
      <w:r w:rsidR="00411380" w:rsidRPr="00CA0124">
        <w:rPr>
          <w:rFonts w:ascii="Times New Roman" w:hAnsi="Times New Roman" w:cs="Times New Roman"/>
          <w:sz w:val="24"/>
          <w:szCs w:val="24"/>
        </w:rPr>
        <w:t xml:space="preserve"> y en este sentido, agrega: “necesitamos una definición más amplia del poder, que sea más general que la noción de dominación.” (</w:t>
      </w:r>
      <w:r w:rsidR="00411380" w:rsidRPr="00CA0124">
        <w:rPr>
          <w:rFonts w:ascii="Times New Roman" w:hAnsi="Times New Roman" w:cs="Times New Roman"/>
          <w:i/>
          <w:iCs/>
          <w:sz w:val="24"/>
          <w:szCs w:val="24"/>
        </w:rPr>
        <w:t>Ib.</w:t>
      </w:r>
      <w:r w:rsidR="00411380" w:rsidRPr="00CA0124">
        <w:rPr>
          <w:rFonts w:ascii="Times New Roman" w:hAnsi="Times New Roman" w:cs="Times New Roman"/>
          <w:sz w:val="24"/>
          <w:szCs w:val="24"/>
        </w:rPr>
        <w:t xml:space="preserve">) Forst presenta una postura radicalmente opuesta </w:t>
      </w:r>
      <w:r w:rsidR="00C37904" w:rsidRPr="00CA0124">
        <w:rPr>
          <w:rFonts w:ascii="Times New Roman" w:hAnsi="Times New Roman" w:cs="Times New Roman"/>
          <w:sz w:val="24"/>
          <w:szCs w:val="24"/>
        </w:rPr>
        <w:t xml:space="preserve">a la de Lukes, </w:t>
      </w:r>
      <w:r w:rsidR="00411380" w:rsidRPr="00CA0124">
        <w:rPr>
          <w:rFonts w:ascii="Times New Roman" w:hAnsi="Times New Roman" w:cs="Times New Roman"/>
          <w:sz w:val="24"/>
          <w:szCs w:val="24"/>
        </w:rPr>
        <w:t>con</w:t>
      </w:r>
      <w:r w:rsidR="00C37904" w:rsidRPr="00CA0124">
        <w:rPr>
          <w:rFonts w:ascii="Times New Roman" w:hAnsi="Times New Roman" w:cs="Times New Roman"/>
          <w:sz w:val="24"/>
          <w:szCs w:val="24"/>
        </w:rPr>
        <w:t xml:space="preserve"> el ejemplo de</w:t>
      </w:r>
      <w:r w:rsidR="00411380" w:rsidRPr="00CA0124">
        <w:rPr>
          <w:rFonts w:ascii="Times New Roman" w:hAnsi="Times New Roman" w:cs="Times New Roman"/>
          <w:sz w:val="24"/>
          <w:szCs w:val="24"/>
        </w:rPr>
        <w:t xml:space="preserve"> Hannah Arendt y su concepción de “actuar en concierto, basado en un consenso libre e igual, </w:t>
      </w:r>
      <w:r w:rsidR="00922E84" w:rsidRPr="00CA0124">
        <w:rPr>
          <w:rFonts w:ascii="Times New Roman" w:hAnsi="Times New Roman" w:cs="Times New Roman"/>
          <w:sz w:val="24"/>
          <w:szCs w:val="24"/>
        </w:rPr>
        <w:t>y,</w:t>
      </w:r>
      <w:r w:rsidR="00411380" w:rsidRPr="00CA0124">
        <w:rPr>
          <w:rFonts w:ascii="Times New Roman" w:hAnsi="Times New Roman" w:cs="Times New Roman"/>
          <w:sz w:val="24"/>
          <w:szCs w:val="24"/>
        </w:rPr>
        <w:t xml:space="preserve"> por lo tanto, diferente de la violencia o </w:t>
      </w:r>
      <w:r w:rsidR="00411380" w:rsidRPr="00CA0124">
        <w:rPr>
          <w:rFonts w:ascii="Times New Roman" w:hAnsi="Times New Roman" w:cs="Times New Roman"/>
          <w:sz w:val="24"/>
          <w:szCs w:val="24"/>
        </w:rPr>
        <w:lastRenderedPageBreak/>
        <w:t>la fuerza” (p.16</w:t>
      </w:r>
      <w:r w:rsidR="00C37904" w:rsidRPr="00CA0124">
        <w:rPr>
          <w:rFonts w:ascii="Times New Roman" w:hAnsi="Times New Roman" w:cs="Times New Roman"/>
          <w:sz w:val="24"/>
          <w:szCs w:val="24"/>
        </w:rPr>
        <w:t>6</w:t>
      </w:r>
      <w:r w:rsidR="00411380" w:rsidRPr="00CA0124">
        <w:rPr>
          <w:rFonts w:ascii="Times New Roman" w:hAnsi="Times New Roman" w:cs="Times New Roman"/>
          <w:sz w:val="24"/>
          <w:szCs w:val="24"/>
        </w:rPr>
        <w:t xml:space="preserve">) </w:t>
      </w:r>
      <w:r w:rsidR="00C37904" w:rsidRPr="00CA0124">
        <w:rPr>
          <w:rFonts w:ascii="Times New Roman" w:hAnsi="Times New Roman" w:cs="Times New Roman"/>
          <w:sz w:val="24"/>
          <w:szCs w:val="24"/>
        </w:rPr>
        <w:t>Forst estima que no podemos irnos a ninguno de los extremos ya que: “el poder puede ser tanto constrictivo como liberador” (</w:t>
      </w:r>
      <w:r w:rsidR="00C37904" w:rsidRPr="00CA0124">
        <w:rPr>
          <w:rFonts w:ascii="Times New Roman" w:hAnsi="Times New Roman" w:cs="Times New Roman"/>
          <w:i/>
          <w:iCs/>
          <w:sz w:val="24"/>
          <w:szCs w:val="24"/>
        </w:rPr>
        <w:t>Ib.</w:t>
      </w:r>
      <w:r w:rsidR="00C37904" w:rsidRPr="00CA0124">
        <w:rPr>
          <w:rFonts w:ascii="Times New Roman" w:hAnsi="Times New Roman" w:cs="Times New Roman"/>
          <w:sz w:val="24"/>
          <w:szCs w:val="24"/>
        </w:rPr>
        <w:t>)</w:t>
      </w:r>
    </w:p>
    <w:p w14:paraId="2ECDA9DB" w14:textId="04CC6551" w:rsidR="00537A1E" w:rsidRPr="00CA0124" w:rsidRDefault="00537A1E"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La interpretación del poder de Forst supone, por lo tanto, que: “si queremos explicar si él tiene o no poder sobre otros, necesitamos entender qué ocurre en las cabezas de aquellos que están sujetos a su poder o de quienes se han liberado a sí mismos de él – y allí es donde el reino nouménico del poder yace-. El poder nouménico, es de este modo, para reiterar, no una forma separada de poder al lado de sus amenazas de fuerza: por el contrario, es el núcleo mismo de dichas amenazas como ejercicios de poder.” (p.166) Esto permite a Forst refrasear el principio que había planteado Lukes y lo expande del siguiente modo: “la capacidad de A de motivar a B a pensar o hacer algo que B no hubiera pensado o hecho de otra manera.” (p.167)</w:t>
      </w:r>
      <w:r w:rsidR="007410BE" w:rsidRPr="00CA0124">
        <w:rPr>
          <w:rFonts w:ascii="Times New Roman" w:hAnsi="Times New Roman" w:cs="Times New Roman"/>
          <w:sz w:val="24"/>
          <w:szCs w:val="24"/>
        </w:rPr>
        <w:t xml:space="preserve"> En este panorama, no podemos dejar de tener en cuenta lo señalado antes, lo cual supone que esta dinámica no implica necesariamente que hablemos de “buenas razones” a la hora de “motivar”.</w:t>
      </w:r>
    </w:p>
    <w:p w14:paraId="290B3A55" w14:textId="77808DB6" w:rsidR="007410BE" w:rsidRPr="00CA0124" w:rsidRDefault="00387E23"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En algún sentido, encontrarse cohesionado por un poder impuesto, rechaza la base de la que se parte, que no es otra que el presupuesto del reconocimiento de todo agente como entidad racional y de justificaciones. Por ello: “la persona movida por mera fuerza está, de esa manera, bajo el completo control del otro, como un mero objeto físico, y así, aislado de contextos nouménico-sociales, no es más un agente en sentido relevante.” (p. 167) La ampliación del concepto de poder por parte de Forst ubica el acento precisamente en la capacidad de dotar de razones a nuestras creencias y actos, lo cual un limitado concepto de la dominación negaría, ya que mientras en Lukes representa una lógica de súbditos, Forst plantea un escenario de agentes razonables que se co-justifican como lo que se podría entender plenamente como un ciudadano activo, comprometido y crítico. Por esta razón, el reconocimiento intersubjetivo es una base fundamental para comprender el carácter compartido que tienen las ideas regentes que se instituyen en todo tipo de relación social, siguiendo a Hegel, desde los lazos más elementales como los afectivos de familia, pero además en el sentido jurídico de la sociedad civil, y finalmente en la mancomunidad de un estado. El reconocimiento atraviesa todo lazo social y precisamente: “el reconocimiento descansa sobre el ver una razón suficientemente buena para actuar; lo que significa que uno ve una justificación para modificar el curso de acción que uno hubiera tomado. El poder descansa en justificaciones reconocidas, aceptadas, algunas buenas, otras malas, otras intermedias. (…) El poder existe solo cuando hay tal aceptación.” (p.168)</w:t>
      </w:r>
      <w:r w:rsidR="00B468F1" w:rsidRPr="00CA0124">
        <w:rPr>
          <w:rFonts w:ascii="Times New Roman" w:hAnsi="Times New Roman" w:cs="Times New Roman"/>
          <w:sz w:val="24"/>
          <w:szCs w:val="24"/>
        </w:rPr>
        <w:t xml:space="preserve"> Este matiz es el que encarna la teoría del poder nouménico en Forst. </w:t>
      </w:r>
      <w:r w:rsidR="00B468F1" w:rsidRPr="00CA0124">
        <w:rPr>
          <w:rFonts w:ascii="Times New Roman" w:hAnsi="Times New Roman" w:cs="Times New Roman"/>
          <w:sz w:val="24"/>
          <w:szCs w:val="24"/>
        </w:rPr>
        <w:lastRenderedPageBreak/>
        <w:t>En esta medida: “necesitamos desarrollar una teoría crítica de las relaciones de justificación (…) una comprensión crítica de las justificaciones dominantes de las relaciones sociales particulares, y la crítica apunta específicamente a justificaciones falsas, o al menos sesgadas, de relaciones sociales asimétricas que no cumplen con el criterio de reciprocidad y generalidad, en definitiva, relaciones de dominación.</w:t>
      </w:r>
      <w:r w:rsidR="00F43ED0" w:rsidRPr="00CA0124">
        <w:rPr>
          <w:rFonts w:ascii="Times New Roman" w:hAnsi="Times New Roman" w:cs="Times New Roman"/>
          <w:sz w:val="24"/>
          <w:szCs w:val="24"/>
        </w:rPr>
        <w:t>” (p. 180)</w:t>
      </w:r>
    </w:p>
    <w:p w14:paraId="5D655F76" w14:textId="77777777" w:rsidR="00A01AC7" w:rsidRPr="00CA0124" w:rsidRDefault="00A01AC7" w:rsidP="00CA0124">
      <w:pPr>
        <w:spacing w:line="360" w:lineRule="auto"/>
        <w:rPr>
          <w:rFonts w:ascii="Times New Roman" w:hAnsi="Times New Roman" w:cs="Times New Roman"/>
          <w:b/>
          <w:bCs/>
          <w:sz w:val="24"/>
          <w:szCs w:val="24"/>
          <w:u w:val="single"/>
        </w:rPr>
      </w:pPr>
    </w:p>
    <w:p w14:paraId="0669BA25" w14:textId="77777777" w:rsidR="000F20A4" w:rsidRPr="00CA0124" w:rsidRDefault="000F20A4" w:rsidP="00CA0124">
      <w:pPr>
        <w:pStyle w:val="ListParagraph"/>
        <w:numPr>
          <w:ilvl w:val="0"/>
          <w:numId w:val="3"/>
        </w:numPr>
        <w:spacing w:line="360" w:lineRule="auto"/>
        <w:rPr>
          <w:rFonts w:ascii="Times New Roman" w:hAnsi="Times New Roman" w:cs="Times New Roman"/>
          <w:b/>
          <w:bCs/>
          <w:sz w:val="24"/>
          <w:szCs w:val="24"/>
          <w:u w:val="single"/>
        </w:rPr>
      </w:pPr>
      <w:r w:rsidRPr="00CA0124">
        <w:rPr>
          <w:rFonts w:ascii="Times New Roman" w:hAnsi="Times New Roman" w:cs="Times New Roman"/>
          <w:b/>
          <w:bCs/>
          <w:sz w:val="24"/>
          <w:szCs w:val="24"/>
          <w:u w:val="single"/>
        </w:rPr>
        <w:t xml:space="preserve">La filosofía del derecho de Kant </w:t>
      </w:r>
    </w:p>
    <w:p w14:paraId="71FB8D7E" w14:textId="77777777" w:rsidR="00A01AC7" w:rsidRPr="00CA0124" w:rsidRDefault="00A01AC7" w:rsidP="00CA0124">
      <w:pPr>
        <w:spacing w:line="360" w:lineRule="auto"/>
        <w:rPr>
          <w:rFonts w:ascii="Times New Roman" w:hAnsi="Times New Roman" w:cs="Times New Roman"/>
          <w:b/>
          <w:bCs/>
          <w:sz w:val="24"/>
          <w:szCs w:val="24"/>
          <w:u w:val="single"/>
        </w:rPr>
      </w:pPr>
    </w:p>
    <w:p w14:paraId="7AB07645" w14:textId="404B299A" w:rsidR="00A01AC7" w:rsidRPr="00CA0124" w:rsidRDefault="00B24FE7"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La perspectiva de</w:t>
      </w:r>
      <w:r w:rsidR="00A01AC7" w:rsidRPr="00CA0124">
        <w:rPr>
          <w:rFonts w:ascii="Times New Roman" w:hAnsi="Times New Roman" w:cs="Times New Roman"/>
          <w:sz w:val="24"/>
          <w:szCs w:val="24"/>
        </w:rPr>
        <w:t xml:space="preserve"> Flikschuh</w:t>
      </w:r>
      <w:r w:rsidRPr="00CA0124">
        <w:rPr>
          <w:rFonts w:ascii="Times New Roman" w:hAnsi="Times New Roman" w:cs="Times New Roman"/>
          <w:sz w:val="24"/>
          <w:szCs w:val="24"/>
        </w:rPr>
        <w:t xml:space="preserve"> y la de Forst</w:t>
      </w:r>
      <w:r w:rsidR="00A01AC7" w:rsidRPr="00CA0124">
        <w:rPr>
          <w:rFonts w:ascii="Times New Roman" w:hAnsi="Times New Roman" w:cs="Times New Roman"/>
          <w:sz w:val="24"/>
          <w:szCs w:val="24"/>
        </w:rPr>
        <w:t xml:space="preserve"> </w:t>
      </w:r>
      <w:r w:rsidR="009A6825" w:rsidRPr="00CA0124">
        <w:rPr>
          <w:rFonts w:ascii="Times New Roman" w:hAnsi="Times New Roman" w:cs="Times New Roman"/>
          <w:sz w:val="24"/>
          <w:szCs w:val="24"/>
        </w:rPr>
        <w:t>coinciden en rescatar el poder de las ideas en el campo de las discusiones y materializaciones del ámbito social y político, mediante principios metafísicos, en el caso de la primera, y gracias a la ampliación crítica del concepto de poder como n</w:t>
      </w:r>
      <w:r w:rsidR="00D13FE4" w:rsidRPr="00CA0124">
        <w:rPr>
          <w:rFonts w:ascii="Times New Roman" w:hAnsi="Times New Roman" w:cs="Times New Roman"/>
          <w:sz w:val="24"/>
          <w:szCs w:val="24"/>
        </w:rPr>
        <w:t>o</w:t>
      </w:r>
      <w:r w:rsidR="009A6825" w:rsidRPr="00CA0124">
        <w:rPr>
          <w:rFonts w:ascii="Times New Roman" w:hAnsi="Times New Roman" w:cs="Times New Roman"/>
          <w:sz w:val="24"/>
          <w:szCs w:val="24"/>
        </w:rPr>
        <w:t xml:space="preserve">umenal, en el caso del segundo. A continuación, se intenta proponer como ejemplo algunos aspectos de la Doctrina del Derecho de Kant que podrían bien representar una “guía para la práctica” en el marco del sistema crítico kantiano. </w:t>
      </w:r>
      <w:r w:rsidR="00F54E22" w:rsidRPr="00CA0124">
        <w:rPr>
          <w:rFonts w:ascii="Times New Roman" w:hAnsi="Times New Roman" w:cs="Times New Roman"/>
          <w:sz w:val="24"/>
          <w:szCs w:val="24"/>
        </w:rPr>
        <w:t xml:space="preserve">Para ello, se busca realizar un breve panorama de la obra y seleccionar algunos elementos puntuales. </w:t>
      </w:r>
    </w:p>
    <w:p w14:paraId="7D4B6A6B" w14:textId="58F9FB0A" w:rsidR="00D13FE4" w:rsidRPr="00CA0124" w:rsidRDefault="00D13FE4"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La </w:t>
      </w:r>
      <w:r w:rsidR="0022180D" w:rsidRPr="00CA0124">
        <w:rPr>
          <w:rFonts w:ascii="Times New Roman" w:hAnsi="Times New Roman" w:cs="Times New Roman"/>
          <w:sz w:val="24"/>
          <w:szCs w:val="24"/>
        </w:rPr>
        <w:t>M</w:t>
      </w:r>
      <w:r w:rsidRPr="00CA0124">
        <w:rPr>
          <w:rFonts w:ascii="Times New Roman" w:hAnsi="Times New Roman" w:cs="Times New Roman"/>
          <w:i/>
          <w:iCs/>
          <w:sz w:val="24"/>
          <w:szCs w:val="24"/>
        </w:rPr>
        <w:t xml:space="preserve">etafísica de las </w:t>
      </w:r>
      <w:r w:rsidR="0022180D" w:rsidRPr="00CA0124">
        <w:rPr>
          <w:rFonts w:ascii="Times New Roman" w:hAnsi="Times New Roman" w:cs="Times New Roman"/>
          <w:i/>
          <w:iCs/>
          <w:sz w:val="24"/>
          <w:szCs w:val="24"/>
        </w:rPr>
        <w:t>C</w:t>
      </w:r>
      <w:r w:rsidRPr="00CA0124">
        <w:rPr>
          <w:rFonts w:ascii="Times New Roman" w:hAnsi="Times New Roman" w:cs="Times New Roman"/>
          <w:i/>
          <w:iCs/>
          <w:sz w:val="24"/>
          <w:szCs w:val="24"/>
        </w:rPr>
        <w:t xml:space="preserve">ostumbres </w:t>
      </w:r>
      <w:r w:rsidR="0022180D" w:rsidRPr="00CA0124">
        <w:rPr>
          <w:rFonts w:ascii="Times New Roman" w:hAnsi="Times New Roman" w:cs="Times New Roman"/>
          <w:sz w:val="24"/>
          <w:szCs w:val="24"/>
        </w:rPr>
        <w:t xml:space="preserve">(2008) </w:t>
      </w:r>
      <w:r w:rsidRPr="00CA0124">
        <w:rPr>
          <w:rFonts w:ascii="Times New Roman" w:hAnsi="Times New Roman" w:cs="Times New Roman"/>
          <w:sz w:val="24"/>
          <w:szCs w:val="24"/>
        </w:rPr>
        <w:t xml:space="preserve">representa una obra de la plena madurez del pensamiento de Kant. Le anteceden la </w:t>
      </w:r>
      <w:r w:rsidRPr="00CA0124">
        <w:rPr>
          <w:rFonts w:ascii="Times New Roman" w:hAnsi="Times New Roman" w:cs="Times New Roman"/>
          <w:i/>
          <w:iCs/>
          <w:sz w:val="24"/>
          <w:szCs w:val="24"/>
        </w:rPr>
        <w:t>Fundamentación de la metafísica de las costumbres</w:t>
      </w:r>
      <w:r w:rsidRPr="00CA0124">
        <w:rPr>
          <w:rFonts w:ascii="Times New Roman" w:hAnsi="Times New Roman" w:cs="Times New Roman"/>
          <w:sz w:val="24"/>
          <w:szCs w:val="24"/>
        </w:rPr>
        <w:t xml:space="preserve">, la </w:t>
      </w:r>
      <w:r w:rsidRPr="00CA0124">
        <w:rPr>
          <w:rFonts w:ascii="Times New Roman" w:hAnsi="Times New Roman" w:cs="Times New Roman"/>
          <w:i/>
          <w:iCs/>
          <w:sz w:val="24"/>
          <w:szCs w:val="24"/>
        </w:rPr>
        <w:t>Crítica de la razón práctica</w:t>
      </w:r>
      <w:r w:rsidRPr="00CA0124">
        <w:rPr>
          <w:rFonts w:ascii="Times New Roman" w:hAnsi="Times New Roman" w:cs="Times New Roman"/>
          <w:sz w:val="24"/>
          <w:szCs w:val="24"/>
        </w:rPr>
        <w:t xml:space="preserve"> y la </w:t>
      </w:r>
      <w:r w:rsidRPr="00CA0124">
        <w:rPr>
          <w:rFonts w:ascii="Times New Roman" w:hAnsi="Times New Roman" w:cs="Times New Roman"/>
          <w:i/>
          <w:iCs/>
          <w:sz w:val="24"/>
          <w:szCs w:val="24"/>
        </w:rPr>
        <w:t>Crítica de la razón pura</w:t>
      </w:r>
      <w:r w:rsidRPr="00CA0124">
        <w:rPr>
          <w:rFonts w:ascii="Times New Roman" w:hAnsi="Times New Roman" w:cs="Times New Roman"/>
          <w:sz w:val="24"/>
          <w:szCs w:val="24"/>
        </w:rPr>
        <w:t xml:space="preserve">. En este sentido, esta obra se articula al proyecto crítico de una metafísica no dogmática y a la búsqueda de principios universales para la moralidad, pero mientras antes lo había expresado en términos morales internos, en la </w:t>
      </w:r>
      <w:r w:rsidRPr="00CA0124">
        <w:rPr>
          <w:rFonts w:ascii="Times New Roman" w:hAnsi="Times New Roman" w:cs="Times New Roman"/>
          <w:i/>
          <w:iCs/>
          <w:sz w:val="24"/>
          <w:szCs w:val="24"/>
        </w:rPr>
        <w:t>Metafísica de las Costumbres</w:t>
      </w:r>
      <w:r w:rsidRPr="00CA0124">
        <w:rPr>
          <w:rFonts w:ascii="Times New Roman" w:hAnsi="Times New Roman" w:cs="Times New Roman"/>
          <w:sz w:val="24"/>
          <w:szCs w:val="24"/>
        </w:rPr>
        <w:t xml:space="preserve">, al menos en la primera parte, la Doctrina del derecho, en la cual nos centraremos, Kant se ocupa del sentido externo de la moralidad, es decir, de los actos compartidos en una comunidad o sociedad. El objetivo de Kant es ofrecer un fundamento racional a las normas que rigen o deberían regir en el ámbito legal, jurídico, estatal y ciudadano.  </w:t>
      </w:r>
    </w:p>
    <w:p w14:paraId="71AA9B4E" w14:textId="094327CF" w:rsidR="00FB54CF" w:rsidRPr="00CA0124" w:rsidRDefault="00FB54CF"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La doctrina del derecho, de esta manera, representa una búsqueda de los cimientos y condiciones racionales más allá de la experiencia que legitiman cualquier sistema jurídico. En este sentido, se trata de una teoría de la justicia. El interés de Kant apunta a establecer principios universales que gobiernen las relaciones de convivencia social de modo que se permita la libertad de uno, en la medida en que esa libertad no interfiera con </w:t>
      </w:r>
      <w:r w:rsidRPr="00CA0124">
        <w:rPr>
          <w:rFonts w:ascii="Times New Roman" w:hAnsi="Times New Roman" w:cs="Times New Roman"/>
          <w:sz w:val="24"/>
          <w:szCs w:val="24"/>
        </w:rPr>
        <w:lastRenderedPageBreak/>
        <w:t>la de otros, y de ahí su principio universal de la justicia, que expresa una lectura de una posible libertad recíproca, es decir, una libertad personal que no contradiga ni afrente las libertades de otros. En este mismo sentido, el derecho no introduce un criterio para la bondad moral interior, sino para la coexistencia articulada y ordenada de las libertades exteriores congregadas en espacios civiles.</w:t>
      </w:r>
    </w:p>
    <w:p w14:paraId="68DA8128" w14:textId="680EB28F" w:rsidR="00FB54CF" w:rsidRPr="00CA0124" w:rsidRDefault="00FB54CF"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La libertad, como se puede advertir, es un fundamento crucial, en cuanto se presupone que cada individuo debe poder estar de acuerdo universalmente con las leyes, y en virtud de ese reconocimiento y consentimiento, puede proyectarse su aplicación incondicionada. De nuevo, como pasaba en el ámbito moral, no se valora un mero utilitarismo instrumental, sino que se pone el acento en el deber. Esta perspectiva deontológica y universalista combate el relativismo cultural, pero esto no significa que Kant nos quiera dar una</w:t>
      </w:r>
      <w:r w:rsidR="00CD5CBB">
        <w:rPr>
          <w:rFonts w:ascii="Times New Roman" w:hAnsi="Times New Roman" w:cs="Times New Roman"/>
          <w:sz w:val="24"/>
          <w:szCs w:val="24"/>
        </w:rPr>
        <w:t xml:space="preserve"> única</w:t>
      </w:r>
      <w:r w:rsidRPr="00CA0124">
        <w:rPr>
          <w:rFonts w:ascii="Times New Roman" w:hAnsi="Times New Roman" w:cs="Times New Roman"/>
          <w:sz w:val="24"/>
          <w:szCs w:val="24"/>
        </w:rPr>
        <w:t xml:space="preserve"> respuesta igual y absoluta para todos, sino que se espera que tengamos unas reglas de juego compartidas, y ese punto de encuentro, o fundamento para las máximas reside en las razones o justificaciones que se entrelazan en el uso público y libre de la razón crítica. </w:t>
      </w:r>
    </w:p>
    <w:p w14:paraId="15727C22" w14:textId="3A2B4326" w:rsidR="00FB54CF" w:rsidRPr="00CA0124" w:rsidRDefault="00FB54CF"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Los temas tratados en el libro son diversos, tales como la propiedad privada, lo que Kant llama “de lo tuyo y de lo mío”, la naturaleza y sentido de los contratos, y la constitución formal o ideal de un estado en un espacio civil, es decir, en la ciudad, de donde se desprende el sujeto en cuanto ciudadano, como formando parte de ese orden jurídico, y lo que le distancia de un mero súbdito en un escenario despótico, dogmático o tiránico. En este sentido, la propiedad privada es una extensión del uso de la libertad y debe ser regulada por criterios o leyes justas. Así, el estado no es el que produce las leyes directamente, sino</w:t>
      </w:r>
      <w:r w:rsidR="004A318E" w:rsidRPr="00CA0124">
        <w:rPr>
          <w:rFonts w:ascii="Times New Roman" w:hAnsi="Times New Roman" w:cs="Times New Roman"/>
          <w:sz w:val="24"/>
          <w:szCs w:val="24"/>
        </w:rPr>
        <w:t xml:space="preserve"> que</w:t>
      </w:r>
      <w:r w:rsidRPr="00CA0124">
        <w:rPr>
          <w:rFonts w:ascii="Times New Roman" w:hAnsi="Times New Roman" w:cs="Times New Roman"/>
          <w:sz w:val="24"/>
          <w:szCs w:val="24"/>
        </w:rPr>
        <w:t xml:space="preserve"> es la exigencia misma de la razón pura práctica en cuanto condición necesaria para la vigencia y efecto pleno de un marco de derecho</w:t>
      </w:r>
      <w:r w:rsidR="004A318E" w:rsidRPr="00CA0124">
        <w:rPr>
          <w:rFonts w:ascii="Times New Roman" w:hAnsi="Times New Roman" w:cs="Times New Roman"/>
          <w:sz w:val="24"/>
          <w:szCs w:val="24"/>
        </w:rPr>
        <w:t xml:space="preserve">, que, de modo legítimo, articule el poder y las leyes para otorgar una seguridad civil y jurídica. </w:t>
      </w:r>
    </w:p>
    <w:p w14:paraId="2C6E7061" w14:textId="769CF83F" w:rsidR="004A318E" w:rsidRPr="00CA0124" w:rsidRDefault="004A318E"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De este modo, se hace fundamental establecer la necesidad de entrar en relaciones jurídicas con otras personas, en la medida de lo posible, pero no en el sentido histórico de un contrato social concreto, sino como una exigencia misma de la razón en virtud del concepto de lo civil y jurídico, de modo que el estado civil responde a la emanación de una voluntad general (como refería Rousseau) o como Kant le llama, una voluntad unificada, que permita y garantice la libertad recíproca de todos, y cuyo sostén sea el consentimiento en su legitimación de un interés compartido por los asuntos públicos, (es decir, del republicanismo).</w:t>
      </w:r>
    </w:p>
    <w:p w14:paraId="539905FF" w14:textId="51391184" w:rsidR="004A318E" w:rsidRPr="00CA0124" w:rsidRDefault="004A318E"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lastRenderedPageBreak/>
        <w:t xml:space="preserve">En este sentido, cabe considerar la separación de la teoría del derecho, por un lado, el derecho privado supone el escenario de relaciones interpersonales (tales como propiedad, contrato, familia, etc), mientras que por otro lado, el derecho público se enfoca en la relación de los sujetos con las autoridades civiles o estatales, en un primer momento, pero luego, en la dirección del derecho de gentes, hacia una consideración cosmopolita del derecho internacional, es decir, cuando los pueblos como grupos se relacionan entre ellos como sujetos. </w:t>
      </w:r>
    </w:p>
    <w:p w14:paraId="657205F7" w14:textId="2338C317" w:rsidR="004A318E" w:rsidRPr="00CA0124" w:rsidRDefault="004A318E"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Finalmente, la obra explora la naturaleza de la pena, el castigo y el derecho penal, basándose en el principio de retribución y en la misma línea del filtro que el imperativo categórico ofrece. De esta forma, Kant sostendrá que el delincuente merece ser castigado proporcionalmente a su delito no por una retribución o utilidad social, sino por un principio de justicia. La pena o castigo, en este sentido, no tiene un carácter retaliativo ni utilitario, sino estrictamente deontológico.</w:t>
      </w:r>
    </w:p>
    <w:p w14:paraId="64520F0E" w14:textId="2CA2D504" w:rsidR="004A318E" w:rsidRPr="00CA0124" w:rsidRDefault="004A318E"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En este sentido, la obra señalada presenta una teoría del derecho</w:t>
      </w:r>
      <w:r w:rsidR="006725A3" w:rsidRPr="00CA0124">
        <w:rPr>
          <w:rFonts w:ascii="Times New Roman" w:hAnsi="Times New Roman" w:cs="Times New Roman"/>
          <w:sz w:val="24"/>
          <w:szCs w:val="24"/>
        </w:rPr>
        <w:t xml:space="preserve"> como una dimensión externa del deber, mientras que, en la segunda parte, que acá omitimos, se ofrece una instancia interna gracias a la virtud. Si bien ambas se orientan por el imperativo categórico, imponen distintos tipos de exigencias u obligaciones. Ambos se presentan como complementarios en el horizonte de un ideal moral y político de la ilustración y su sistema crítico. Con este panorama, podríamos atender a pasajes muy puntuales para complementar lo dicho y de los cuales sea posible extraer su uso como idea normativa, noumenal o en cuanto principio racional de un marco metafísico crítico. </w:t>
      </w:r>
    </w:p>
    <w:p w14:paraId="5DE98D3C" w14:textId="7DDCA734" w:rsidR="001E54B3" w:rsidRPr="00CA0124" w:rsidRDefault="0022180D"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Como punto de partida, podemos contemplar el lugar de una metafísica de las costumbres en el horizonte del proyecto crítico, es decir, una teoría desde las mismas bases metafísicas que tanto Flikschuh, como Forst, buscan rescatar y actualizar, y en consideración a los límites humanos. En este sentido, Kant refiere que: </w:t>
      </w:r>
      <w:r w:rsidR="001E54B3" w:rsidRPr="001E54B3">
        <w:rPr>
          <w:rFonts w:ascii="Times New Roman" w:hAnsi="Times New Roman" w:cs="Times New Roman"/>
          <w:sz w:val="24"/>
          <w:szCs w:val="24"/>
        </w:rPr>
        <w:t>“Una metafísica de las costumbres no puede fundarse en la antropología, pero puede aplicarse a la misma.” (2008, p.22)</w:t>
      </w:r>
      <w:r w:rsidRPr="00CA0124">
        <w:rPr>
          <w:rFonts w:ascii="Times New Roman" w:hAnsi="Times New Roman" w:cs="Times New Roman"/>
          <w:sz w:val="24"/>
          <w:szCs w:val="24"/>
        </w:rPr>
        <w:t xml:space="preserve"> El sentido pleno del deber, la justicia y un estado completo de derecho no son ideales que necesariamente se cumplan en la realidad social humana, pero la razón nos ofrece su concepto que emana sus propias exigencias, que bien puede convertirse en una guía práctica para la acción crítica. </w:t>
      </w:r>
    </w:p>
    <w:p w14:paraId="10B2BE22" w14:textId="3EF070EC" w:rsidR="001E54B3" w:rsidRPr="00CA0124" w:rsidRDefault="007D7209"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La razón que emana del sentido del deber de modo interno, es la misma raíz que produce el sentido externo del deber. En el sentido interno podemos hablar de nuestra conciencia </w:t>
      </w:r>
      <w:r w:rsidRPr="00CA0124">
        <w:rPr>
          <w:rFonts w:ascii="Times New Roman" w:hAnsi="Times New Roman" w:cs="Times New Roman"/>
          <w:sz w:val="24"/>
          <w:szCs w:val="24"/>
        </w:rPr>
        <w:lastRenderedPageBreak/>
        <w:t>y autoconsciencia, pero el sentido externo tenemos el reconocimiento de otros, en un entramado de interdependencia y de valoración compartida de ideas. De este modo, Kant señala que:</w:t>
      </w:r>
      <w:r w:rsidR="001E54B3" w:rsidRPr="001E54B3">
        <w:rPr>
          <w:rFonts w:ascii="Times New Roman" w:hAnsi="Times New Roman" w:cs="Times New Roman"/>
          <w:sz w:val="24"/>
          <w:szCs w:val="24"/>
        </w:rPr>
        <w:t> “La legislación que de una acción hace un deber, y que al mismo tiempo da este deber por motivo, es la legislación moral. Pero la que no</w:t>
      </w:r>
      <w:r w:rsidR="0022180D" w:rsidRPr="00CA0124">
        <w:rPr>
          <w:rFonts w:ascii="Times New Roman" w:hAnsi="Times New Roman" w:cs="Times New Roman"/>
          <w:sz w:val="24"/>
          <w:szCs w:val="24"/>
        </w:rPr>
        <w:t>s</w:t>
      </w:r>
      <w:r w:rsidR="001E54B3" w:rsidRPr="001E54B3">
        <w:rPr>
          <w:rFonts w:ascii="Times New Roman" w:hAnsi="Times New Roman" w:cs="Times New Roman"/>
          <w:sz w:val="24"/>
          <w:szCs w:val="24"/>
        </w:rPr>
        <w:t xml:space="preserve"> hace entrar el motivo en la ley, que por consiguiente permite otro motivo que la idea del deber mismo, es la legislación jurídica.” (2008, p.25)</w:t>
      </w:r>
      <w:r w:rsidRPr="00CA0124">
        <w:rPr>
          <w:rFonts w:ascii="Times New Roman" w:hAnsi="Times New Roman" w:cs="Times New Roman"/>
          <w:sz w:val="24"/>
          <w:szCs w:val="24"/>
        </w:rPr>
        <w:t xml:space="preserve"> Y en este horizonte de una serie de leyes como deberes compartidos interpersonalmente se entiende que podemos hablar de actos, ya no solo morales o inmorales, sino de actos legales o ilegales, en el sentido en que Kant indica que: </w:t>
      </w:r>
      <w:r w:rsidR="001E54B3" w:rsidRPr="001E54B3">
        <w:rPr>
          <w:rFonts w:ascii="Times New Roman" w:hAnsi="Times New Roman" w:cs="Times New Roman"/>
          <w:sz w:val="24"/>
          <w:szCs w:val="24"/>
        </w:rPr>
        <w:t>“La conformidad o la no conformidad pura y simple de una acción con la ley, sin tener en cuenta sus motivos, se llama legalidad o ilegalidad.” (2008, p.25)</w:t>
      </w:r>
    </w:p>
    <w:p w14:paraId="20E4289A" w14:textId="77777777" w:rsidR="007D7209" w:rsidRPr="001E54B3" w:rsidRDefault="007D7209" w:rsidP="00CA0124">
      <w:pPr>
        <w:spacing w:line="360" w:lineRule="auto"/>
        <w:jc w:val="both"/>
        <w:rPr>
          <w:rFonts w:ascii="Times New Roman" w:hAnsi="Times New Roman" w:cs="Times New Roman"/>
          <w:sz w:val="24"/>
          <w:szCs w:val="24"/>
        </w:rPr>
      </w:pPr>
    </w:p>
    <w:p w14:paraId="26CE2301" w14:textId="62AF0545" w:rsidR="001E54B3" w:rsidRPr="00CA0124" w:rsidRDefault="007D7209"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El deber es un tipo de obligación que la razón exige en el horizonte de un mundo compartido y que atiende a la necesidad de ingresar en convivencia civil. Así, la persona cede su libertad salvaje o natural, para acceder a un escenario de una libertad recíproca</w:t>
      </w:r>
      <w:r w:rsidR="004A10B3">
        <w:rPr>
          <w:rStyle w:val="FootnoteReference"/>
          <w:rFonts w:ascii="Times New Roman" w:hAnsi="Times New Roman" w:cs="Times New Roman"/>
          <w:sz w:val="24"/>
          <w:szCs w:val="24"/>
        </w:rPr>
        <w:footnoteReference w:id="1"/>
      </w:r>
      <w:r w:rsidRPr="00CA0124">
        <w:rPr>
          <w:rFonts w:ascii="Times New Roman" w:hAnsi="Times New Roman" w:cs="Times New Roman"/>
          <w:sz w:val="24"/>
          <w:szCs w:val="24"/>
        </w:rPr>
        <w:t xml:space="preserve">. En este sentido, podemos considerar lo que Kant dice, cuando puntualiza que: </w:t>
      </w:r>
      <w:r w:rsidR="001E54B3" w:rsidRPr="00CA0124">
        <w:rPr>
          <w:rFonts w:ascii="Times New Roman" w:hAnsi="Times New Roman" w:cs="Times New Roman"/>
          <w:sz w:val="24"/>
          <w:szCs w:val="24"/>
        </w:rPr>
        <w:t>“Una persona 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w:t>
      </w:r>
      <w:r w:rsidRPr="00CA0124">
        <w:rPr>
          <w:rFonts w:ascii="Times New Roman" w:hAnsi="Times New Roman" w:cs="Times New Roman"/>
          <w:sz w:val="24"/>
          <w:szCs w:val="24"/>
        </w:rPr>
        <w:t>,</w:t>
      </w:r>
      <w:r w:rsidR="001E54B3" w:rsidRPr="00CA0124">
        <w:rPr>
          <w:rFonts w:ascii="Times New Roman" w:hAnsi="Times New Roman" w:cs="Times New Roman"/>
          <w:sz w:val="24"/>
          <w:szCs w:val="24"/>
        </w:rPr>
        <w:t xml:space="preserve"> al mismo tiempo que a otros.)” (2008, p.32)</w:t>
      </w:r>
      <w:r w:rsidRPr="00CA0124">
        <w:rPr>
          <w:rFonts w:ascii="Times New Roman" w:hAnsi="Times New Roman" w:cs="Times New Roman"/>
          <w:sz w:val="24"/>
          <w:szCs w:val="24"/>
        </w:rPr>
        <w:t xml:space="preserve"> En este sentido, el consentimiento y la aceptación resaltan la legitimada del derecho, del orden civil y del poder que Forst había caracterizado somo noumenal y Flikschuh como metafísico.</w:t>
      </w:r>
    </w:p>
    <w:p w14:paraId="08AC0421" w14:textId="42981030" w:rsidR="001E54B3" w:rsidRPr="00CA0124" w:rsidRDefault="00C21968"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En este marco del pensamiento crítico de Kant, la teoría del derecho equivale a plasmar el sentido de la exigencia de justicia plena para cualquier articulación social que sea civil y republicana, es decir, de una libertad crítica de la razón pública en virtud de los asuntos </w:t>
      </w:r>
      <w:r w:rsidRPr="00CA0124">
        <w:rPr>
          <w:rFonts w:ascii="Times New Roman" w:hAnsi="Times New Roman" w:cs="Times New Roman"/>
          <w:sz w:val="24"/>
          <w:szCs w:val="24"/>
        </w:rPr>
        <w:lastRenderedPageBreak/>
        <w:t xml:space="preserve">comunes y que no sea ni dogmática, ni tiránica, ni una mera dominación despótica, es decir, el horizonte de los ciudadanos activos, antes que de meros súbditos cosificados. En esta relación entre el deber, lo legal y la justicia, Kant señala que: </w:t>
      </w:r>
      <w:r w:rsidR="001E54B3" w:rsidRPr="001E54B3">
        <w:rPr>
          <w:rFonts w:ascii="Times New Roman" w:hAnsi="Times New Roman" w:cs="Times New Roman"/>
          <w:sz w:val="24"/>
          <w:szCs w:val="24"/>
        </w:rPr>
        <w:t>“Lo justo o lo injusto es en general un hecho conforme o no conforme con el deber.” (2008, p.32)</w:t>
      </w:r>
      <w:r w:rsidRPr="00CA0124">
        <w:rPr>
          <w:rFonts w:ascii="Times New Roman" w:hAnsi="Times New Roman" w:cs="Times New Roman"/>
          <w:sz w:val="24"/>
          <w:szCs w:val="24"/>
        </w:rPr>
        <w:t xml:space="preserve"> Y en este espectro, la acción injusta, cuando va acompañada de consciencia, libertad y “olvido del reconocimiento” (para forzar una frase de A. Honneth en su lectura de Lukács) se llama delito. Kant refiere lo siguiente: </w:t>
      </w:r>
      <w:r w:rsidR="001E54B3" w:rsidRPr="001E54B3">
        <w:rPr>
          <w:rFonts w:ascii="Times New Roman" w:hAnsi="Times New Roman" w:cs="Times New Roman"/>
          <w:sz w:val="24"/>
          <w:szCs w:val="24"/>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CA0124">
        <w:rPr>
          <w:rFonts w:ascii="Times New Roman" w:hAnsi="Times New Roman" w:cs="Times New Roman"/>
          <w:sz w:val="24"/>
          <w:szCs w:val="24"/>
        </w:rPr>
        <w:t xml:space="preserve"> El delito rompe no solo con el estado jurídico y el orden civil, agrediendo a la justicia abstracta, sino que además socava el entramado de relaciones intersubjetivas que articula el reconocimiento de otros como seres de razones o justificaciones.</w:t>
      </w:r>
      <w:r w:rsidR="00A634BC">
        <w:rPr>
          <w:rFonts w:ascii="Times New Roman" w:hAnsi="Times New Roman" w:cs="Times New Roman"/>
          <w:sz w:val="24"/>
          <w:szCs w:val="24"/>
        </w:rPr>
        <w:t xml:space="preserve"> </w:t>
      </w:r>
    </w:p>
    <w:p w14:paraId="390B62CC" w14:textId="065264C0" w:rsidR="001E54B3" w:rsidRPr="00CA0124" w:rsidRDefault="00093992"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Kant divide su doctrina del derecho en dos apartados generales, de los cuales sólo se enfoca en uno, el de los fundamentos y principios para la teoría abstracta del derecho, mientras que el derecho ya existente, la jurisprudencia, queda de lado. Así: </w:t>
      </w:r>
      <w:r w:rsidR="001E54B3" w:rsidRPr="001E54B3">
        <w:rPr>
          <w:rFonts w:ascii="Times New Roman" w:hAnsi="Times New Roman" w:cs="Times New Roman"/>
          <w:sz w:val="24"/>
          <w:szCs w:val="24"/>
        </w:rPr>
        <w:t>“El conjunto de las leyes susceptibles de una legislación exterior, se llama teoría del derecho, o simplemente derecho. Cuando esta legislación existe, forma la ciencia del derecho positivo.” (2008, p.40)</w:t>
      </w:r>
      <w:r w:rsidRPr="00CA0124">
        <w:rPr>
          <w:rFonts w:ascii="Times New Roman" w:hAnsi="Times New Roman" w:cs="Times New Roman"/>
          <w:sz w:val="24"/>
          <w:szCs w:val="24"/>
        </w:rPr>
        <w:t xml:space="preserve"> Al mismo tiempo, la teoría general de derecho, o simplemente el derecho, no en su versión positiva, creada o material, sino en el esfuerzo de fundamentar sus bases, se separa en dos tipos de derecho, el privado y el público. Para todo ámbito es fundamental rescatar el p</w:t>
      </w:r>
      <w:r w:rsidR="001E54B3" w:rsidRPr="001E54B3">
        <w:rPr>
          <w:rFonts w:ascii="Times New Roman" w:hAnsi="Times New Roman" w:cs="Times New Roman"/>
          <w:sz w:val="24"/>
          <w:szCs w:val="24"/>
        </w:rPr>
        <w:t>rincipio universal del derecho</w:t>
      </w:r>
      <w:r w:rsidRPr="00CA0124">
        <w:rPr>
          <w:rFonts w:ascii="Times New Roman" w:hAnsi="Times New Roman" w:cs="Times New Roman"/>
          <w:sz w:val="24"/>
          <w:szCs w:val="24"/>
        </w:rPr>
        <w:t xml:space="preserve"> que Kant establece</w:t>
      </w:r>
      <w:r w:rsidR="001E54B3" w:rsidRPr="001E54B3">
        <w:rPr>
          <w:rFonts w:ascii="Times New Roman" w:hAnsi="Times New Roman" w:cs="Times New Roman"/>
          <w:sz w:val="24"/>
          <w:szCs w:val="24"/>
        </w:rPr>
        <w:t>: “Es justa toda acción que, por sí, por su máxima, no es un obstáculo a la conformidad de la libertad del arbitrio de todos con la libertad de cada uno según leyes universales.” (2008, p. 42)</w:t>
      </w:r>
      <w:r w:rsidRPr="00CA0124">
        <w:rPr>
          <w:rFonts w:ascii="Times New Roman" w:hAnsi="Times New Roman" w:cs="Times New Roman"/>
          <w:sz w:val="24"/>
          <w:szCs w:val="24"/>
        </w:rPr>
        <w:t xml:space="preserve"> En otras palabras, el fundamento general y racional del sentido del derecho es permitir una libertad civil (no natural o salvaje), recíproca (no aislada, ni desentendida) y en el sentido amplio del término, crítica (no dogmática ni despótica). </w:t>
      </w:r>
    </w:p>
    <w:p w14:paraId="7AEAAB30" w14:textId="7BB1893A" w:rsidR="001E54B3" w:rsidRPr="00CA0124" w:rsidRDefault="00D33BBC"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Este principio general del derecho tiene un eco y conformidad con el imperativo categórico, ya que, Kant lo reformula del siguiente modo, en esa precisa línea en cuanto una ley universal para el derecho:</w:t>
      </w:r>
      <w:r w:rsidR="001E54B3" w:rsidRPr="001E54B3">
        <w:rPr>
          <w:rFonts w:ascii="Times New Roman" w:hAnsi="Times New Roman" w:cs="Times New Roman"/>
          <w:sz w:val="24"/>
          <w:szCs w:val="24"/>
        </w:rPr>
        <w:t xml:space="preserve"> “Obra exteriormente de modo que el libre uso de tu arbitrio pueda conciliarse con la libertad de todos según una ley universal.” (2008, p.43)</w:t>
      </w:r>
      <w:r w:rsidRPr="00CA0124">
        <w:rPr>
          <w:rFonts w:ascii="Times New Roman" w:hAnsi="Times New Roman" w:cs="Times New Roman"/>
          <w:sz w:val="24"/>
          <w:szCs w:val="24"/>
        </w:rPr>
        <w:t xml:space="preserve"> Y en ese sentido, aunque parezca paradójico: </w:t>
      </w:r>
      <w:r w:rsidR="001E54B3" w:rsidRPr="00CA0124">
        <w:rPr>
          <w:rFonts w:ascii="Times New Roman" w:hAnsi="Times New Roman" w:cs="Times New Roman"/>
          <w:sz w:val="24"/>
          <w:szCs w:val="24"/>
        </w:rPr>
        <w:t>“El derecho es inseparable de la facultad de obligar” (2008, p.44)</w:t>
      </w:r>
      <w:r w:rsidRPr="00CA0124">
        <w:rPr>
          <w:rFonts w:ascii="Times New Roman" w:hAnsi="Times New Roman" w:cs="Times New Roman"/>
          <w:sz w:val="24"/>
          <w:szCs w:val="24"/>
        </w:rPr>
        <w:t xml:space="preserve"> Si hay una obligación, podría pensarse que existe un límite a la </w:t>
      </w:r>
      <w:r w:rsidRPr="00CA0124">
        <w:rPr>
          <w:rFonts w:ascii="Times New Roman" w:hAnsi="Times New Roman" w:cs="Times New Roman"/>
          <w:sz w:val="24"/>
          <w:szCs w:val="24"/>
        </w:rPr>
        <w:lastRenderedPageBreak/>
        <w:t>libertad, pero justamente por ello se ha distinguido entre una libertad ilimitada, salvaje e incondicionada, de una libertad civil, recíproca y que contemple libertades otras</w:t>
      </w:r>
      <w:r w:rsidR="00F619DA" w:rsidRPr="00CA0124">
        <w:rPr>
          <w:rFonts w:ascii="Times New Roman" w:hAnsi="Times New Roman" w:cs="Times New Roman"/>
          <w:sz w:val="24"/>
          <w:szCs w:val="24"/>
        </w:rPr>
        <w:t xml:space="preserve"> en un entretejido social de interdependencia intersubjetiva</w:t>
      </w:r>
      <w:r w:rsidR="00826099" w:rsidRPr="00CA0124">
        <w:rPr>
          <w:rFonts w:ascii="Times New Roman" w:hAnsi="Times New Roman" w:cs="Times New Roman"/>
          <w:sz w:val="24"/>
          <w:szCs w:val="24"/>
        </w:rPr>
        <w:t xml:space="preserve"> con miras a un orden superior de bienestar público</w:t>
      </w:r>
      <w:r w:rsidRPr="00CA0124">
        <w:rPr>
          <w:rFonts w:ascii="Times New Roman" w:hAnsi="Times New Roman" w:cs="Times New Roman"/>
          <w:sz w:val="24"/>
          <w:szCs w:val="24"/>
        </w:rPr>
        <w:t>.</w:t>
      </w:r>
      <w:r w:rsidR="00826099" w:rsidRPr="00CA0124">
        <w:rPr>
          <w:rFonts w:ascii="Times New Roman" w:hAnsi="Times New Roman" w:cs="Times New Roman"/>
          <w:sz w:val="24"/>
          <w:szCs w:val="24"/>
        </w:rPr>
        <w:t xml:space="preserve"> Limitar el sentido del estado a un asunto privado, especialmente en términos de enriquecimiento, no puede ser sino una perversión y una depravación del sentido de la idea de función pública. La corrupción no solo es una pérdida monetaria para cualquier grupo, sino que es un derrumbamiento mismo de las bases de los lazos de reconocimiento pleno y del efecto de las razones o los principios metafísicos, como guías para la acción. Es decir, que no solo se atenta contra la justicia, en un sentido material, sino que se derrumban los cimientos racionales que sostienen su sentido último, defraudando de este modo tanto a la idea, como a los agentes involucrados, lo </w:t>
      </w:r>
      <w:r w:rsidR="0071499A" w:rsidRPr="00CA0124">
        <w:rPr>
          <w:rFonts w:ascii="Times New Roman" w:hAnsi="Times New Roman" w:cs="Times New Roman"/>
          <w:sz w:val="24"/>
          <w:szCs w:val="24"/>
        </w:rPr>
        <w:t>que,</w:t>
      </w:r>
      <w:r w:rsidR="00826099" w:rsidRPr="00CA0124">
        <w:rPr>
          <w:rFonts w:ascii="Times New Roman" w:hAnsi="Times New Roman" w:cs="Times New Roman"/>
          <w:sz w:val="24"/>
          <w:szCs w:val="24"/>
        </w:rPr>
        <w:t xml:space="preserve"> según Habermas, desvirtuaría cualquier ética discursiva</w:t>
      </w:r>
      <w:r w:rsidR="00A634BC">
        <w:rPr>
          <w:rFonts w:ascii="Times New Roman" w:hAnsi="Times New Roman" w:cs="Times New Roman"/>
          <w:sz w:val="24"/>
          <w:szCs w:val="24"/>
        </w:rPr>
        <w:t xml:space="preserve"> o comunicativa</w:t>
      </w:r>
      <w:r w:rsidR="00826099" w:rsidRPr="00CA0124">
        <w:rPr>
          <w:rFonts w:ascii="Times New Roman" w:hAnsi="Times New Roman" w:cs="Times New Roman"/>
          <w:sz w:val="24"/>
          <w:szCs w:val="24"/>
        </w:rPr>
        <w:t xml:space="preserve">.  </w:t>
      </w:r>
    </w:p>
    <w:p w14:paraId="7F46F613" w14:textId="1536A02B" w:rsidR="00CA0124" w:rsidRDefault="00F95B8D" w:rsidP="00CA0124">
      <w:pPr>
        <w:spacing w:line="360" w:lineRule="auto"/>
        <w:jc w:val="both"/>
        <w:rPr>
          <w:rFonts w:ascii="Times New Roman" w:hAnsi="Times New Roman" w:cs="Times New Roman"/>
          <w:sz w:val="24"/>
          <w:szCs w:val="24"/>
        </w:rPr>
      </w:pPr>
      <w:r w:rsidRPr="00CA0124">
        <w:rPr>
          <w:rFonts w:ascii="Times New Roman" w:hAnsi="Times New Roman" w:cs="Times New Roman"/>
          <w:sz w:val="24"/>
          <w:szCs w:val="24"/>
        </w:rPr>
        <w:t xml:space="preserve">Kant incide en la naturaleza de la palabra alemana </w:t>
      </w:r>
      <w:r w:rsidRPr="00CA0124">
        <w:rPr>
          <w:rFonts w:ascii="Times New Roman" w:hAnsi="Times New Roman" w:cs="Times New Roman"/>
          <w:i/>
          <w:iCs/>
          <w:sz w:val="24"/>
          <w:szCs w:val="24"/>
        </w:rPr>
        <w:t>rechtslehre</w:t>
      </w:r>
      <w:r w:rsidRPr="00CA0124">
        <w:rPr>
          <w:rFonts w:ascii="Times New Roman" w:hAnsi="Times New Roman" w:cs="Times New Roman"/>
          <w:sz w:val="24"/>
          <w:szCs w:val="24"/>
        </w:rPr>
        <w:t xml:space="preserve"> que ha sido traducida como doctrina del derecho, pero, como refiere H. Reiss, tiene en su sentido original un carácter de rigor exacto, y por eso, Kant indica que: </w:t>
      </w:r>
      <w:r w:rsidR="001E54B3" w:rsidRPr="001E54B3">
        <w:rPr>
          <w:rFonts w:ascii="Times New Roman" w:hAnsi="Times New Roman" w:cs="Times New Roman"/>
          <w:sz w:val="24"/>
          <w:szCs w:val="24"/>
        </w:rPr>
        <w:t>“El derecho determina a cada uno lo suyo (con una precisión matemática); lo cual no puede esperarse de la moral.” (2008, p.46)</w:t>
      </w:r>
      <w:r w:rsidRPr="00CA0124">
        <w:rPr>
          <w:rFonts w:ascii="Times New Roman" w:hAnsi="Times New Roman" w:cs="Times New Roman"/>
          <w:sz w:val="24"/>
          <w:szCs w:val="24"/>
        </w:rPr>
        <w:t xml:space="preserve"> De esta forma, se trata de algo más cercano a una ciencia del derecho, que es posible gracias a la base de sus principios metafísicos, y que se articula a las largas discusiones acerca de justicia distributiva; con esto me refiero a la sección de</w:t>
      </w:r>
      <w:r w:rsidR="00A634BC">
        <w:rPr>
          <w:rFonts w:ascii="Times New Roman" w:hAnsi="Times New Roman" w:cs="Times New Roman"/>
          <w:sz w:val="24"/>
          <w:szCs w:val="24"/>
        </w:rPr>
        <w:t xml:space="preserve"> la cita </w:t>
      </w:r>
      <w:r w:rsidRPr="00CA0124">
        <w:rPr>
          <w:rFonts w:ascii="Times New Roman" w:hAnsi="Times New Roman" w:cs="Times New Roman"/>
          <w:sz w:val="24"/>
          <w:szCs w:val="24"/>
        </w:rPr>
        <w:t xml:space="preserve">que alude a “determinar a cada uno lo suyo”. </w:t>
      </w:r>
      <w:r w:rsidR="00CA0124" w:rsidRPr="00CA0124">
        <w:rPr>
          <w:rFonts w:ascii="Times New Roman" w:hAnsi="Times New Roman" w:cs="Times New Roman"/>
          <w:sz w:val="24"/>
          <w:szCs w:val="24"/>
        </w:rPr>
        <w:t xml:space="preserve">Esto hace referencia al pasaje de la </w:t>
      </w:r>
      <w:r w:rsidR="00CA0124" w:rsidRPr="00CA0124">
        <w:rPr>
          <w:rFonts w:ascii="Times New Roman" w:hAnsi="Times New Roman" w:cs="Times New Roman"/>
          <w:i/>
          <w:iCs/>
          <w:sz w:val="24"/>
          <w:szCs w:val="24"/>
        </w:rPr>
        <w:t>República</w:t>
      </w:r>
      <w:r w:rsidR="00CA0124" w:rsidRPr="00CA0124">
        <w:rPr>
          <w:rFonts w:ascii="Times New Roman" w:hAnsi="Times New Roman" w:cs="Times New Roman"/>
          <w:sz w:val="24"/>
          <w:szCs w:val="24"/>
        </w:rPr>
        <w:t xml:space="preserve"> de Platón en donde Polemarco y Sócrates discuten sobre la justicia y el primero sostiene que representa dar a cada cual lo suyo, ante lo que el rigor socrático replica con la pregunta que guía las discusiones sobre justicia distributiva: ¿qué significa dar a cada quien lo suyo?” Una perspectiva interesante es la de Aristóteles, por cuanto no ofrece una respuesta única, sino tres guías que pueden orientar esta aplicación de la distribución de los bienes sociales, como lo podría ser la justicia, u otros ejemplos; para Aristóteles, se pueden repartir los bienes en virtud de (1) un concepto de igualdad, o (2) por la necesidad, o bien (3) por el mérito. La riqueza de la orientación de la prudencia del justo medio Aristotélico rescata la indeterminación de los escenarios en que la razón práctica debe operar. Sin embargo, Kant rechaza esta postura y tradición que también los romanos habían heredado, y rescata la perspectiva de Domicio Ulpiano, a quien, en otros casos, se le atribuye la definición de justicia como dar a cada cual lo suyo. Así, re</w:t>
      </w:r>
      <w:r w:rsidR="001E54B3" w:rsidRPr="001E54B3">
        <w:rPr>
          <w:rFonts w:ascii="Times New Roman" w:hAnsi="Times New Roman" w:cs="Times New Roman"/>
          <w:sz w:val="24"/>
          <w:szCs w:val="24"/>
        </w:rPr>
        <w:t>specto de los deberes del derecho</w:t>
      </w:r>
      <w:r w:rsidR="00CA0124" w:rsidRPr="00CA0124">
        <w:rPr>
          <w:rFonts w:ascii="Times New Roman" w:hAnsi="Times New Roman" w:cs="Times New Roman"/>
          <w:sz w:val="24"/>
          <w:szCs w:val="24"/>
        </w:rPr>
        <w:t>, dice Kant que</w:t>
      </w:r>
      <w:r w:rsidR="001E54B3" w:rsidRPr="001E54B3">
        <w:rPr>
          <w:rFonts w:ascii="Times New Roman" w:hAnsi="Times New Roman" w:cs="Times New Roman"/>
          <w:sz w:val="24"/>
          <w:szCs w:val="24"/>
        </w:rPr>
        <w:t>:</w:t>
      </w:r>
    </w:p>
    <w:p w14:paraId="104977B0" w14:textId="77777777" w:rsidR="00FD19A6" w:rsidRPr="00CA0124" w:rsidRDefault="00FD19A6" w:rsidP="00CA0124">
      <w:pPr>
        <w:spacing w:line="360" w:lineRule="auto"/>
        <w:jc w:val="both"/>
        <w:rPr>
          <w:rFonts w:ascii="Times New Roman" w:hAnsi="Times New Roman" w:cs="Times New Roman"/>
          <w:sz w:val="24"/>
          <w:szCs w:val="24"/>
        </w:rPr>
      </w:pPr>
    </w:p>
    <w:p w14:paraId="4F795D3E" w14:textId="3A7B4C31" w:rsidR="001E54B3" w:rsidRPr="0081434A" w:rsidRDefault="001E54B3" w:rsidP="0081434A">
      <w:pPr>
        <w:spacing w:line="240" w:lineRule="auto"/>
        <w:ind w:left="708"/>
        <w:jc w:val="both"/>
        <w:rPr>
          <w:rFonts w:ascii="Times New Roman" w:hAnsi="Times New Roman" w:cs="Times New Roman"/>
          <w:sz w:val="20"/>
          <w:szCs w:val="20"/>
        </w:rPr>
      </w:pPr>
      <w:r w:rsidRPr="001E54B3">
        <w:rPr>
          <w:rFonts w:ascii="Times New Roman" w:hAnsi="Times New Roman" w:cs="Times New Roman"/>
          <w:sz w:val="20"/>
          <w:szCs w:val="20"/>
        </w:rPr>
        <w:t xml:space="preserve">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w:t>
      </w:r>
      <w:bookmarkStart w:id="0" w:name="_Hlk184836876"/>
      <w:r w:rsidRPr="001E54B3">
        <w:rPr>
          <w:rFonts w:ascii="Times New Roman" w:hAnsi="Times New Roman" w:cs="Times New Roman"/>
          <w:sz w:val="20"/>
          <w:szCs w:val="20"/>
        </w:rPr>
        <w:t>Si esta última fórmula se tradujera diciendo: &lt;Da a cada uno lo suyo&gt;, sería absurda, porque a nadie se le puede dar lo que ya tiene. (2008, p. 52)</w:t>
      </w:r>
      <w:bookmarkEnd w:id="0"/>
    </w:p>
    <w:p w14:paraId="13C63F9E" w14:textId="77777777" w:rsidR="00CA0124" w:rsidRPr="001E54B3" w:rsidRDefault="00CA0124" w:rsidP="00CA0124">
      <w:pPr>
        <w:spacing w:line="360" w:lineRule="auto"/>
        <w:jc w:val="both"/>
        <w:rPr>
          <w:rFonts w:ascii="Times New Roman" w:hAnsi="Times New Roman" w:cs="Times New Roman"/>
          <w:sz w:val="24"/>
          <w:szCs w:val="24"/>
        </w:rPr>
      </w:pPr>
    </w:p>
    <w:p w14:paraId="72F9E054" w14:textId="42052EDD" w:rsidR="00301AC4" w:rsidRDefault="00301AC4" w:rsidP="00CA01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Puede ser importante lo que Domicio Ulpiano establece como jurista romano, teniendo en cuenta que para entonces su república conocía el concepto de derecho de gentes, introducido por una pequeña revolución liderada por el provinciano Marco Tulio Cicérón. En este sentido, en el caso de su tratado </w:t>
      </w:r>
      <w:r>
        <w:rPr>
          <w:rFonts w:ascii="Times New Roman" w:hAnsi="Times New Roman" w:cs="Times New Roman"/>
          <w:i/>
          <w:iCs/>
          <w:sz w:val="24"/>
          <w:szCs w:val="24"/>
        </w:rPr>
        <w:t>Sobre las leyes</w:t>
      </w:r>
      <w:r>
        <w:rPr>
          <w:rFonts w:ascii="Times New Roman" w:hAnsi="Times New Roman" w:cs="Times New Roman"/>
          <w:sz w:val="24"/>
          <w:szCs w:val="24"/>
        </w:rPr>
        <w:t xml:space="preserve">, se entiende a la justicia como una institución humana que emula el orden divino, y de ahí su imperfección humana, pero su intuición ideal, o su poder nouménico, por decirlo anacrónicamente. El rescate de Ulpiano apunta, como se sigue del pasaje (1) a la libertad como un tipo de autodeterminación que respete la finalidad de sí mismo como por encima de cualquier forma de mera o pura instrumentalización. Además, (2) pone límites civiles a una libertad más extensa, que se busca educar y finalmente (3) Interpreta Kant sobre Ulpiano una lectura distinta, por cuanto </w:t>
      </w:r>
      <w:r w:rsidR="00CE4A57">
        <w:rPr>
          <w:rFonts w:ascii="Times New Roman" w:hAnsi="Times New Roman" w:cs="Times New Roman"/>
          <w:sz w:val="24"/>
          <w:szCs w:val="24"/>
        </w:rPr>
        <w:t>se proyecta la exigencia racional de entrar en orden civil con otros, por un asunto deontológico</w:t>
      </w:r>
      <w:r w:rsidR="00CF18D3">
        <w:rPr>
          <w:rFonts w:ascii="Times New Roman" w:hAnsi="Times New Roman" w:cs="Times New Roman"/>
          <w:sz w:val="24"/>
          <w:szCs w:val="24"/>
        </w:rPr>
        <w:t>. Personalmente, me parece muy misterioso que exprese que “</w:t>
      </w:r>
      <w:r w:rsidR="00CF18D3" w:rsidRPr="00CF18D3">
        <w:rPr>
          <w:rFonts w:ascii="Times New Roman" w:hAnsi="Times New Roman" w:cs="Times New Roman"/>
          <w:sz w:val="24"/>
          <w:szCs w:val="24"/>
        </w:rPr>
        <w:t>Si esta última fórmula se tradujera diciendo: &lt;Da a cada uno lo suyo&gt;, sería absurda, porque a nadie se le puede dar lo que ya tiene.</w:t>
      </w:r>
      <w:r w:rsidR="00CF18D3">
        <w:rPr>
          <w:rFonts w:ascii="Times New Roman" w:hAnsi="Times New Roman" w:cs="Times New Roman"/>
          <w:sz w:val="24"/>
          <w:szCs w:val="24"/>
        </w:rPr>
        <w:t>”</w:t>
      </w:r>
      <w:r w:rsidR="00CF18D3" w:rsidRPr="00CF18D3">
        <w:rPr>
          <w:rFonts w:ascii="Times New Roman" w:hAnsi="Times New Roman" w:cs="Times New Roman"/>
          <w:sz w:val="24"/>
          <w:szCs w:val="24"/>
        </w:rPr>
        <w:t xml:space="preserve"> (2008, p. 52)</w:t>
      </w:r>
      <w:r w:rsidR="00CF18D3">
        <w:rPr>
          <w:rFonts w:ascii="Times New Roman" w:hAnsi="Times New Roman" w:cs="Times New Roman"/>
          <w:sz w:val="24"/>
          <w:szCs w:val="24"/>
        </w:rPr>
        <w:t xml:space="preserve"> Creo que se puede sostener la lectura de ese punto en virtud de que la justicia ya se encuentra establecida en todo orden jurídico, y que idealmente es equitativa, por cuanto, estando dada, desde su poder nouménico, en un sentido normativo, metafísico y abstracto, por lo tanto, ya no es posible que sea asignado, algo que es un presupuesto, antes bien que una consecuencia práctica. </w:t>
      </w:r>
    </w:p>
    <w:p w14:paraId="1D0C6A7F" w14:textId="0E8EFB84" w:rsidR="001E54B3" w:rsidRDefault="00677799" w:rsidP="00CA0124">
      <w:pPr>
        <w:spacing w:line="360" w:lineRule="auto"/>
        <w:jc w:val="both"/>
        <w:rPr>
          <w:rFonts w:ascii="Times New Roman" w:hAnsi="Times New Roman" w:cs="Times New Roman"/>
          <w:sz w:val="24"/>
          <w:szCs w:val="24"/>
        </w:rPr>
      </w:pPr>
      <w:r>
        <w:rPr>
          <w:rFonts w:ascii="Times New Roman" w:hAnsi="Times New Roman" w:cs="Times New Roman"/>
          <w:sz w:val="24"/>
          <w:szCs w:val="24"/>
        </w:rPr>
        <w:t>Como se ha mencionado antes, la libertad cumple un role fundamental en el proyecto crítico en todo nivel. Del mismo modo, en los principios que guían el orden jurídico, refiere Kant que:</w:t>
      </w:r>
      <w:r w:rsidR="001E54B3" w:rsidRPr="001E54B3">
        <w:rPr>
          <w:rFonts w:ascii="Times New Roman" w:hAnsi="Times New Roman" w:cs="Times New Roman"/>
          <w:sz w:val="24"/>
          <w:szCs w:val="24"/>
        </w:rPr>
        <w:t> “No hay más que un solo derecho natural o innato. La libertad.” (2008, p. 54)</w:t>
      </w:r>
      <w:r>
        <w:rPr>
          <w:rFonts w:ascii="Times New Roman" w:hAnsi="Times New Roman" w:cs="Times New Roman"/>
          <w:sz w:val="24"/>
          <w:szCs w:val="24"/>
        </w:rPr>
        <w:t xml:space="preserve"> </w:t>
      </w:r>
    </w:p>
    <w:p w14:paraId="5EAF052C" w14:textId="5CCE3EAA" w:rsidR="001E54B3" w:rsidRDefault="00677799" w:rsidP="00CA01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Kant separa su teoría del derecho en dos ámbitos internos, él refiere que: </w:t>
      </w:r>
      <w:r w:rsidR="001E54B3" w:rsidRPr="00CA0124">
        <w:rPr>
          <w:rFonts w:ascii="Times New Roman" w:hAnsi="Times New Roman" w:cs="Times New Roman"/>
          <w:sz w:val="24"/>
          <w:szCs w:val="24"/>
        </w:rPr>
        <w:t>“La división principal (…) debe hacerse en derecho natural y derecho civil; el primero de estos derechos se llama derecho privado, el segundo, derecho público.” (2008, p. 59)</w:t>
      </w:r>
      <w:r>
        <w:rPr>
          <w:rFonts w:ascii="Times New Roman" w:hAnsi="Times New Roman" w:cs="Times New Roman"/>
          <w:sz w:val="24"/>
          <w:szCs w:val="24"/>
        </w:rPr>
        <w:t xml:space="preserve"> Me gustaría reconocer la importancia de los conceptos de propiedad privada</w:t>
      </w:r>
      <w:r w:rsidR="002F5C07">
        <w:rPr>
          <w:rFonts w:ascii="Times New Roman" w:hAnsi="Times New Roman" w:cs="Times New Roman"/>
          <w:sz w:val="24"/>
          <w:szCs w:val="24"/>
        </w:rPr>
        <w:t xml:space="preserve">, (referida como </w:t>
      </w:r>
      <w:r w:rsidR="002F5C07">
        <w:rPr>
          <w:rFonts w:ascii="Times New Roman" w:hAnsi="Times New Roman" w:cs="Times New Roman"/>
          <w:sz w:val="24"/>
          <w:szCs w:val="24"/>
        </w:rPr>
        <w:lastRenderedPageBreak/>
        <w:t>“de lo mío y de lo tuyo”)</w:t>
      </w:r>
      <w:r>
        <w:rPr>
          <w:rFonts w:ascii="Times New Roman" w:hAnsi="Times New Roman" w:cs="Times New Roman"/>
          <w:sz w:val="24"/>
          <w:szCs w:val="24"/>
        </w:rPr>
        <w:t>,</w:t>
      </w:r>
      <w:r w:rsidR="002F5C07">
        <w:rPr>
          <w:rFonts w:ascii="Times New Roman" w:hAnsi="Times New Roman" w:cs="Times New Roman"/>
          <w:sz w:val="24"/>
          <w:szCs w:val="24"/>
        </w:rPr>
        <w:t xml:space="preserve"> es decir, de las cosas y su posesión en estado de reconocimiento recíproco, del fundo, de la ocupación, </w:t>
      </w:r>
      <w:r>
        <w:rPr>
          <w:rFonts w:ascii="Times New Roman" w:hAnsi="Times New Roman" w:cs="Times New Roman"/>
          <w:sz w:val="24"/>
          <w:szCs w:val="24"/>
        </w:rPr>
        <w:t>del contrato,</w:t>
      </w:r>
      <w:r w:rsidR="002F5C07">
        <w:rPr>
          <w:rFonts w:ascii="Times New Roman" w:hAnsi="Times New Roman" w:cs="Times New Roman"/>
          <w:sz w:val="24"/>
          <w:szCs w:val="24"/>
        </w:rPr>
        <w:t xml:space="preserve"> del matrimonio,</w:t>
      </w:r>
      <w:r>
        <w:rPr>
          <w:rFonts w:ascii="Times New Roman" w:hAnsi="Times New Roman" w:cs="Times New Roman"/>
          <w:sz w:val="24"/>
          <w:szCs w:val="24"/>
        </w:rPr>
        <w:t xml:space="preserve"> de la familia,</w:t>
      </w:r>
      <w:r w:rsidR="002F5C07">
        <w:rPr>
          <w:rFonts w:ascii="Times New Roman" w:hAnsi="Times New Roman" w:cs="Times New Roman"/>
          <w:sz w:val="24"/>
          <w:szCs w:val="24"/>
        </w:rPr>
        <w:t xml:space="preserve"> del dinero y de los libros, entre </w:t>
      </w:r>
      <w:r>
        <w:rPr>
          <w:rFonts w:ascii="Times New Roman" w:hAnsi="Times New Roman" w:cs="Times New Roman"/>
          <w:sz w:val="24"/>
          <w:szCs w:val="24"/>
        </w:rPr>
        <w:t xml:space="preserve">otros asuntos, pero especialmente, creo que sería más adecuado rescatar el peso de </w:t>
      </w:r>
      <w:r w:rsidR="002F5C07">
        <w:rPr>
          <w:rFonts w:ascii="Times New Roman" w:hAnsi="Times New Roman" w:cs="Times New Roman"/>
          <w:sz w:val="24"/>
          <w:szCs w:val="24"/>
        </w:rPr>
        <w:t>los elementos que se encuentran en el horizonte segundo, sobre el ámbito del derecho público, es decir, los elementos o principios que gobiernan la idea del derecho civil. Si bien los primeros, que dejamos de lado, son importantes, asimismo, como muchos otros temas y elementos, tanto en Kant, como en otros casos, merecen una actualización crítica que se ajuste a los valores de cada tiempo, y al desarrollo y sentido de algunas ideas e instituciones</w:t>
      </w:r>
      <w:r w:rsidR="005D5CE7">
        <w:rPr>
          <w:rFonts w:ascii="Times New Roman" w:hAnsi="Times New Roman" w:cs="Times New Roman"/>
          <w:sz w:val="24"/>
          <w:szCs w:val="24"/>
        </w:rPr>
        <w:t>, sin por ello desmerecer las razones que quedan como nutriente crítico para el presente</w:t>
      </w:r>
      <w:r w:rsidR="002F5C07">
        <w:rPr>
          <w:rFonts w:ascii="Times New Roman" w:hAnsi="Times New Roman" w:cs="Times New Roman"/>
          <w:sz w:val="24"/>
          <w:szCs w:val="24"/>
        </w:rPr>
        <w:t xml:space="preserve">. </w:t>
      </w:r>
    </w:p>
    <w:p w14:paraId="22F3DAA6" w14:textId="0C146243" w:rsidR="001E54B3" w:rsidRDefault="005D5CE7" w:rsidP="00CA0124">
      <w:pPr>
        <w:spacing w:line="360" w:lineRule="auto"/>
        <w:jc w:val="both"/>
        <w:rPr>
          <w:rFonts w:ascii="Times New Roman" w:hAnsi="Times New Roman" w:cs="Times New Roman"/>
          <w:sz w:val="24"/>
          <w:szCs w:val="24"/>
        </w:rPr>
      </w:pPr>
      <w:r>
        <w:rPr>
          <w:rFonts w:ascii="Times New Roman" w:hAnsi="Times New Roman" w:cs="Times New Roman"/>
          <w:sz w:val="24"/>
          <w:szCs w:val="24"/>
        </w:rPr>
        <w:t>La p</w:t>
      </w:r>
      <w:r w:rsidR="001E54B3" w:rsidRPr="001E54B3">
        <w:rPr>
          <w:rFonts w:ascii="Times New Roman" w:hAnsi="Times New Roman" w:cs="Times New Roman"/>
          <w:sz w:val="24"/>
          <w:szCs w:val="24"/>
        </w:rPr>
        <w:t>rimera parte del derecho público</w:t>
      </w:r>
      <w:r>
        <w:rPr>
          <w:rFonts w:ascii="Times New Roman" w:hAnsi="Times New Roman" w:cs="Times New Roman"/>
          <w:sz w:val="24"/>
          <w:szCs w:val="24"/>
        </w:rPr>
        <w:t xml:space="preserve"> se refiere a un tema que me gustaría rescatar como un ejemplo del efecto material que pueden tener los principios metafísicos o el poder nouménico. Este concepto es el</w:t>
      </w:r>
      <w:r w:rsidR="001E54B3" w:rsidRPr="001E54B3">
        <w:rPr>
          <w:rFonts w:ascii="Times New Roman" w:hAnsi="Times New Roman" w:cs="Times New Roman"/>
          <w:sz w:val="24"/>
          <w:szCs w:val="24"/>
        </w:rPr>
        <w:t xml:space="preserve"> de la ciudadanía</w:t>
      </w:r>
      <w:r>
        <w:rPr>
          <w:rFonts w:ascii="Times New Roman" w:hAnsi="Times New Roman" w:cs="Times New Roman"/>
          <w:sz w:val="24"/>
          <w:szCs w:val="24"/>
        </w:rPr>
        <w:t>.</w:t>
      </w:r>
      <w:r w:rsidR="00594EC5">
        <w:rPr>
          <w:rFonts w:ascii="Times New Roman" w:hAnsi="Times New Roman" w:cs="Times New Roman"/>
          <w:sz w:val="24"/>
          <w:szCs w:val="24"/>
        </w:rPr>
        <w:t xml:space="preserve"> Pero la ciudadanía tiene un marco, y ese horizonte es el de una agrupación articulada por leyes, con instituciones cohesionadas, entendidas como el estado. </w:t>
      </w:r>
      <w:r w:rsidR="00723DC2">
        <w:rPr>
          <w:rFonts w:ascii="Times New Roman" w:hAnsi="Times New Roman" w:cs="Times New Roman"/>
          <w:sz w:val="24"/>
          <w:szCs w:val="24"/>
        </w:rPr>
        <w:t xml:space="preserve">Podemos atender a </w:t>
      </w:r>
      <w:r w:rsidR="00594EC5">
        <w:rPr>
          <w:rFonts w:ascii="Times New Roman" w:hAnsi="Times New Roman" w:cs="Times New Roman"/>
          <w:sz w:val="24"/>
          <w:szCs w:val="24"/>
        </w:rPr>
        <w:t xml:space="preserve">un pasaje para poder </w:t>
      </w:r>
      <w:r w:rsidR="00723DC2">
        <w:rPr>
          <w:rFonts w:ascii="Times New Roman" w:hAnsi="Times New Roman" w:cs="Times New Roman"/>
          <w:sz w:val="24"/>
          <w:szCs w:val="24"/>
        </w:rPr>
        <w:t xml:space="preserve">pensar en </w:t>
      </w:r>
      <w:r w:rsidR="00594EC5">
        <w:rPr>
          <w:rFonts w:ascii="Times New Roman" w:hAnsi="Times New Roman" w:cs="Times New Roman"/>
          <w:sz w:val="24"/>
          <w:szCs w:val="24"/>
        </w:rPr>
        <w:t>un fundamento crucial de la idea de un ciudadano articulado a un estado por razones compartidas. Kant refiere que</w:t>
      </w:r>
      <w:r w:rsidR="00723DC2">
        <w:rPr>
          <w:rFonts w:ascii="Times New Roman" w:hAnsi="Times New Roman" w:cs="Times New Roman"/>
          <w:sz w:val="24"/>
          <w:szCs w:val="24"/>
        </w:rPr>
        <w:t>:</w:t>
      </w:r>
    </w:p>
    <w:p w14:paraId="3806E3EC" w14:textId="77777777" w:rsidR="00FD19A6" w:rsidRPr="001E54B3" w:rsidRDefault="00FD19A6" w:rsidP="00CA0124">
      <w:pPr>
        <w:spacing w:line="360" w:lineRule="auto"/>
        <w:jc w:val="both"/>
        <w:rPr>
          <w:rFonts w:ascii="Times New Roman" w:hAnsi="Times New Roman" w:cs="Times New Roman"/>
          <w:sz w:val="24"/>
          <w:szCs w:val="24"/>
        </w:rPr>
      </w:pPr>
    </w:p>
    <w:p w14:paraId="0017D3F2" w14:textId="3A893402" w:rsidR="001E54B3" w:rsidRDefault="001E54B3" w:rsidP="00723DC2">
      <w:pPr>
        <w:spacing w:line="240" w:lineRule="auto"/>
        <w:ind w:left="708"/>
        <w:jc w:val="both"/>
        <w:rPr>
          <w:rFonts w:ascii="Times New Roman" w:hAnsi="Times New Roman" w:cs="Times New Roman"/>
          <w:sz w:val="20"/>
          <w:szCs w:val="20"/>
          <w:lang w:val="es-ES"/>
        </w:rPr>
      </w:pPr>
      <w:r w:rsidRPr="001E54B3">
        <w:rPr>
          <w:rFonts w:ascii="Times New Roman" w:hAnsi="Times New Roman" w:cs="Times New Roman"/>
          <w:sz w:val="20"/>
          <w:szCs w:val="20"/>
        </w:rPr>
        <w:t> </w:t>
      </w:r>
      <w:r w:rsidRPr="001E54B3">
        <w:rPr>
          <w:rFonts w:ascii="Times New Roman" w:hAnsi="Times New Roman" w:cs="Times New Roman"/>
          <w:sz w:val="20"/>
          <w:szCs w:val="20"/>
          <w:lang w:val="es-ES"/>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w:t>
      </w:r>
      <w:r w:rsidR="00723DC2">
        <w:rPr>
          <w:rFonts w:ascii="Times New Roman" w:hAnsi="Times New Roman" w:cs="Times New Roman"/>
          <w:sz w:val="20"/>
          <w:szCs w:val="20"/>
          <w:lang w:val="es-ES"/>
        </w:rPr>
        <w:t xml:space="preserve"> </w:t>
      </w:r>
      <w:r w:rsidRPr="001E54B3">
        <w:rPr>
          <w:rFonts w:ascii="Times New Roman" w:hAnsi="Times New Roman" w:cs="Times New Roman"/>
          <w:sz w:val="20"/>
          <w:szCs w:val="20"/>
          <w:lang w:val="es-ES"/>
        </w:rPr>
        <w:t>(2008; p. 163)</w:t>
      </w:r>
    </w:p>
    <w:p w14:paraId="710F9E4F" w14:textId="77777777" w:rsidR="00723DC2" w:rsidRPr="001E54B3" w:rsidRDefault="00723DC2" w:rsidP="00723DC2">
      <w:pPr>
        <w:spacing w:line="240" w:lineRule="auto"/>
        <w:ind w:left="708"/>
        <w:jc w:val="both"/>
        <w:rPr>
          <w:rFonts w:ascii="Times New Roman" w:hAnsi="Times New Roman" w:cs="Times New Roman"/>
          <w:sz w:val="20"/>
          <w:szCs w:val="20"/>
        </w:rPr>
      </w:pPr>
    </w:p>
    <w:p w14:paraId="555CDA23" w14:textId="403256A7" w:rsidR="00723DC2" w:rsidRDefault="001E54B3" w:rsidP="00CA0124">
      <w:pPr>
        <w:spacing w:line="360" w:lineRule="auto"/>
        <w:jc w:val="both"/>
        <w:rPr>
          <w:rFonts w:ascii="Times New Roman" w:hAnsi="Times New Roman" w:cs="Times New Roman"/>
          <w:sz w:val="24"/>
          <w:szCs w:val="24"/>
        </w:rPr>
      </w:pPr>
      <w:r w:rsidRPr="001E54B3">
        <w:rPr>
          <w:rFonts w:ascii="Times New Roman" w:hAnsi="Times New Roman" w:cs="Times New Roman"/>
          <w:sz w:val="24"/>
          <w:szCs w:val="24"/>
        </w:rPr>
        <w:t> </w:t>
      </w:r>
      <w:r w:rsidR="00723DC2">
        <w:rPr>
          <w:rFonts w:ascii="Times New Roman" w:hAnsi="Times New Roman" w:cs="Times New Roman"/>
          <w:sz w:val="24"/>
          <w:szCs w:val="24"/>
        </w:rPr>
        <w:t>Creo que este pasaje es nuclear para estimar la doctrina jurídica y política de Kant.</w:t>
      </w:r>
      <w:r w:rsidR="00CC7DFE">
        <w:rPr>
          <w:rFonts w:ascii="Times New Roman" w:hAnsi="Times New Roman" w:cs="Times New Roman"/>
          <w:sz w:val="24"/>
          <w:szCs w:val="24"/>
        </w:rPr>
        <w:t xml:space="preserve"> El pasaje señala que el derecho público representa el conjunto de leyes que se hacen públicas al tiempo que instauran el orden civil o jurídico. En otras palabras, podríamos decir que la proyección del derecho civil es el fundamento y la razón de ser del estado. La articulación de este sentido se encuentra materializada en una constitución que reúne leyes y deberes que un pueblo consiente</w:t>
      </w:r>
      <w:r w:rsidR="00D433F5">
        <w:rPr>
          <w:rFonts w:ascii="Times New Roman" w:hAnsi="Times New Roman" w:cs="Times New Roman"/>
          <w:sz w:val="24"/>
          <w:szCs w:val="24"/>
        </w:rPr>
        <w:t xml:space="preserve"> recíprocamente</w:t>
      </w:r>
      <w:r w:rsidR="00CC7DFE">
        <w:rPr>
          <w:rFonts w:ascii="Times New Roman" w:hAnsi="Times New Roman" w:cs="Times New Roman"/>
          <w:sz w:val="24"/>
          <w:szCs w:val="24"/>
        </w:rPr>
        <w:t xml:space="preserve">, en virtud de que reflejan su propio interés integrado comunitariamente, en la línea de lo que rescataba Habermas. </w:t>
      </w:r>
      <w:r w:rsidR="00D433F5">
        <w:rPr>
          <w:rFonts w:ascii="Times New Roman" w:hAnsi="Times New Roman" w:cs="Times New Roman"/>
          <w:sz w:val="24"/>
          <w:szCs w:val="24"/>
        </w:rPr>
        <w:t>Un sistema de leyes, por lo tanto, ofrece un marco civil de comunidad y a este estado de “</w:t>
      </w:r>
      <w:r w:rsidR="00D433F5">
        <w:rPr>
          <w:rFonts w:ascii="Times New Roman" w:hAnsi="Times New Roman" w:cs="Times New Roman"/>
          <w:sz w:val="24"/>
          <w:szCs w:val="24"/>
        </w:rPr>
        <w:t>relación</w:t>
      </w:r>
      <w:r w:rsidR="00D433F5">
        <w:rPr>
          <w:rFonts w:ascii="Times New Roman" w:hAnsi="Times New Roman" w:cs="Times New Roman"/>
          <w:sz w:val="24"/>
          <w:szCs w:val="24"/>
        </w:rPr>
        <w:t xml:space="preserve"> mutua” ordenada, Kant le llama estado civil. El deseo de perseguir la exigencia </w:t>
      </w:r>
      <w:r w:rsidR="00D433F5">
        <w:rPr>
          <w:rFonts w:ascii="Times New Roman" w:hAnsi="Times New Roman" w:cs="Times New Roman"/>
          <w:sz w:val="24"/>
          <w:szCs w:val="24"/>
        </w:rPr>
        <w:lastRenderedPageBreak/>
        <w:t xml:space="preserve">misma de la razón, y querer permanecer en un orden que no sea violento, ni impositivo, refleja un interés por los asuntos públicos generales, es decir, republicanismo. La voluntad libre de una agente individual, que se somete a este acuerdo nouménico, puede entendérsele como un ciudadano, en cuanto es una persona que se desenvuelve en el ámbito formal de lo civil, es decir, en una ciudad. </w:t>
      </w:r>
    </w:p>
    <w:p w14:paraId="2D2AA2E3" w14:textId="4EF86C32" w:rsidR="001E54B3" w:rsidRDefault="001675D0" w:rsidP="00CA01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Este orden interno de relaciones entre los ciudadanos y un estado, articulados por un estado de derecho, se replica en otra escala cuando hablamos de naciones que se relacionan con otras naciones en cuanto sujetos de derecho. Así, Kant anticipa la última parte de su obra, cuando señala que: </w:t>
      </w:r>
      <w:r w:rsidR="001E54B3" w:rsidRPr="001E54B3">
        <w:rPr>
          <w:rFonts w:ascii="Times New Roman" w:hAnsi="Times New Roman" w:cs="Times New Roman"/>
          <w:sz w:val="24"/>
          <w:szCs w:val="24"/>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o de ciudadano del mundo, en razón a que la tierra no es infinita, sino que es una superficie en sí misma limitada.” </w:t>
      </w:r>
      <w:r w:rsidR="001E54B3" w:rsidRPr="001E54B3">
        <w:rPr>
          <w:rFonts w:ascii="Times New Roman" w:hAnsi="Times New Roman" w:cs="Times New Roman"/>
          <w:sz w:val="24"/>
          <w:szCs w:val="24"/>
          <w:lang w:val="es-ES"/>
        </w:rPr>
        <w:t>(2008; p. 164)</w:t>
      </w:r>
      <w:r>
        <w:rPr>
          <w:rFonts w:ascii="Times New Roman" w:hAnsi="Times New Roman" w:cs="Times New Roman"/>
          <w:sz w:val="24"/>
          <w:szCs w:val="24"/>
          <w:lang w:val="es-ES"/>
        </w:rPr>
        <w:t xml:space="preserve"> Este elemento cosmopolita es centro de diversos análisis actuales de Kant, como ocurre en el caso de Flikschuh, Appiah, Kymlicka, entre muchos otros. </w:t>
      </w:r>
    </w:p>
    <w:p w14:paraId="57B7AC3E" w14:textId="76BBAF91" w:rsidR="001E54B3" w:rsidRDefault="001675D0" w:rsidP="00CA01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 elemento fundamental para pensar al estado, en su forma abstracta, es considerarle no como una imposición histórica, sino, desde el poder de lo noumenal,</w:t>
      </w:r>
      <w:r w:rsidR="000436F5">
        <w:rPr>
          <w:rFonts w:ascii="Times New Roman" w:hAnsi="Times New Roman" w:cs="Times New Roman"/>
          <w:sz w:val="24"/>
          <w:szCs w:val="24"/>
          <w:lang w:val="es-ES"/>
        </w:rPr>
        <w:t xml:space="preserve"> es decir, </w:t>
      </w:r>
      <w:r>
        <w:rPr>
          <w:rFonts w:ascii="Times New Roman" w:hAnsi="Times New Roman" w:cs="Times New Roman"/>
          <w:sz w:val="24"/>
          <w:szCs w:val="24"/>
          <w:lang w:val="es-ES"/>
        </w:rPr>
        <w:t xml:space="preserve">estimar que es una exigencia misma de la razón pura práctica, y por ello, </w:t>
      </w:r>
      <w:r w:rsidR="000436F5">
        <w:rPr>
          <w:rFonts w:ascii="Times New Roman" w:hAnsi="Times New Roman" w:cs="Times New Roman"/>
          <w:sz w:val="24"/>
          <w:szCs w:val="24"/>
          <w:lang w:val="es-ES"/>
        </w:rPr>
        <w:t xml:space="preserve">retomando un elemento de su interpretación de Ulpiano, </w:t>
      </w:r>
      <w:r>
        <w:rPr>
          <w:rFonts w:ascii="Times New Roman" w:hAnsi="Times New Roman" w:cs="Times New Roman"/>
          <w:sz w:val="24"/>
          <w:szCs w:val="24"/>
          <w:lang w:val="es-ES"/>
        </w:rPr>
        <w:t xml:space="preserve">Kant señala que: </w:t>
      </w:r>
      <w:r w:rsidR="001E54B3" w:rsidRPr="001E54B3">
        <w:rPr>
          <w:rFonts w:ascii="Times New Roman" w:hAnsi="Times New Roman" w:cs="Times New Roman"/>
          <w:sz w:val="24"/>
          <w:szCs w:val="24"/>
          <w:lang w:val="es-ES"/>
        </w:rPr>
        <w:t>“Es menester salir del estado natural, en el cual cada cual obra a su antojo y convenir con todos los demás (…) ante todo entrar en un estado civil.” (2008; p. 165)</w:t>
      </w:r>
    </w:p>
    <w:p w14:paraId="400CE650" w14:textId="7A2B847C" w:rsidR="001E54B3" w:rsidRDefault="000436F5" w:rsidP="00CA0124">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De esto se sigue el espacio abstracto en donde uno tiene el interés republicano, es decir, el de sostener, conservar y mejorar su relación de derecho con otros, en virtud del respeto de una libertad recíproca de las justificaciones públicas. Así, Kant indica que: </w:t>
      </w:r>
      <w:r w:rsidR="001E54B3" w:rsidRPr="001E54B3">
        <w:rPr>
          <w:rFonts w:ascii="Times New Roman" w:hAnsi="Times New Roman" w:cs="Times New Roman"/>
          <w:sz w:val="24"/>
          <w:szCs w:val="24"/>
          <w:lang w:val="es-ES"/>
        </w:rPr>
        <w:t xml:space="preserve">“Una ciudad (civitas) es la reunión de un número mayor o menor de hombres bajo leyes de derecho. </w:t>
      </w:r>
      <w:r w:rsidR="001E54B3" w:rsidRPr="001E54B3">
        <w:rPr>
          <w:rFonts w:ascii="Times New Roman" w:hAnsi="Times New Roman" w:cs="Times New Roman"/>
          <w:sz w:val="24"/>
          <w:szCs w:val="24"/>
        </w:rPr>
        <w:t>(…) La forma de una ciudad es la de una ciudad general, es decir, la ciudad en Idea, como debe ser según los principios de derecho puro. Esta idea sirve de regla a cada reunión efectiva en república.” (2008; p. 166)</w:t>
      </w:r>
      <w:r>
        <w:rPr>
          <w:rFonts w:ascii="Times New Roman" w:hAnsi="Times New Roman" w:cs="Times New Roman"/>
          <w:sz w:val="24"/>
          <w:szCs w:val="24"/>
        </w:rPr>
        <w:t xml:space="preserve"> Aunque solemos pensar en la ciudad como un espacio físico medianamente transitado, acá el concepto de ciudad se abstrae a una idea que pueda articularse como un elemento a la teoría del derecho, como principio metafísico abstracto, en cuanto guía ideal de la razón para la práctica concreta. Y así, la ciudad representa un orden no total</w:t>
      </w:r>
      <w:r w:rsidR="006818CB">
        <w:rPr>
          <w:rFonts w:ascii="Times New Roman" w:hAnsi="Times New Roman" w:cs="Times New Roman"/>
          <w:sz w:val="24"/>
          <w:szCs w:val="24"/>
        </w:rPr>
        <w:t>izado en una persona, sino la reunión</w:t>
      </w:r>
      <w:r>
        <w:rPr>
          <w:rFonts w:ascii="Times New Roman" w:hAnsi="Times New Roman" w:cs="Times New Roman"/>
          <w:sz w:val="24"/>
          <w:szCs w:val="24"/>
        </w:rPr>
        <w:t xml:space="preserve"> de algunos </w:t>
      </w:r>
      <w:r>
        <w:rPr>
          <w:rFonts w:ascii="Times New Roman" w:hAnsi="Times New Roman" w:cs="Times New Roman"/>
          <w:sz w:val="24"/>
          <w:szCs w:val="24"/>
        </w:rPr>
        <w:lastRenderedPageBreak/>
        <w:t xml:space="preserve">poderes que se articulan para su función, de tal modo que, en palabras de Kant: </w:t>
      </w:r>
      <w:r w:rsidR="001E54B3" w:rsidRPr="001E54B3">
        <w:rPr>
          <w:rFonts w:ascii="Times New Roman" w:hAnsi="Times New Roman" w:cs="Times New Roman"/>
          <w:sz w:val="24"/>
          <w:szCs w:val="24"/>
        </w:rPr>
        <w:t>“Cada ciudad encierra en sí tres poderes, es decir, la voluntad universalmente conjunta en una triple persona: el poder del soberano en la persona del legislador, el poder ejecutivo (según la ley) en la persona del gobierno, y el poder judicial (como reconocimiento de lo mio de cada cual, según la ley) en la persona del juez.” (2008; p. 167)</w:t>
      </w:r>
      <w:r w:rsidR="006818CB">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de donde resulta absolutamente fundamental para no violentar las bases establecidas, tener en cuenta que: </w:t>
      </w:r>
      <w:r w:rsidR="001E54B3" w:rsidRPr="001E54B3">
        <w:rPr>
          <w:rFonts w:ascii="Times New Roman" w:hAnsi="Times New Roman" w:cs="Times New Roman"/>
          <w:sz w:val="24"/>
          <w:szCs w:val="24"/>
        </w:rPr>
        <w:t>“El poder legislativo no puede pertenecer más que a la voluntad colectiva del pueblo.” (2008; p. 167)</w:t>
      </w:r>
      <w:r>
        <w:rPr>
          <w:rFonts w:ascii="Times New Roman" w:hAnsi="Times New Roman" w:cs="Times New Roman"/>
          <w:sz w:val="24"/>
          <w:szCs w:val="24"/>
        </w:rPr>
        <w:t xml:space="preserve"> por cuanto su sentido representa ese preciso interés, y no otro, que el público y general. En este mismo sentido, Kant agrega que: </w:t>
      </w:r>
      <w:r w:rsidR="001E54B3" w:rsidRPr="001E54B3">
        <w:rPr>
          <w:rFonts w:ascii="Times New Roman" w:hAnsi="Times New Roman" w:cs="Times New Roman"/>
          <w:sz w:val="24"/>
          <w:szCs w:val="24"/>
        </w:rPr>
        <w:t>“El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(2008; p. 167)</w:t>
      </w:r>
    </w:p>
    <w:p w14:paraId="6098ABA6" w14:textId="6D1BFE22" w:rsidR="001E54B3" w:rsidRDefault="000436F5" w:rsidP="00CA01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Teniendo en cuenta el sentido general de la justicia, de lo que se desprende su institucionalización práctica articulada mediante leyes en un estado, se figura el concepto aterrizado de una ciudad como un lugar de orden jurídico o civil, en donde la persona es entendida como un, o una ciudadana. De esta forma, Kant piensa que: </w:t>
      </w:r>
      <w:r w:rsidR="001E54B3" w:rsidRPr="00CA0124">
        <w:rPr>
          <w:rFonts w:ascii="Times New Roman" w:hAnsi="Times New Roman" w:cs="Times New Roman"/>
          <w:sz w:val="24"/>
          <w:szCs w:val="24"/>
        </w:rPr>
        <w:t>“Los miembros reunidos de tal sociedad civil, es decir, de una ciudad para la legislación, se llaman ciudadanos y sus atributos jurídicos inseparables de su naturaleza de ciudadano son: 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r>
        <w:rPr>
          <w:rFonts w:ascii="Times New Roman" w:hAnsi="Times New Roman" w:cs="Times New Roman"/>
          <w:sz w:val="24"/>
          <w:szCs w:val="24"/>
        </w:rPr>
        <w:t xml:space="preserve"> Estos tres </w:t>
      </w:r>
      <w:r>
        <w:rPr>
          <w:rFonts w:ascii="Times New Roman" w:hAnsi="Times New Roman" w:cs="Times New Roman"/>
          <w:sz w:val="24"/>
          <w:szCs w:val="24"/>
        </w:rPr>
        <w:lastRenderedPageBreak/>
        <w:t>elementos serán luego importantes en otros textos</w:t>
      </w:r>
      <w:r w:rsidR="00947788">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en donde se rescata la libertad, la igualdad y la autonomía como principios elementales que permiten como condición la existencia del estado, antes bien, que ser consecuencia del mismo. </w:t>
      </w:r>
      <w:r w:rsidR="004A10B3">
        <w:rPr>
          <w:rFonts w:ascii="Times New Roman" w:hAnsi="Times New Roman" w:cs="Times New Roman"/>
          <w:sz w:val="24"/>
          <w:szCs w:val="24"/>
        </w:rPr>
        <w:t xml:space="preserve">Por ello, y en relación al papel fundamental de la razón pública, </w:t>
      </w:r>
      <w:r w:rsidR="002B1260">
        <w:rPr>
          <w:rFonts w:ascii="Times New Roman" w:hAnsi="Times New Roman" w:cs="Times New Roman"/>
          <w:sz w:val="24"/>
          <w:szCs w:val="24"/>
        </w:rPr>
        <w:t xml:space="preserve">es </w:t>
      </w:r>
      <w:r w:rsidR="004A10B3">
        <w:rPr>
          <w:rFonts w:ascii="Times New Roman" w:hAnsi="Times New Roman" w:cs="Times New Roman"/>
          <w:sz w:val="24"/>
          <w:szCs w:val="24"/>
        </w:rPr>
        <w:t xml:space="preserve">que: </w:t>
      </w:r>
      <w:r w:rsidR="001E54B3" w:rsidRPr="001E54B3">
        <w:rPr>
          <w:rFonts w:ascii="Times New Roman" w:hAnsi="Times New Roman" w:cs="Times New Roman"/>
          <w:sz w:val="24"/>
          <w:szCs w:val="24"/>
        </w:rPr>
        <w:t>“La sola facultad del sufragio constituye al ciudadano.” (2008, p. 168)</w:t>
      </w:r>
      <w:r w:rsidR="004A10B3">
        <w:rPr>
          <w:rFonts w:ascii="Times New Roman" w:hAnsi="Times New Roman" w:cs="Times New Roman"/>
          <w:sz w:val="24"/>
          <w:szCs w:val="24"/>
        </w:rPr>
        <w:t xml:space="preserve"> Debido a que, al proactivamente representar su voz, hace presente al público de una perspectiva que debe ser tomada en cuenta en la deliberación del sentido de lo que involucra una voluntad general o unificada. Esto representa el carácter fundamental del ciudadano: su actividad. Si bien puede ser que algunos ciudadanos, como los niños, puedan ser pasivos por un tiempo, la esencia de un ciudadano se refleja en su participación activa en el ámbito de las razones y justificaciones del interés público y por ello, completando la cita anterior, Kant refiere que: </w:t>
      </w:r>
      <w:r w:rsidR="001E54B3" w:rsidRPr="001E54B3">
        <w:rPr>
          <w:rFonts w:ascii="Times New Roman" w:hAnsi="Times New Roman" w:cs="Times New Roman"/>
          <w:sz w:val="24"/>
          <w:szCs w:val="24"/>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p w14:paraId="0275A4C5" w14:textId="748939FB" w:rsidR="001E54B3" w:rsidRDefault="00F15245" w:rsidP="00CA01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De esta forma, el ciudadano se piensa como articulado por su libertad y el poder de sus justificaciones, antes bien que como un súbdito sometido a un régimen paternalista o despótico. </w:t>
      </w:r>
      <w:proofErr w:type="gramStart"/>
      <w:r>
        <w:rPr>
          <w:rFonts w:ascii="Times New Roman" w:hAnsi="Times New Roman" w:cs="Times New Roman"/>
          <w:sz w:val="24"/>
          <w:szCs w:val="24"/>
        </w:rPr>
        <w:t>Pero</w:t>
      </w:r>
      <w:proofErr w:type="gramEnd"/>
      <w:r>
        <w:rPr>
          <w:rFonts w:ascii="Times New Roman" w:hAnsi="Times New Roman" w:cs="Times New Roman"/>
          <w:sz w:val="24"/>
          <w:szCs w:val="24"/>
        </w:rPr>
        <w:t xml:space="preserve"> así como este orden civil se articula entre una persona y su ciudad, enhebrada en un estado o conjunto de leyes públicas, del mismo modo, las naciones se relacionan unas con otras, como particulares, en miras a una ocupación compartida y limitada por los territorios terrestres. De esta forma, el concepto de ciudadano para una ciudad se puede, y debe, por exigencia de la razón, ampliar, hacia la idea de una participación ordenada y justa en el mundo completo, y de ahí el sentido de ciudadanía del mundo, o cosmopolitismo. </w:t>
      </w:r>
      <w:r w:rsidR="009B52D7">
        <w:rPr>
          <w:rFonts w:ascii="Times New Roman" w:hAnsi="Times New Roman" w:cs="Times New Roman"/>
          <w:sz w:val="24"/>
          <w:szCs w:val="24"/>
        </w:rPr>
        <w:t xml:space="preserve">Kant señala que esta discusión de la segunda parte del derecho público comienza con el: </w:t>
      </w:r>
      <w:r w:rsidR="001E54B3" w:rsidRPr="001E54B3">
        <w:rPr>
          <w:rFonts w:ascii="Times New Roman" w:hAnsi="Times New Roman" w:cs="Times New Roman"/>
          <w:sz w:val="24"/>
          <w:szCs w:val="24"/>
          <w:lang w:val="es-ES"/>
        </w:rPr>
        <w:t xml:space="preserve">“(…) Derecho de gentes. Se trata aquí de una nación considerada como una persona moral respecto de otra nación en el estado de libertad </w:t>
      </w:r>
      <w:r w:rsidR="001E54B3" w:rsidRPr="001E54B3">
        <w:rPr>
          <w:rFonts w:ascii="Times New Roman" w:hAnsi="Times New Roman" w:cs="Times New Roman"/>
          <w:sz w:val="24"/>
          <w:szCs w:val="24"/>
          <w:lang w:val="es-ES"/>
        </w:rPr>
        <w:lastRenderedPageBreak/>
        <w:t xml:space="preserve">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1E54B3" w:rsidRPr="001E54B3">
        <w:rPr>
          <w:rFonts w:ascii="Times New Roman" w:hAnsi="Times New Roman" w:cs="Times New Roman"/>
          <w:i/>
          <w:iCs/>
          <w:sz w:val="24"/>
          <w:szCs w:val="24"/>
          <w:lang w:val="es-ES"/>
        </w:rPr>
        <w:t>después</w:t>
      </w:r>
      <w:r w:rsidR="001E54B3" w:rsidRPr="001E54B3">
        <w:rPr>
          <w:rFonts w:ascii="Times New Roman" w:hAnsi="Times New Roman" w:cs="Times New Roman"/>
          <w:sz w:val="24"/>
          <w:szCs w:val="24"/>
          <w:lang w:val="es-ES"/>
        </w:rPr>
        <w:t xml:space="preserve"> de la guerra. (2008; p. 214)</w:t>
      </w:r>
      <w:r w:rsidR="009B52D7">
        <w:rPr>
          <w:rFonts w:ascii="Times New Roman" w:hAnsi="Times New Roman" w:cs="Times New Roman"/>
          <w:sz w:val="24"/>
          <w:szCs w:val="24"/>
          <w:lang w:val="es-ES"/>
        </w:rPr>
        <w:t xml:space="preserve"> Como lo sugiere el pasaje, este, y muchos otros de la obra revisada deben ser ligados y considerados </w:t>
      </w:r>
      <w:r w:rsidR="000062A7">
        <w:rPr>
          <w:rFonts w:ascii="Times New Roman" w:hAnsi="Times New Roman" w:cs="Times New Roman"/>
          <w:sz w:val="24"/>
          <w:szCs w:val="24"/>
          <w:lang w:val="es-ES"/>
        </w:rPr>
        <w:t xml:space="preserve">como </w:t>
      </w:r>
      <w:r w:rsidR="009B52D7">
        <w:rPr>
          <w:rFonts w:ascii="Times New Roman" w:hAnsi="Times New Roman" w:cs="Times New Roman"/>
          <w:sz w:val="24"/>
          <w:szCs w:val="24"/>
          <w:lang w:val="es-ES"/>
        </w:rPr>
        <w:t xml:space="preserve">codependientes de lo expresado en el texto </w:t>
      </w:r>
      <w:r w:rsidR="009B52D7">
        <w:rPr>
          <w:rFonts w:ascii="Times New Roman" w:hAnsi="Times New Roman" w:cs="Times New Roman"/>
          <w:i/>
          <w:iCs/>
          <w:sz w:val="24"/>
          <w:szCs w:val="24"/>
          <w:lang w:val="es-ES"/>
        </w:rPr>
        <w:t>Sobre la Paz Perpetua</w:t>
      </w:r>
      <w:r w:rsidR="009B52D7">
        <w:rPr>
          <w:rFonts w:ascii="Times New Roman" w:hAnsi="Times New Roman" w:cs="Times New Roman"/>
          <w:sz w:val="24"/>
          <w:szCs w:val="24"/>
          <w:lang w:val="es-ES"/>
        </w:rPr>
        <w:t xml:space="preserve">. </w:t>
      </w:r>
      <w:r w:rsidR="000062A7">
        <w:rPr>
          <w:rFonts w:ascii="Times New Roman" w:hAnsi="Times New Roman" w:cs="Times New Roman"/>
          <w:sz w:val="24"/>
          <w:szCs w:val="24"/>
          <w:lang w:val="es-ES"/>
        </w:rPr>
        <w:t xml:space="preserve">Del derecho de gentes, o del reconocimiento de otros pueblos con sus razones y leyes, se desprende la idea del derecho cosmopolítico. Al respecto, Kant señala que: </w:t>
      </w:r>
    </w:p>
    <w:p w14:paraId="576D583C" w14:textId="77777777" w:rsidR="00FD19A6" w:rsidRPr="001E54B3" w:rsidRDefault="00FD19A6" w:rsidP="00CA0124">
      <w:pPr>
        <w:spacing w:line="360" w:lineRule="auto"/>
        <w:jc w:val="both"/>
        <w:rPr>
          <w:rFonts w:ascii="Times New Roman" w:hAnsi="Times New Roman" w:cs="Times New Roman"/>
          <w:sz w:val="24"/>
          <w:szCs w:val="24"/>
        </w:rPr>
      </w:pPr>
    </w:p>
    <w:p w14:paraId="763EBE0E" w14:textId="5218DA52" w:rsidR="001E54B3" w:rsidRPr="001E54B3" w:rsidRDefault="001E54B3" w:rsidP="000062A7">
      <w:pPr>
        <w:spacing w:line="240" w:lineRule="auto"/>
        <w:ind w:left="708"/>
        <w:jc w:val="both"/>
        <w:rPr>
          <w:rFonts w:ascii="Times New Roman" w:hAnsi="Times New Roman" w:cs="Times New Roman"/>
          <w:sz w:val="20"/>
          <w:szCs w:val="20"/>
        </w:rPr>
      </w:pPr>
      <w:r w:rsidRPr="001E54B3">
        <w:rPr>
          <w:rFonts w:ascii="Times New Roman" w:hAnsi="Times New Roman" w:cs="Times New Roman"/>
          <w:sz w:val="20"/>
          <w:szCs w:val="20"/>
          <w:lang w:val="es-ES"/>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 (2008; p. 226)</w:t>
      </w:r>
    </w:p>
    <w:p w14:paraId="2FA1F3FF" w14:textId="77777777" w:rsidR="000062A7" w:rsidRDefault="000062A7" w:rsidP="00CA0124">
      <w:pPr>
        <w:spacing w:line="360" w:lineRule="auto"/>
        <w:jc w:val="both"/>
        <w:rPr>
          <w:rFonts w:ascii="Times New Roman" w:hAnsi="Times New Roman" w:cs="Times New Roman"/>
          <w:sz w:val="24"/>
          <w:szCs w:val="24"/>
          <w:lang w:val="es-ES"/>
        </w:rPr>
      </w:pPr>
    </w:p>
    <w:p w14:paraId="297F846E" w14:textId="68E71D6A" w:rsidR="001E54B3" w:rsidRDefault="00FD19A6" w:rsidP="00CA01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Esto conduce al sentido pleno del proyecto jurídico crítico de Kant por cuanto: </w:t>
      </w:r>
      <w:r w:rsidR="001E54B3" w:rsidRPr="001E54B3">
        <w:rPr>
          <w:rFonts w:ascii="Times New Roman" w:hAnsi="Times New Roman" w:cs="Times New Roman"/>
          <w:sz w:val="24"/>
          <w:szCs w:val="24"/>
          <w:lang w:val="es-ES"/>
        </w:rPr>
        <w:t>“No debe haber ninguna guerra. (…) el derecho no debe buscarse por medio de la guerra.” (2008; p. 229)</w:t>
      </w:r>
      <w:r>
        <w:rPr>
          <w:rFonts w:ascii="Times New Roman" w:hAnsi="Times New Roman" w:cs="Times New Roman"/>
          <w:sz w:val="24"/>
          <w:szCs w:val="24"/>
          <w:lang w:val="es-ES"/>
        </w:rPr>
        <w:t xml:space="preserve"> y en este mismo sentido: </w:t>
      </w:r>
      <w:r w:rsidR="001E54B3" w:rsidRPr="001E54B3">
        <w:rPr>
          <w:rFonts w:ascii="Times New Roman" w:hAnsi="Times New Roman" w:cs="Times New Roman"/>
          <w:sz w:val="24"/>
          <w:szCs w:val="24"/>
          <w:lang w:val="es-ES"/>
        </w:rPr>
        <w:t>“El tratado de una paz universal y duradero es, no solamente una parte, sino todo el fin del derecho.” (2008; p. 230)</w:t>
      </w:r>
      <w:r>
        <w:rPr>
          <w:rFonts w:ascii="Times New Roman" w:hAnsi="Times New Roman" w:cs="Times New Roman"/>
          <w:sz w:val="24"/>
          <w:szCs w:val="24"/>
          <w:lang w:val="es-ES"/>
        </w:rPr>
        <w:t xml:space="preserve"> ya que, como agrega luego Kant: </w:t>
      </w:r>
      <w:r w:rsidR="001E54B3" w:rsidRPr="001E54B3">
        <w:rPr>
          <w:rFonts w:ascii="Times New Roman" w:hAnsi="Times New Roman" w:cs="Times New Roman"/>
          <w:sz w:val="24"/>
          <w:szCs w:val="24"/>
          <w:lang w:val="es-ES"/>
        </w:rPr>
        <w:t>“La mejor constitución es aquella en que las leyes, y no los hombres, ejercen el poder.” (2008; p. 231)</w:t>
      </w:r>
      <w:r>
        <w:rPr>
          <w:rFonts w:ascii="Times New Roman" w:hAnsi="Times New Roman" w:cs="Times New Roman"/>
          <w:sz w:val="24"/>
          <w:szCs w:val="24"/>
          <w:lang w:val="es-ES"/>
        </w:rPr>
        <w:t xml:space="preserve"> El sistema de derecho de Kant invoca a una paz perpetua posible en vida, y no a la paz perpetua de los cementerios. Esta paz no se limita localmente a lo civil, sino que apunta a lo cosmopolita. El sentido del derecho es permitir como condición, el estado civil de las personas para que ejerzan lo que he llamado como una libertad recíproca. </w:t>
      </w:r>
    </w:p>
    <w:p w14:paraId="5C4AF6BB" w14:textId="5F5240CD" w:rsidR="00FD19A6" w:rsidRDefault="00FD19A6" w:rsidP="00CA01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Esto se articula a las propuestas de Flikschuh, Forst, y otros, en el sentido en que se busca rescatar el papel de los principios metafísicos como elementos de articulación de un poder nouménico, y por lo tanto, nos resta resolver dos problemas: primero, cuál es la idea </w:t>
      </w:r>
      <w:r>
        <w:rPr>
          <w:rFonts w:ascii="Times New Roman" w:hAnsi="Times New Roman" w:cs="Times New Roman"/>
          <w:sz w:val="24"/>
          <w:szCs w:val="24"/>
          <w:lang w:val="es-ES"/>
        </w:rPr>
        <w:lastRenderedPageBreak/>
        <w:t>adecuada qu</w:t>
      </w:r>
      <w:r w:rsidR="002B1260">
        <w:rPr>
          <w:rFonts w:ascii="Times New Roman" w:hAnsi="Times New Roman" w:cs="Times New Roman"/>
          <w:sz w:val="24"/>
          <w:szCs w:val="24"/>
          <w:lang w:val="es-ES"/>
        </w:rPr>
        <w:t>e</w:t>
      </w:r>
      <w:r>
        <w:rPr>
          <w:rFonts w:ascii="Times New Roman" w:hAnsi="Times New Roman" w:cs="Times New Roman"/>
          <w:sz w:val="24"/>
          <w:szCs w:val="24"/>
          <w:lang w:val="es-ES"/>
        </w:rPr>
        <w:t xml:space="preserve"> seguir, para ordenar cualquier sociedad; y segundo: cómo hacer que una teoría, para parafrasear un principio kantiano de la filosofía de la historia, no se quede en el papel, sino que tenga efecto activo en el bienestar de las relaciones humanas. </w:t>
      </w:r>
    </w:p>
    <w:p w14:paraId="6E2C7CA7" w14:textId="40AA6EA8" w:rsidR="00A01AC7" w:rsidRPr="00CA0124" w:rsidRDefault="00FD19A6" w:rsidP="00FD19A6">
      <w:p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lang w:val="es-ES"/>
        </w:rPr>
        <w:t xml:space="preserve">He querido presentar como ejemplo de normatividad metafísica el modelo de ciudadano en la doctrina del derecho de Kant. La tesis que sostengo supone </w:t>
      </w:r>
      <w:r w:rsidR="002B1260">
        <w:rPr>
          <w:rFonts w:ascii="Times New Roman" w:hAnsi="Times New Roman" w:cs="Times New Roman"/>
          <w:sz w:val="24"/>
          <w:szCs w:val="24"/>
          <w:lang w:val="es-ES"/>
        </w:rPr>
        <w:t>que,</w:t>
      </w:r>
      <w:r>
        <w:rPr>
          <w:rFonts w:ascii="Times New Roman" w:hAnsi="Times New Roman" w:cs="Times New Roman"/>
          <w:sz w:val="24"/>
          <w:szCs w:val="24"/>
          <w:lang w:val="es-ES"/>
        </w:rPr>
        <w:t xml:space="preserve"> si de verdad nos atenemos a un marco metafísico para sostener actos, creencias e instituciones, luego, bien podríamos articular mejor la práctica a la teoría abstracta, en lugar de justificar prácticas abominables y que quebrantan todo horizonte de reconocimiento, de racionalidad, o siquiera, de mínimo respeto por la dignidad humana. </w:t>
      </w:r>
    </w:p>
    <w:p w14:paraId="01EE0637" w14:textId="77777777" w:rsidR="007A1530" w:rsidRPr="00CA0124" w:rsidRDefault="007A1530" w:rsidP="00CA0124">
      <w:pPr>
        <w:pStyle w:val="ListParagraph"/>
        <w:spacing w:line="360" w:lineRule="auto"/>
        <w:rPr>
          <w:rFonts w:ascii="Times New Roman" w:hAnsi="Times New Roman" w:cs="Times New Roman"/>
          <w:b/>
          <w:bCs/>
          <w:sz w:val="24"/>
          <w:szCs w:val="24"/>
          <w:u w:val="single"/>
        </w:rPr>
      </w:pPr>
    </w:p>
    <w:p w14:paraId="7B2CD4D6" w14:textId="77777777" w:rsidR="007A1530" w:rsidRPr="00CA0124" w:rsidRDefault="007A1530" w:rsidP="00CA0124">
      <w:pPr>
        <w:spacing w:line="360" w:lineRule="auto"/>
        <w:rPr>
          <w:rFonts w:ascii="Times New Roman" w:hAnsi="Times New Roman" w:cs="Times New Roman"/>
          <w:b/>
          <w:bCs/>
          <w:sz w:val="24"/>
          <w:szCs w:val="24"/>
          <w:u w:val="single"/>
        </w:rPr>
      </w:pPr>
    </w:p>
    <w:p w14:paraId="4272CA31" w14:textId="104E99BF" w:rsidR="00A61A6D" w:rsidRPr="00CA0124" w:rsidRDefault="00A61A6D" w:rsidP="00CA0124">
      <w:pPr>
        <w:spacing w:line="360" w:lineRule="auto"/>
        <w:rPr>
          <w:rFonts w:ascii="Times New Roman" w:hAnsi="Times New Roman" w:cs="Times New Roman"/>
          <w:sz w:val="24"/>
          <w:szCs w:val="24"/>
        </w:rPr>
      </w:pPr>
      <w:r w:rsidRPr="00CA0124">
        <w:rPr>
          <w:rFonts w:ascii="Times New Roman" w:hAnsi="Times New Roman" w:cs="Times New Roman"/>
          <w:sz w:val="24"/>
          <w:szCs w:val="24"/>
        </w:rPr>
        <w:br w:type="page"/>
      </w:r>
    </w:p>
    <w:p w14:paraId="326CE4A4" w14:textId="085CAC0C" w:rsidR="000F20A4" w:rsidRPr="00617A49" w:rsidRDefault="00A61A6D" w:rsidP="00CA0124">
      <w:pPr>
        <w:spacing w:line="360" w:lineRule="auto"/>
        <w:rPr>
          <w:rFonts w:ascii="Times New Roman" w:hAnsi="Times New Roman" w:cs="Times New Roman"/>
          <w:sz w:val="20"/>
          <w:szCs w:val="20"/>
        </w:rPr>
      </w:pPr>
      <w:r w:rsidRPr="00617A49">
        <w:rPr>
          <w:rFonts w:ascii="Times New Roman" w:hAnsi="Times New Roman" w:cs="Times New Roman"/>
          <w:b/>
          <w:bCs/>
          <w:sz w:val="20"/>
          <w:szCs w:val="20"/>
          <w:u w:val="single"/>
        </w:rPr>
        <w:lastRenderedPageBreak/>
        <w:t>Bibliografía</w:t>
      </w:r>
      <w:r w:rsidR="001E54B3" w:rsidRPr="00617A49">
        <w:rPr>
          <w:rFonts w:ascii="Times New Roman" w:hAnsi="Times New Roman" w:cs="Times New Roman"/>
          <w:sz w:val="20"/>
          <w:szCs w:val="20"/>
        </w:rPr>
        <w:t>:</w:t>
      </w:r>
    </w:p>
    <w:p w14:paraId="19422643"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Apel, K. O. (1991) </w:t>
      </w:r>
      <w:r w:rsidRPr="00617A49">
        <w:rPr>
          <w:rFonts w:ascii="Times New Roman" w:hAnsi="Times New Roman" w:cs="Times New Roman"/>
          <w:i/>
          <w:iCs/>
          <w:sz w:val="20"/>
          <w:szCs w:val="20"/>
        </w:rPr>
        <w:t>La ética del discurso como ética de la responsabilidad. Una transformación postmetafísica de la ética de Kant.</w:t>
      </w:r>
    </w:p>
    <w:p w14:paraId="19C29BDA"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Arendt, H. (1992) </w:t>
      </w:r>
      <w:r w:rsidRPr="00617A49">
        <w:rPr>
          <w:rFonts w:ascii="Times New Roman" w:hAnsi="Times New Roman" w:cs="Times New Roman"/>
          <w:i/>
          <w:iCs/>
          <w:sz w:val="20"/>
          <w:szCs w:val="20"/>
          <w:lang w:val="en-US"/>
        </w:rPr>
        <w:t>Lectures on Kant´s political philosophy</w:t>
      </w:r>
      <w:r w:rsidRPr="00617A49">
        <w:rPr>
          <w:rFonts w:ascii="Times New Roman" w:hAnsi="Times New Roman" w:cs="Times New Roman"/>
          <w:sz w:val="20"/>
          <w:szCs w:val="20"/>
          <w:lang w:val="en-US"/>
        </w:rPr>
        <w:t>. Ed. Ronald Beiner. University of Chicago Press.</w:t>
      </w:r>
    </w:p>
    <w:p w14:paraId="59E1C6EC"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rPr>
        <w:t xml:space="preserve">Cassirer, E. (1985) </w:t>
      </w:r>
      <w:r w:rsidRPr="00617A49">
        <w:rPr>
          <w:rFonts w:ascii="Times New Roman" w:hAnsi="Times New Roman" w:cs="Times New Roman"/>
          <w:i/>
          <w:iCs/>
          <w:sz w:val="20"/>
          <w:szCs w:val="20"/>
        </w:rPr>
        <w:t>Kant, Vida y Doctrina</w:t>
      </w:r>
      <w:r w:rsidRPr="00617A49">
        <w:rPr>
          <w:rFonts w:ascii="Times New Roman" w:hAnsi="Times New Roman" w:cs="Times New Roman"/>
          <w:sz w:val="20"/>
          <w:szCs w:val="20"/>
        </w:rPr>
        <w:t xml:space="preserve">. </w:t>
      </w:r>
      <w:r w:rsidRPr="00617A49">
        <w:rPr>
          <w:rFonts w:ascii="Times New Roman" w:hAnsi="Times New Roman" w:cs="Times New Roman"/>
          <w:sz w:val="20"/>
          <w:szCs w:val="20"/>
          <w:lang w:val="en-US"/>
        </w:rPr>
        <w:t xml:space="preserve">Fondo de Cultura Económica. </w:t>
      </w:r>
    </w:p>
    <w:p w14:paraId="45992593"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Caviglia, A. (2005) </w:t>
      </w:r>
      <w:r w:rsidRPr="00617A49">
        <w:rPr>
          <w:rFonts w:ascii="Times New Roman" w:hAnsi="Times New Roman" w:cs="Times New Roman"/>
          <w:i/>
          <w:iCs/>
          <w:sz w:val="20"/>
          <w:szCs w:val="20"/>
        </w:rPr>
        <w:t>Soberanía de la voluntad unificada del pueblo sobre el gobierno en la filosofía política de Kant</w:t>
      </w:r>
      <w:r w:rsidRPr="00617A49">
        <w:rPr>
          <w:rFonts w:ascii="Times New Roman" w:hAnsi="Times New Roman" w:cs="Times New Roman"/>
          <w:sz w:val="20"/>
          <w:szCs w:val="20"/>
        </w:rPr>
        <w:t xml:space="preserve">. PUCP. </w:t>
      </w:r>
    </w:p>
    <w:p w14:paraId="1F434A14"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Caviglia, A. (2017) </w:t>
      </w:r>
      <w:r w:rsidRPr="00617A49">
        <w:rPr>
          <w:rFonts w:ascii="Times New Roman" w:hAnsi="Times New Roman" w:cs="Times New Roman"/>
          <w:i/>
          <w:iCs/>
          <w:sz w:val="20"/>
          <w:szCs w:val="20"/>
        </w:rPr>
        <w:t>Crítica Social, Crítica Inmanente y Crítica Trascendente: La cuestión de la Crítica Inmanente en la Teoría Crítica</w:t>
      </w:r>
      <w:r w:rsidRPr="00617A49">
        <w:rPr>
          <w:rFonts w:ascii="Times New Roman" w:hAnsi="Times New Roman" w:cs="Times New Roman"/>
          <w:sz w:val="20"/>
          <w:szCs w:val="20"/>
        </w:rPr>
        <w:t xml:space="preserve">. (En: Derecho &amp; Sociedad, Nº 48, </w:t>
      </w:r>
      <w:proofErr w:type="gramStart"/>
      <w:r w:rsidRPr="00617A49">
        <w:rPr>
          <w:rFonts w:ascii="Times New Roman" w:hAnsi="Times New Roman" w:cs="Times New Roman"/>
          <w:sz w:val="20"/>
          <w:szCs w:val="20"/>
        </w:rPr>
        <w:t>Marzo</w:t>
      </w:r>
      <w:proofErr w:type="gramEnd"/>
      <w:r w:rsidRPr="00617A49">
        <w:rPr>
          <w:rFonts w:ascii="Times New Roman" w:hAnsi="Times New Roman" w:cs="Times New Roman"/>
          <w:sz w:val="20"/>
          <w:szCs w:val="20"/>
        </w:rPr>
        <w:t>, pp. 323 - 332)</w:t>
      </w:r>
    </w:p>
    <w:p w14:paraId="737D944A"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Caviglia, A. (2023). </w:t>
      </w:r>
      <w:r w:rsidRPr="00617A49">
        <w:rPr>
          <w:rFonts w:ascii="Times New Roman" w:hAnsi="Times New Roman" w:cs="Times New Roman"/>
          <w:i/>
          <w:iCs/>
          <w:sz w:val="20"/>
          <w:szCs w:val="20"/>
        </w:rPr>
        <w:t>Responsabilidad y debate público. Sobre el vigésimo aniversario de la entrega del IF-CVR</w:t>
      </w:r>
      <w:r w:rsidRPr="00617A49">
        <w:rPr>
          <w:rFonts w:ascii="Times New Roman" w:hAnsi="Times New Roman" w:cs="Times New Roman"/>
          <w:sz w:val="20"/>
          <w:szCs w:val="20"/>
        </w:rPr>
        <w:t>. En: SÍLEX. Vol.13. (pp. 36 - 69).</w:t>
      </w:r>
    </w:p>
    <w:p w14:paraId="33AECF79"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Euchner, W. (1974) </w:t>
      </w:r>
      <w:r w:rsidRPr="00617A49">
        <w:rPr>
          <w:rFonts w:ascii="Times New Roman" w:hAnsi="Times New Roman" w:cs="Times New Roman"/>
          <w:i/>
          <w:iCs/>
          <w:sz w:val="20"/>
          <w:szCs w:val="20"/>
        </w:rPr>
        <w:t>Kant como filósofo del progreso político</w:t>
      </w:r>
      <w:r w:rsidRPr="00617A49">
        <w:rPr>
          <w:rFonts w:ascii="Times New Roman" w:hAnsi="Times New Roman" w:cs="Times New Roman"/>
          <w:sz w:val="20"/>
          <w:szCs w:val="20"/>
        </w:rPr>
        <w:t>. Pp. 17-26. En: Renker, Euchner et Al, Immanuel Kant. Kant como pensador político. Internationes, Bon-Bad Godesberg.</w:t>
      </w:r>
    </w:p>
    <w:p w14:paraId="545A20B5"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lang w:val="en-US"/>
        </w:rPr>
        <w:t xml:space="preserve">Flikschuh, K. (2000) </w:t>
      </w:r>
      <w:r w:rsidRPr="00617A49">
        <w:rPr>
          <w:rFonts w:ascii="Times New Roman" w:hAnsi="Times New Roman" w:cs="Times New Roman"/>
          <w:i/>
          <w:iCs/>
          <w:sz w:val="20"/>
          <w:szCs w:val="20"/>
          <w:lang w:val="en-US"/>
        </w:rPr>
        <w:t>Kant and modern political philosophy</w:t>
      </w:r>
      <w:r w:rsidRPr="00617A49">
        <w:rPr>
          <w:rFonts w:ascii="Times New Roman" w:hAnsi="Times New Roman" w:cs="Times New Roman"/>
          <w:sz w:val="20"/>
          <w:szCs w:val="20"/>
          <w:lang w:val="en-US"/>
        </w:rPr>
        <w:t xml:space="preserve">. </w:t>
      </w:r>
      <w:r w:rsidRPr="00617A49">
        <w:rPr>
          <w:rFonts w:ascii="Times New Roman" w:hAnsi="Times New Roman" w:cs="Times New Roman"/>
          <w:sz w:val="20"/>
          <w:szCs w:val="20"/>
        </w:rPr>
        <w:t xml:space="preserve">Cambridge University Press. </w:t>
      </w:r>
    </w:p>
    <w:p w14:paraId="20A5B219"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Forst, R. (2015</w:t>
      </w:r>
      <w:r w:rsidRPr="00617A49">
        <w:rPr>
          <w:rFonts w:ascii="Times New Roman" w:hAnsi="Times New Roman" w:cs="Times New Roman"/>
          <w:i/>
          <w:iCs/>
          <w:sz w:val="20"/>
          <w:szCs w:val="20"/>
        </w:rPr>
        <w:t>) Justificación y Crítica</w:t>
      </w:r>
      <w:r w:rsidRPr="00617A49">
        <w:rPr>
          <w:rFonts w:ascii="Times New Roman" w:hAnsi="Times New Roman" w:cs="Times New Roman"/>
          <w:sz w:val="20"/>
          <w:szCs w:val="20"/>
        </w:rPr>
        <w:t>. Serie Ensayos.</w:t>
      </w:r>
    </w:p>
    <w:p w14:paraId="0FAE239B"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i/>
          <w:iCs/>
          <w:sz w:val="20"/>
          <w:szCs w:val="20"/>
        </w:rPr>
      </w:pPr>
      <w:r w:rsidRPr="00617A49">
        <w:rPr>
          <w:rFonts w:ascii="Times New Roman" w:hAnsi="Times New Roman" w:cs="Times New Roman"/>
          <w:sz w:val="20"/>
          <w:szCs w:val="20"/>
        </w:rPr>
        <w:t xml:space="preserve">Forst, R. (2019) </w:t>
      </w:r>
      <w:r w:rsidRPr="00617A49">
        <w:rPr>
          <w:rFonts w:ascii="Times New Roman" w:hAnsi="Times New Roman" w:cs="Times New Roman"/>
          <w:i/>
          <w:iCs/>
          <w:sz w:val="20"/>
          <w:szCs w:val="20"/>
        </w:rPr>
        <w:t>Poder Nouménico</w:t>
      </w:r>
    </w:p>
    <w:p w14:paraId="26989F77"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Goldmann, L. (1945</w:t>
      </w:r>
      <w:r w:rsidRPr="00617A49">
        <w:rPr>
          <w:rFonts w:ascii="Times New Roman" w:hAnsi="Times New Roman" w:cs="Times New Roman"/>
          <w:i/>
          <w:iCs/>
          <w:sz w:val="20"/>
          <w:szCs w:val="20"/>
        </w:rPr>
        <w:t>) Introducción a la filosofía de Kant</w:t>
      </w:r>
      <w:r w:rsidRPr="00617A49">
        <w:rPr>
          <w:rFonts w:ascii="Times New Roman" w:hAnsi="Times New Roman" w:cs="Times New Roman"/>
          <w:sz w:val="20"/>
          <w:szCs w:val="20"/>
        </w:rPr>
        <w:t>. Amorrortu Editores.</w:t>
      </w:r>
    </w:p>
    <w:p w14:paraId="482A6DE0"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rPr>
        <w:t xml:space="preserve">Gómez Caffarena, J. (1983) </w:t>
      </w:r>
      <w:r w:rsidRPr="00617A49">
        <w:rPr>
          <w:rFonts w:ascii="Times New Roman" w:hAnsi="Times New Roman" w:cs="Times New Roman"/>
          <w:i/>
          <w:iCs/>
          <w:sz w:val="20"/>
          <w:szCs w:val="20"/>
        </w:rPr>
        <w:t>El teísmo moral de Kant</w:t>
      </w:r>
      <w:r w:rsidRPr="00617A49">
        <w:rPr>
          <w:rFonts w:ascii="Times New Roman" w:hAnsi="Times New Roman" w:cs="Times New Roman"/>
          <w:sz w:val="20"/>
          <w:szCs w:val="20"/>
        </w:rPr>
        <w:t xml:space="preserve">. </w:t>
      </w:r>
      <w:r w:rsidRPr="00617A49">
        <w:rPr>
          <w:rFonts w:ascii="Times New Roman" w:hAnsi="Times New Roman" w:cs="Times New Roman"/>
          <w:sz w:val="20"/>
          <w:szCs w:val="20"/>
          <w:lang w:val="en-US"/>
        </w:rPr>
        <w:t xml:space="preserve">Ediciones Cristiandad. </w:t>
      </w:r>
    </w:p>
    <w:p w14:paraId="1EC5F575"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Habermas, J. (1989) </w:t>
      </w:r>
      <w:r w:rsidRPr="00617A49">
        <w:rPr>
          <w:rFonts w:ascii="Times New Roman" w:hAnsi="Times New Roman" w:cs="Times New Roman"/>
          <w:i/>
          <w:iCs/>
          <w:sz w:val="20"/>
          <w:szCs w:val="20"/>
        </w:rPr>
        <w:t>Sobre moralidad y eticidad: ¿qué hace racional una forma de vida?</w:t>
      </w:r>
    </w:p>
    <w:p w14:paraId="2B663D22"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Kant, I (1998) </w:t>
      </w:r>
      <w:r w:rsidRPr="00617A49">
        <w:rPr>
          <w:rFonts w:ascii="Times New Roman" w:hAnsi="Times New Roman" w:cs="Times New Roman"/>
          <w:i/>
          <w:iCs/>
          <w:sz w:val="20"/>
          <w:szCs w:val="20"/>
          <w:lang w:val="en-US"/>
        </w:rPr>
        <w:t>On the miscarriage of al philosophical trials in theodicy.</w:t>
      </w:r>
      <w:r w:rsidRPr="00617A49">
        <w:rPr>
          <w:rFonts w:ascii="Times New Roman" w:hAnsi="Times New Roman" w:cs="Times New Roman"/>
          <w:sz w:val="20"/>
          <w:szCs w:val="20"/>
          <w:lang w:val="en-US"/>
        </w:rPr>
        <w:t xml:space="preserve"> En: Kant, I. Religion within the Boundaries of mere Reason. Cambridge University Press.</w:t>
      </w:r>
    </w:p>
    <w:p w14:paraId="0C43FA9A"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Kant, I (1998) </w:t>
      </w:r>
      <w:r w:rsidRPr="00617A49">
        <w:rPr>
          <w:rFonts w:ascii="Times New Roman" w:hAnsi="Times New Roman" w:cs="Times New Roman"/>
          <w:i/>
          <w:iCs/>
          <w:sz w:val="20"/>
          <w:szCs w:val="20"/>
          <w:lang w:val="en-US"/>
        </w:rPr>
        <w:t>Religion within the Boundaries of mere Reason</w:t>
      </w:r>
      <w:r w:rsidRPr="00617A49">
        <w:rPr>
          <w:rFonts w:ascii="Times New Roman" w:hAnsi="Times New Roman" w:cs="Times New Roman"/>
          <w:sz w:val="20"/>
          <w:szCs w:val="20"/>
          <w:lang w:val="en-US"/>
        </w:rPr>
        <w:t>. Cambridge University Press.</w:t>
      </w:r>
    </w:p>
    <w:p w14:paraId="26F190BB"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Kant, I (2007) </w:t>
      </w:r>
      <w:r w:rsidRPr="00617A49">
        <w:rPr>
          <w:rFonts w:ascii="Times New Roman" w:hAnsi="Times New Roman" w:cs="Times New Roman"/>
          <w:i/>
          <w:iCs/>
          <w:sz w:val="20"/>
          <w:szCs w:val="20"/>
          <w:lang w:val="en-US"/>
        </w:rPr>
        <w:t>Anthropology from a pragmatic point of view</w:t>
      </w:r>
      <w:r w:rsidRPr="00617A49">
        <w:rPr>
          <w:rFonts w:ascii="Times New Roman" w:hAnsi="Times New Roman" w:cs="Times New Roman"/>
          <w:sz w:val="20"/>
          <w:szCs w:val="20"/>
          <w:lang w:val="en-US"/>
        </w:rPr>
        <w:t xml:space="preserve"> (1798) En: Kant, I. Anthropology, History and Education. Cambridge University Press.</w:t>
      </w:r>
    </w:p>
    <w:p w14:paraId="1C4A24E9"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Kant, I (2007) </w:t>
      </w:r>
      <w:r w:rsidRPr="00617A49">
        <w:rPr>
          <w:rFonts w:ascii="Times New Roman" w:hAnsi="Times New Roman" w:cs="Times New Roman"/>
          <w:i/>
          <w:iCs/>
          <w:sz w:val="20"/>
          <w:szCs w:val="20"/>
          <w:lang w:val="en-US"/>
        </w:rPr>
        <w:t>Anthropology, History and Education</w:t>
      </w:r>
      <w:r w:rsidRPr="00617A49">
        <w:rPr>
          <w:rFonts w:ascii="Times New Roman" w:hAnsi="Times New Roman" w:cs="Times New Roman"/>
          <w:sz w:val="20"/>
          <w:szCs w:val="20"/>
          <w:lang w:val="en-US"/>
        </w:rPr>
        <w:t>. Cambridge University Press.</w:t>
      </w:r>
    </w:p>
    <w:p w14:paraId="6376C35A"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(2007) </w:t>
      </w:r>
      <w:r w:rsidRPr="00617A49">
        <w:rPr>
          <w:rFonts w:ascii="Times New Roman" w:hAnsi="Times New Roman" w:cs="Times New Roman"/>
          <w:i/>
          <w:iCs/>
          <w:sz w:val="20"/>
          <w:szCs w:val="20"/>
        </w:rPr>
        <w:t>Crítica de la razón pura</w:t>
      </w:r>
      <w:r w:rsidRPr="00617A49">
        <w:rPr>
          <w:rFonts w:ascii="Times New Roman" w:hAnsi="Times New Roman" w:cs="Times New Roman"/>
          <w:sz w:val="20"/>
          <w:szCs w:val="20"/>
        </w:rPr>
        <w:t>. Traducción de Mario Caimi. Ed. Colihue Clásica.</w:t>
      </w:r>
    </w:p>
    <w:p w14:paraId="5E314330"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Kant, I (2007) </w:t>
      </w:r>
      <w:r w:rsidRPr="00617A49">
        <w:rPr>
          <w:rFonts w:ascii="Times New Roman" w:hAnsi="Times New Roman" w:cs="Times New Roman"/>
          <w:i/>
          <w:iCs/>
          <w:sz w:val="20"/>
          <w:szCs w:val="20"/>
          <w:lang w:val="en-US"/>
        </w:rPr>
        <w:t>Essay on the maladies of the head</w:t>
      </w:r>
      <w:r w:rsidRPr="00617A49">
        <w:rPr>
          <w:rFonts w:ascii="Times New Roman" w:hAnsi="Times New Roman" w:cs="Times New Roman"/>
          <w:sz w:val="20"/>
          <w:szCs w:val="20"/>
          <w:lang w:val="en-US"/>
        </w:rPr>
        <w:t xml:space="preserve"> (1764) En: Kant, I. Anthropology, History and Education. Cambridge University Press.</w:t>
      </w:r>
    </w:p>
    <w:p w14:paraId="22EB6D11"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Kant, I (2007) </w:t>
      </w:r>
      <w:r w:rsidRPr="00617A49">
        <w:rPr>
          <w:rFonts w:ascii="Times New Roman" w:hAnsi="Times New Roman" w:cs="Times New Roman"/>
          <w:i/>
          <w:iCs/>
          <w:sz w:val="20"/>
          <w:szCs w:val="20"/>
          <w:lang w:val="en-US"/>
        </w:rPr>
        <w:t>Essays regarding the Philantropinum</w:t>
      </w:r>
      <w:r w:rsidRPr="00617A49">
        <w:rPr>
          <w:rFonts w:ascii="Times New Roman" w:hAnsi="Times New Roman" w:cs="Times New Roman"/>
          <w:sz w:val="20"/>
          <w:szCs w:val="20"/>
          <w:lang w:val="en-US"/>
        </w:rPr>
        <w:t xml:space="preserve"> (1776/1777) En: Kant, I. Anthropology, History and Education. Cambridge University Press.</w:t>
      </w:r>
    </w:p>
    <w:p w14:paraId="3CC3FCD8"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lang w:val="en-US"/>
        </w:rPr>
        <w:t xml:space="preserve">Kant, I (2007) </w:t>
      </w:r>
      <w:r w:rsidRPr="00617A49">
        <w:rPr>
          <w:rFonts w:ascii="Times New Roman" w:hAnsi="Times New Roman" w:cs="Times New Roman"/>
          <w:i/>
          <w:iCs/>
          <w:sz w:val="20"/>
          <w:szCs w:val="20"/>
          <w:lang w:val="en-US"/>
        </w:rPr>
        <w:t>Lectures on pedagogy</w:t>
      </w:r>
      <w:r w:rsidRPr="00617A49">
        <w:rPr>
          <w:rFonts w:ascii="Times New Roman" w:hAnsi="Times New Roman" w:cs="Times New Roman"/>
          <w:sz w:val="20"/>
          <w:szCs w:val="20"/>
          <w:lang w:val="en-US"/>
        </w:rPr>
        <w:t xml:space="preserve"> (1803) En: Kant, I. Anthropology, History and Education. </w:t>
      </w:r>
      <w:r w:rsidRPr="00617A49">
        <w:rPr>
          <w:rFonts w:ascii="Times New Roman" w:hAnsi="Times New Roman" w:cs="Times New Roman"/>
          <w:sz w:val="20"/>
          <w:szCs w:val="20"/>
        </w:rPr>
        <w:t>Cambridge University Press.</w:t>
      </w:r>
    </w:p>
    <w:p w14:paraId="45C7B1E0"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(1964) </w:t>
      </w:r>
      <w:r w:rsidRPr="00617A49">
        <w:rPr>
          <w:rFonts w:ascii="Times New Roman" w:hAnsi="Times New Roman" w:cs="Times New Roman"/>
          <w:i/>
          <w:iCs/>
          <w:sz w:val="20"/>
          <w:szCs w:val="20"/>
        </w:rPr>
        <w:t>Acerca de la relación entre la teoría y la práctica en el derecho político. (Contra Hobbes)</w:t>
      </w:r>
      <w:r w:rsidRPr="00617A49">
        <w:rPr>
          <w:rFonts w:ascii="Times New Roman" w:hAnsi="Times New Roman" w:cs="Times New Roman"/>
          <w:sz w:val="20"/>
          <w:szCs w:val="20"/>
        </w:rPr>
        <w:t xml:space="preserve"> (En: Kant, I. Filosofía de la historia. Ed. Nova).</w:t>
      </w:r>
    </w:p>
    <w:p w14:paraId="18FFBC30"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(1964) </w:t>
      </w:r>
      <w:r w:rsidRPr="00617A49">
        <w:rPr>
          <w:rFonts w:ascii="Times New Roman" w:hAnsi="Times New Roman" w:cs="Times New Roman"/>
          <w:i/>
          <w:iCs/>
          <w:sz w:val="20"/>
          <w:szCs w:val="20"/>
        </w:rPr>
        <w:t>Acerca de la relación entre la teoría y la práctica en la moral y en general</w:t>
      </w:r>
      <w:r w:rsidRPr="00617A49">
        <w:rPr>
          <w:rFonts w:ascii="Times New Roman" w:hAnsi="Times New Roman" w:cs="Times New Roman"/>
          <w:sz w:val="20"/>
          <w:szCs w:val="20"/>
        </w:rPr>
        <w:t>. (En: Kant, I. Filosofía de la historia. Ed. Nova).</w:t>
      </w:r>
    </w:p>
    <w:p w14:paraId="25E340CD"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(1964) </w:t>
      </w:r>
      <w:r w:rsidRPr="00617A49">
        <w:rPr>
          <w:rFonts w:ascii="Times New Roman" w:hAnsi="Times New Roman" w:cs="Times New Roman"/>
          <w:i/>
          <w:iCs/>
          <w:sz w:val="20"/>
          <w:szCs w:val="20"/>
        </w:rPr>
        <w:t>Definición de la raza humana</w:t>
      </w:r>
      <w:r w:rsidRPr="00617A49">
        <w:rPr>
          <w:rFonts w:ascii="Times New Roman" w:hAnsi="Times New Roman" w:cs="Times New Roman"/>
          <w:sz w:val="20"/>
          <w:szCs w:val="20"/>
        </w:rPr>
        <w:t xml:space="preserve"> (En: Kant, I. Filosofía de la historia. Ed. Nova).</w:t>
      </w:r>
    </w:p>
    <w:p w14:paraId="1A39B744"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(1964) </w:t>
      </w:r>
      <w:r w:rsidRPr="00617A49">
        <w:rPr>
          <w:rFonts w:ascii="Times New Roman" w:hAnsi="Times New Roman" w:cs="Times New Roman"/>
          <w:i/>
          <w:iCs/>
          <w:sz w:val="20"/>
          <w:szCs w:val="20"/>
        </w:rPr>
        <w:t>Filosofía de la historia</w:t>
      </w:r>
      <w:r w:rsidRPr="00617A49">
        <w:rPr>
          <w:rFonts w:ascii="Times New Roman" w:hAnsi="Times New Roman" w:cs="Times New Roman"/>
          <w:sz w:val="20"/>
          <w:szCs w:val="20"/>
        </w:rPr>
        <w:t>. Ed. Nova.</w:t>
      </w:r>
      <w:r w:rsidRPr="00617A49">
        <w:rPr>
          <w:rFonts w:ascii="Times New Roman" w:hAnsi="Times New Roman" w:cs="Times New Roman"/>
          <w:sz w:val="20"/>
          <w:szCs w:val="20"/>
        </w:rPr>
        <w:tab/>
      </w:r>
    </w:p>
    <w:p w14:paraId="3338676C"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lastRenderedPageBreak/>
        <w:t xml:space="preserve">Kant, I. (1964) </w:t>
      </w:r>
      <w:r w:rsidRPr="00617A49">
        <w:rPr>
          <w:rFonts w:ascii="Times New Roman" w:hAnsi="Times New Roman" w:cs="Times New Roman"/>
          <w:i/>
          <w:iCs/>
          <w:sz w:val="20"/>
          <w:szCs w:val="20"/>
        </w:rPr>
        <w:t>Ideas para una historia universal en sentido cosmopolita</w:t>
      </w:r>
      <w:r w:rsidRPr="00617A49">
        <w:rPr>
          <w:rFonts w:ascii="Times New Roman" w:hAnsi="Times New Roman" w:cs="Times New Roman"/>
          <w:sz w:val="20"/>
          <w:szCs w:val="20"/>
        </w:rPr>
        <w:t xml:space="preserve"> (En: Filosofía de la historia. Ed. Nova).</w:t>
      </w:r>
    </w:p>
    <w:p w14:paraId="15E46B29"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(1964) </w:t>
      </w:r>
      <w:r w:rsidRPr="00617A49">
        <w:rPr>
          <w:rFonts w:ascii="Times New Roman" w:hAnsi="Times New Roman" w:cs="Times New Roman"/>
          <w:i/>
          <w:iCs/>
          <w:sz w:val="20"/>
          <w:szCs w:val="20"/>
        </w:rPr>
        <w:t>Replanteamiento de la cuestión sobre si el género humano se halla en continuo progreso hacia lo mejor</w:t>
      </w:r>
      <w:r w:rsidRPr="00617A49">
        <w:rPr>
          <w:rFonts w:ascii="Times New Roman" w:hAnsi="Times New Roman" w:cs="Times New Roman"/>
          <w:sz w:val="20"/>
          <w:szCs w:val="20"/>
        </w:rPr>
        <w:t>. (En: Filosofía de la historia. Ed. Nova).</w:t>
      </w:r>
    </w:p>
    <w:p w14:paraId="76EFBDF6"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(1964) </w:t>
      </w:r>
      <w:r w:rsidRPr="00617A49">
        <w:rPr>
          <w:rFonts w:ascii="Times New Roman" w:hAnsi="Times New Roman" w:cs="Times New Roman"/>
          <w:i/>
          <w:iCs/>
          <w:sz w:val="20"/>
          <w:szCs w:val="20"/>
        </w:rPr>
        <w:t>Respuesta a la pregunta: ¿qué es la ilustración?</w:t>
      </w:r>
      <w:r w:rsidRPr="00617A49">
        <w:rPr>
          <w:rFonts w:ascii="Times New Roman" w:hAnsi="Times New Roman" w:cs="Times New Roman"/>
          <w:sz w:val="20"/>
          <w:szCs w:val="20"/>
        </w:rPr>
        <w:t xml:space="preserve"> (En: Kant, I. Filosofía de la historia. Ed. Nova).</w:t>
      </w:r>
    </w:p>
    <w:p w14:paraId="66577DCD"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(1980) </w:t>
      </w:r>
      <w:r w:rsidRPr="00617A49">
        <w:rPr>
          <w:rFonts w:ascii="Times New Roman" w:hAnsi="Times New Roman" w:cs="Times New Roman"/>
          <w:i/>
          <w:iCs/>
          <w:sz w:val="20"/>
          <w:szCs w:val="20"/>
        </w:rPr>
        <w:t>La paz perpetua</w:t>
      </w:r>
      <w:r w:rsidRPr="00617A49">
        <w:rPr>
          <w:rFonts w:ascii="Times New Roman" w:hAnsi="Times New Roman" w:cs="Times New Roman"/>
          <w:sz w:val="20"/>
          <w:szCs w:val="20"/>
        </w:rPr>
        <w:t>. (En: Kant, I. Fundamentación de la metafísica de las costumbres, Crítica de la razón práctica y la Paz perpetua. Ed. Porrúa).</w:t>
      </w:r>
    </w:p>
    <w:p w14:paraId="45820FFE"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(1988) </w:t>
      </w:r>
      <w:r w:rsidRPr="00617A49">
        <w:rPr>
          <w:rFonts w:ascii="Times New Roman" w:hAnsi="Times New Roman" w:cs="Times New Roman"/>
          <w:i/>
          <w:iCs/>
          <w:sz w:val="20"/>
          <w:szCs w:val="20"/>
        </w:rPr>
        <w:t>Lecciones de ética</w:t>
      </w:r>
      <w:r w:rsidRPr="00617A49">
        <w:rPr>
          <w:rFonts w:ascii="Times New Roman" w:hAnsi="Times New Roman" w:cs="Times New Roman"/>
          <w:sz w:val="20"/>
          <w:szCs w:val="20"/>
        </w:rPr>
        <w:t>. Editorial Crítica.</w:t>
      </w:r>
    </w:p>
    <w:p w14:paraId="29AC5A0B"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lang w:val="en-US"/>
        </w:rPr>
        <w:t xml:space="preserve">Kant, I. (1991) </w:t>
      </w:r>
      <w:r w:rsidRPr="00617A49">
        <w:rPr>
          <w:rFonts w:ascii="Times New Roman" w:hAnsi="Times New Roman" w:cs="Times New Roman"/>
          <w:i/>
          <w:iCs/>
          <w:sz w:val="20"/>
          <w:szCs w:val="20"/>
          <w:lang w:val="en-US"/>
        </w:rPr>
        <w:t>Kant political writings</w:t>
      </w:r>
      <w:r w:rsidRPr="00617A49">
        <w:rPr>
          <w:rFonts w:ascii="Times New Roman" w:hAnsi="Times New Roman" w:cs="Times New Roman"/>
          <w:sz w:val="20"/>
          <w:szCs w:val="20"/>
          <w:lang w:val="en-US"/>
        </w:rPr>
        <w:t xml:space="preserve">. Cambridge University Press. 2nd edition. </w:t>
      </w:r>
      <w:r w:rsidRPr="00617A49">
        <w:rPr>
          <w:rFonts w:ascii="Times New Roman" w:hAnsi="Times New Roman" w:cs="Times New Roman"/>
          <w:sz w:val="20"/>
          <w:szCs w:val="20"/>
        </w:rPr>
        <w:t>Edited by: H.S. Reiss</w:t>
      </w:r>
    </w:p>
    <w:p w14:paraId="54071882"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(2000) </w:t>
      </w:r>
      <w:r w:rsidRPr="00617A49">
        <w:rPr>
          <w:rFonts w:ascii="Times New Roman" w:hAnsi="Times New Roman" w:cs="Times New Roman"/>
          <w:i/>
          <w:iCs/>
          <w:sz w:val="20"/>
          <w:szCs w:val="20"/>
        </w:rPr>
        <w:t>Crítica de la razón práctica</w:t>
      </w:r>
      <w:r w:rsidRPr="00617A49">
        <w:rPr>
          <w:rFonts w:ascii="Times New Roman" w:hAnsi="Times New Roman" w:cs="Times New Roman"/>
          <w:sz w:val="20"/>
          <w:szCs w:val="20"/>
        </w:rPr>
        <w:t>. Alianza Editorial.</w:t>
      </w:r>
    </w:p>
    <w:p w14:paraId="2F441C21"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(2005) </w:t>
      </w:r>
      <w:r w:rsidRPr="00617A49">
        <w:rPr>
          <w:rFonts w:ascii="Times New Roman" w:hAnsi="Times New Roman" w:cs="Times New Roman"/>
          <w:i/>
          <w:iCs/>
          <w:sz w:val="20"/>
          <w:szCs w:val="20"/>
        </w:rPr>
        <w:t>Cómo orientarse en el pensamiento</w:t>
      </w:r>
      <w:r w:rsidRPr="00617A49">
        <w:rPr>
          <w:rFonts w:ascii="Times New Roman" w:hAnsi="Times New Roman" w:cs="Times New Roman"/>
          <w:sz w:val="20"/>
          <w:szCs w:val="20"/>
        </w:rPr>
        <w:t>. Ed. Quadrata.</w:t>
      </w:r>
    </w:p>
    <w:p w14:paraId="62F7DCDA"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(2008) </w:t>
      </w:r>
      <w:r w:rsidRPr="00617A49">
        <w:rPr>
          <w:rFonts w:ascii="Times New Roman" w:hAnsi="Times New Roman" w:cs="Times New Roman"/>
          <w:i/>
          <w:iCs/>
          <w:sz w:val="20"/>
          <w:szCs w:val="20"/>
        </w:rPr>
        <w:t>Fundamentación de la metafísica de las costumbres</w:t>
      </w:r>
      <w:r w:rsidRPr="00617A49">
        <w:rPr>
          <w:rFonts w:ascii="Times New Roman" w:hAnsi="Times New Roman" w:cs="Times New Roman"/>
          <w:sz w:val="20"/>
          <w:szCs w:val="20"/>
        </w:rPr>
        <w:t>. Ed. Austral.</w:t>
      </w:r>
    </w:p>
    <w:p w14:paraId="59E0803E"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Kant, I. (2008) </w:t>
      </w:r>
      <w:r w:rsidRPr="00617A49">
        <w:rPr>
          <w:rFonts w:ascii="Times New Roman" w:hAnsi="Times New Roman" w:cs="Times New Roman"/>
          <w:i/>
          <w:iCs/>
          <w:sz w:val="20"/>
          <w:szCs w:val="20"/>
        </w:rPr>
        <w:t>Principios metafísicos del derecho</w:t>
      </w:r>
      <w:r w:rsidRPr="00617A49">
        <w:rPr>
          <w:rFonts w:ascii="Times New Roman" w:hAnsi="Times New Roman" w:cs="Times New Roman"/>
          <w:sz w:val="20"/>
          <w:szCs w:val="20"/>
        </w:rPr>
        <w:t>. Trad. G. Lizarraga. Ed. Renacimiento.</w:t>
      </w:r>
    </w:p>
    <w:p w14:paraId="14A4BDB1"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rPr>
        <w:t xml:space="preserve">Kant, I. (2009) </w:t>
      </w:r>
      <w:r w:rsidRPr="00617A49">
        <w:rPr>
          <w:rFonts w:ascii="Times New Roman" w:hAnsi="Times New Roman" w:cs="Times New Roman"/>
          <w:i/>
          <w:iCs/>
          <w:sz w:val="20"/>
          <w:szCs w:val="20"/>
        </w:rPr>
        <w:t>Sobre Pedagogía</w:t>
      </w:r>
      <w:r w:rsidRPr="00617A49">
        <w:rPr>
          <w:rFonts w:ascii="Times New Roman" w:hAnsi="Times New Roman" w:cs="Times New Roman"/>
          <w:sz w:val="20"/>
          <w:szCs w:val="20"/>
        </w:rPr>
        <w:t xml:space="preserve">. Universidad Nacional de Córdoba. </w:t>
      </w:r>
      <w:r w:rsidRPr="00617A49">
        <w:rPr>
          <w:rFonts w:ascii="Times New Roman" w:hAnsi="Times New Roman" w:cs="Times New Roman"/>
          <w:sz w:val="20"/>
          <w:szCs w:val="20"/>
          <w:lang w:val="en-US"/>
        </w:rPr>
        <w:t xml:space="preserve">Encuentro Grupo Editor. </w:t>
      </w:r>
    </w:p>
    <w:p w14:paraId="0F0DE9C0"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rPr>
      </w:pPr>
      <w:r w:rsidRPr="00617A49">
        <w:rPr>
          <w:rFonts w:ascii="Times New Roman" w:hAnsi="Times New Roman" w:cs="Times New Roman"/>
          <w:sz w:val="20"/>
          <w:szCs w:val="20"/>
        </w:rPr>
        <w:t xml:space="preserve">Koorsgard, Ch. (2004) </w:t>
      </w:r>
      <w:r w:rsidRPr="00617A49">
        <w:rPr>
          <w:rFonts w:ascii="Times New Roman" w:hAnsi="Times New Roman" w:cs="Times New Roman"/>
          <w:i/>
          <w:iCs/>
          <w:sz w:val="20"/>
          <w:szCs w:val="20"/>
        </w:rPr>
        <w:t>Actuar por una razón</w:t>
      </w:r>
    </w:p>
    <w:p w14:paraId="23CD11F1"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Korner, S. (1955) </w:t>
      </w:r>
      <w:r w:rsidRPr="00617A49">
        <w:rPr>
          <w:rFonts w:ascii="Times New Roman" w:hAnsi="Times New Roman" w:cs="Times New Roman"/>
          <w:i/>
          <w:iCs/>
          <w:sz w:val="20"/>
          <w:szCs w:val="20"/>
          <w:lang w:val="en-US"/>
        </w:rPr>
        <w:t>Kant</w:t>
      </w:r>
      <w:r w:rsidRPr="00617A49">
        <w:rPr>
          <w:rFonts w:ascii="Times New Roman" w:hAnsi="Times New Roman" w:cs="Times New Roman"/>
          <w:sz w:val="20"/>
          <w:szCs w:val="20"/>
          <w:lang w:val="en-US"/>
        </w:rPr>
        <w:t>. Alianza Editorial.</w:t>
      </w:r>
    </w:p>
    <w:p w14:paraId="0D35FDF4"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Korner, S. (1955) </w:t>
      </w:r>
      <w:r w:rsidRPr="00617A49">
        <w:rPr>
          <w:rFonts w:ascii="Times New Roman" w:hAnsi="Times New Roman" w:cs="Times New Roman"/>
          <w:i/>
          <w:iCs/>
          <w:sz w:val="20"/>
          <w:szCs w:val="20"/>
          <w:lang w:val="en-US"/>
        </w:rPr>
        <w:t>Kant</w:t>
      </w:r>
      <w:r w:rsidRPr="00617A49">
        <w:rPr>
          <w:rFonts w:ascii="Times New Roman" w:hAnsi="Times New Roman" w:cs="Times New Roman"/>
          <w:sz w:val="20"/>
          <w:szCs w:val="20"/>
          <w:lang w:val="en-US"/>
        </w:rPr>
        <w:t>. Penguin Books.</w:t>
      </w:r>
    </w:p>
    <w:p w14:paraId="6B5C4458"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Krauss, K. (2020) </w:t>
      </w:r>
      <w:r w:rsidRPr="00617A49">
        <w:rPr>
          <w:rFonts w:ascii="Times New Roman" w:hAnsi="Times New Roman" w:cs="Times New Roman"/>
          <w:i/>
          <w:iCs/>
          <w:sz w:val="20"/>
          <w:szCs w:val="20"/>
          <w:lang w:val="en-US"/>
        </w:rPr>
        <w:t>Kant on self-knowledge and self-formation. The nature of inner experience</w:t>
      </w:r>
      <w:r w:rsidRPr="00617A49">
        <w:rPr>
          <w:rFonts w:ascii="Times New Roman" w:hAnsi="Times New Roman" w:cs="Times New Roman"/>
          <w:sz w:val="20"/>
          <w:szCs w:val="20"/>
          <w:lang w:val="en-US"/>
        </w:rPr>
        <w:t>. Cambridge University Press.</w:t>
      </w:r>
    </w:p>
    <w:p w14:paraId="4DB6C17B"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lang w:val="en-US"/>
        </w:rPr>
        <w:t xml:space="preserve">Lacroix, J. (1969) </w:t>
      </w:r>
      <w:r w:rsidRPr="00617A49">
        <w:rPr>
          <w:rFonts w:ascii="Times New Roman" w:hAnsi="Times New Roman" w:cs="Times New Roman"/>
          <w:i/>
          <w:iCs/>
          <w:sz w:val="20"/>
          <w:szCs w:val="20"/>
          <w:lang w:val="en-US"/>
        </w:rPr>
        <w:t>Kant</w:t>
      </w:r>
      <w:r w:rsidRPr="00617A49">
        <w:rPr>
          <w:rFonts w:ascii="Times New Roman" w:hAnsi="Times New Roman" w:cs="Times New Roman"/>
          <w:sz w:val="20"/>
          <w:szCs w:val="20"/>
          <w:lang w:val="en-US"/>
        </w:rPr>
        <w:t>. Ed. Sudamericana.</w:t>
      </w:r>
    </w:p>
    <w:p w14:paraId="77295988" w14:textId="77777777" w:rsidR="001E54B3" w:rsidRPr="00617A49" w:rsidRDefault="001E54B3" w:rsidP="00CA0124">
      <w:pPr>
        <w:pStyle w:val="ListParagraph"/>
        <w:numPr>
          <w:ilvl w:val="0"/>
          <w:numId w:val="5"/>
        </w:numPr>
        <w:spacing w:line="360" w:lineRule="auto"/>
        <w:jc w:val="both"/>
        <w:rPr>
          <w:rFonts w:ascii="Times New Roman" w:hAnsi="Times New Roman" w:cs="Times New Roman"/>
          <w:sz w:val="20"/>
          <w:szCs w:val="20"/>
          <w:lang w:val="en-US"/>
        </w:rPr>
      </w:pPr>
      <w:r w:rsidRPr="00617A49">
        <w:rPr>
          <w:rFonts w:ascii="Times New Roman" w:hAnsi="Times New Roman" w:cs="Times New Roman"/>
          <w:sz w:val="20"/>
          <w:szCs w:val="20"/>
        </w:rPr>
        <w:t xml:space="preserve">Maritain, J. (1962) </w:t>
      </w:r>
      <w:r w:rsidRPr="00617A49">
        <w:rPr>
          <w:rFonts w:ascii="Times New Roman" w:hAnsi="Times New Roman" w:cs="Times New Roman"/>
          <w:i/>
          <w:iCs/>
          <w:sz w:val="20"/>
          <w:szCs w:val="20"/>
        </w:rPr>
        <w:t>Filosofía moral. Exámen histórico crítico de los grandes sistemas</w:t>
      </w:r>
      <w:r w:rsidRPr="00617A49">
        <w:rPr>
          <w:rFonts w:ascii="Times New Roman" w:hAnsi="Times New Roman" w:cs="Times New Roman"/>
          <w:sz w:val="20"/>
          <w:szCs w:val="20"/>
        </w:rPr>
        <w:t xml:space="preserve">. </w:t>
      </w:r>
      <w:r w:rsidRPr="00617A49">
        <w:rPr>
          <w:rFonts w:ascii="Times New Roman" w:hAnsi="Times New Roman" w:cs="Times New Roman"/>
          <w:sz w:val="20"/>
          <w:szCs w:val="20"/>
          <w:lang w:val="en-US"/>
        </w:rPr>
        <w:t>Ed. Morata.</w:t>
      </w:r>
    </w:p>
    <w:p w14:paraId="39FCE9A5" w14:textId="77777777" w:rsidR="001E54B3" w:rsidRPr="00CA0124" w:rsidRDefault="001E54B3" w:rsidP="00CA0124">
      <w:pPr>
        <w:spacing w:line="360" w:lineRule="auto"/>
        <w:jc w:val="both"/>
        <w:rPr>
          <w:rFonts w:ascii="Times New Roman" w:hAnsi="Times New Roman" w:cs="Times New Roman"/>
          <w:i/>
          <w:iCs/>
          <w:sz w:val="24"/>
          <w:szCs w:val="24"/>
          <w:lang w:val="en-US"/>
        </w:rPr>
      </w:pPr>
    </w:p>
    <w:p w14:paraId="13A68BB7" w14:textId="77777777" w:rsidR="0027138C" w:rsidRPr="00CA0124" w:rsidRDefault="0027138C" w:rsidP="00CA0124">
      <w:pPr>
        <w:spacing w:line="360" w:lineRule="auto"/>
        <w:rPr>
          <w:rFonts w:ascii="Times New Roman" w:hAnsi="Times New Roman" w:cs="Times New Roman"/>
          <w:sz w:val="24"/>
          <w:szCs w:val="24"/>
          <w:lang w:val="en-US"/>
        </w:rPr>
      </w:pPr>
    </w:p>
    <w:sectPr w:rsidR="0027138C" w:rsidRPr="00CA0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70CE9" w14:textId="77777777" w:rsidR="00F10306" w:rsidRDefault="00F10306" w:rsidP="00947788">
      <w:pPr>
        <w:spacing w:after="0" w:line="240" w:lineRule="auto"/>
      </w:pPr>
      <w:r>
        <w:separator/>
      </w:r>
    </w:p>
  </w:endnote>
  <w:endnote w:type="continuationSeparator" w:id="0">
    <w:p w14:paraId="456ABD26" w14:textId="77777777" w:rsidR="00F10306" w:rsidRDefault="00F10306" w:rsidP="0094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EBD52" w14:textId="77777777" w:rsidR="00F10306" w:rsidRDefault="00F10306" w:rsidP="00947788">
      <w:pPr>
        <w:spacing w:after="0" w:line="240" w:lineRule="auto"/>
      </w:pPr>
      <w:r>
        <w:separator/>
      </w:r>
    </w:p>
  </w:footnote>
  <w:footnote w:type="continuationSeparator" w:id="0">
    <w:p w14:paraId="537E5B05" w14:textId="77777777" w:rsidR="00F10306" w:rsidRDefault="00F10306" w:rsidP="00947788">
      <w:pPr>
        <w:spacing w:after="0" w:line="240" w:lineRule="auto"/>
      </w:pPr>
      <w:r>
        <w:continuationSeparator/>
      </w:r>
    </w:p>
  </w:footnote>
  <w:footnote w:id="1">
    <w:p w14:paraId="3C4CBD54" w14:textId="74583F43" w:rsidR="004A10B3" w:rsidRPr="00CA0124" w:rsidRDefault="004A10B3" w:rsidP="004A10B3">
      <w:pPr>
        <w:spacing w:line="240" w:lineRule="auto"/>
        <w:jc w:val="both"/>
        <w:rPr>
          <w:rFonts w:ascii="Times New Roman" w:hAnsi="Times New Roman" w:cs="Times New Roman"/>
          <w:sz w:val="24"/>
          <w:szCs w:val="24"/>
        </w:rPr>
      </w:pPr>
      <w:r>
        <w:rPr>
          <w:rStyle w:val="FootnoteReference"/>
        </w:rPr>
        <w:footnoteRef/>
      </w:r>
      <w:r>
        <w:t xml:space="preserve"> </w:t>
      </w:r>
      <w:r w:rsidRPr="004A10B3">
        <w:rPr>
          <w:rFonts w:ascii="Times New Roman" w:hAnsi="Times New Roman" w:cs="Times New Roman"/>
          <w:sz w:val="20"/>
          <w:szCs w:val="20"/>
        </w:rPr>
        <w:t>Refiere Kant</w:t>
      </w:r>
      <w:r>
        <w:rPr>
          <w:rFonts w:ascii="Times New Roman" w:hAnsi="Times New Roman" w:cs="Times New Roman"/>
          <w:sz w:val="20"/>
          <w:szCs w:val="20"/>
        </w:rPr>
        <w:t xml:space="preserve"> en su Doctrina del derecho (2008)</w:t>
      </w:r>
      <w:r w:rsidRPr="004A10B3">
        <w:rPr>
          <w:rFonts w:ascii="Times New Roman" w:hAnsi="Times New Roman" w:cs="Times New Roman"/>
          <w:sz w:val="20"/>
          <w:szCs w:val="20"/>
        </w:rPr>
        <w:t xml:space="preserve"> que: </w:t>
      </w:r>
      <w:r w:rsidRPr="004A10B3">
        <w:rPr>
          <w:rFonts w:ascii="Times New Roman" w:hAnsi="Times New Roman" w:cs="Times New Roman"/>
          <w:sz w:val="20"/>
          <w:szCs w:val="20"/>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p w14:paraId="6F6A24BF" w14:textId="67081E86" w:rsidR="004A10B3" w:rsidRPr="004A10B3" w:rsidRDefault="004A10B3">
      <w:pPr>
        <w:pStyle w:val="FootnoteText"/>
      </w:pPr>
    </w:p>
  </w:footnote>
  <w:footnote w:id="2">
    <w:p w14:paraId="2EDB8815" w14:textId="6A09F85B" w:rsidR="006818CB" w:rsidRPr="001E54B3" w:rsidRDefault="006818CB" w:rsidP="006818CB">
      <w:pPr>
        <w:spacing w:line="240" w:lineRule="auto"/>
        <w:jc w:val="both"/>
        <w:rPr>
          <w:rFonts w:ascii="Times New Roman" w:hAnsi="Times New Roman" w:cs="Times New Roman"/>
          <w:sz w:val="20"/>
          <w:szCs w:val="20"/>
        </w:rPr>
      </w:pPr>
      <w:r>
        <w:rPr>
          <w:rStyle w:val="FootnoteReference"/>
        </w:rPr>
        <w:footnoteRef/>
      </w:r>
      <w:r>
        <w:t xml:space="preserve"> </w:t>
      </w:r>
      <w:r w:rsidRPr="006818CB">
        <w:rPr>
          <w:rFonts w:ascii="Times New Roman" w:hAnsi="Times New Roman" w:cs="Times New Roman"/>
          <w:sz w:val="20"/>
          <w:szCs w:val="20"/>
        </w:rPr>
        <w:t xml:space="preserve">Luego, agrega Kant lo siguiente: </w:t>
      </w:r>
      <w:r w:rsidRPr="001E54B3">
        <w:rPr>
          <w:rFonts w:ascii="Times New Roman" w:hAnsi="Times New Roman" w:cs="Times New Roman"/>
          <w:sz w:val="20"/>
          <w:szCs w:val="20"/>
          <w:lang w:val="es-ES"/>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14:paraId="728682BA" w14:textId="370054BD" w:rsidR="006818CB" w:rsidRPr="006818CB" w:rsidRDefault="006818CB">
      <w:pPr>
        <w:pStyle w:val="FootnoteText"/>
      </w:pPr>
    </w:p>
  </w:footnote>
  <w:footnote w:id="3">
    <w:p w14:paraId="0F8843D1" w14:textId="6AF37EA0" w:rsidR="00947788" w:rsidRPr="00947788" w:rsidRDefault="00947788" w:rsidP="00947788">
      <w:pPr>
        <w:pStyle w:val="FootnoteText"/>
        <w:jc w:val="both"/>
        <w:rPr>
          <w:rFonts w:ascii="Times New Roman" w:hAnsi="Times New Roman" w:cs="Times New Roman"/>
          <w:lang w:val="es-MX"/>
        </w:rPr>
      </w:pPr>
      <w:r w:rsidRPr="00947788">
        <w:rPr>
          <w:rStyle w:val="FootnoteReference"/>
          <w:rFonts w:ascii="Times New Roman" w:hAnsi="Times New Roman" w:cs="Times New Roman"/>
        </w:rPr>
        <w:footnoteRef/>
      </w:r>
      <w:r w:rsidRPr="00947788">
        <w:rPr>
          <w:rFonts w:ascii="Times New Roman" w:hAnsi="Times New Roman" w:cs="Times New Roman"/>
        </w:rPr>
        <w:t xml:space="preserve"> </w:t>
      </w:r>
      <w:r w:rsidRPr="00947788">
        <w:rPr>
          <w:rFonts w:ascii="Times New Roman" w:hAnsi="Times New Roman" w:cs="Times New Roman"/>
          <w:lang w:val="es-MX"/>
        </w:rPr>
        <w:t>Me refiero puntualmente a</w:t>
      </w:r>
      <w:r>
        <w:rPr>
          <w:rFonts w:ascii="Times New Roman" w:hAnsi="Times New Roman" w:cs="Times New Roman"/>
          <w:lang w:val="es-MX"/>
        </w:rPr>
        <w:t xml:space="preserve">l </w:t>
      </w:r>
      <w:r w:rsidRPr="00947788">
        <w:rPr>
          <w:rFonts w:ascii="Times New Roman" w:hAnsi="Times New Roman" w:cs="Times New Roman"/>
          <w:lang w:val="es-MX"/>
        </w:rPr>
        <w:t xml:space="preserve">texto </w:t>
      </w:r>
      <w:r w:rsidRPr="00947788">
        <w:rPr>
          <w:rFonts w:ascii="Times New Roman" w:hAnsi="Times New Roman" w:cs="Times New Roman"/>
          <w:i/>
          <w:iCs/>
          <w:lang w:val="es-MX"/>
        </w:rPr>
        <w:t>Acerca de la relación entre la teoría y la práctica en el derecho político</w:t>
      </w:r>
      <w:r w:rsidRPr="00947788">
        <w:rPr>
          <w:rFonts w:ascii="Times New Roman" w:hAnsi="Times New Roman" w:cs="Times New Roman"/>
          <w:lang w:val="es-MX"/>
        </w:rPr>
        <w:t xml:space="preserve"> </w:t>
      </w:r>
      <w:r>
        <w:rPr>
          <w:rFonts w:ascii="Times New Roman" w:hAnsi="Times New Roman" w:cs="Times New Roman"/>
          <w:lang w:val="es-MX"/>
        </w:rPr>
        <w:t xml:space="preserve">en donde </w:t>
      </w:r>
      <w:r w:rsidRPr="00947788">
        <w:rPr>
          <w:rFonts w:ascii="Times New Roman" w:hAnsi="Times New Roman" w:cs="Times New Roman"/>
          <w:lang w:val="es-MX"/>
        </w:rPr>
        <w:t>nos refiere Kant que:</w:t>
      </w:r>
      <w:r>
        <w:rPr>
          <w:rFonts w:ascii="Times New Roman" w:hAnsi="Times New Roman" w:cs="Times New Roman"/>
          <w:lang w:val="es-MX"/>
        </w:rPr>
        <w:t xml:space="preserve"> “</w:t>
      </w:r>
      <w:r w:rsidRPr="00947788">
        <w:rPr>
          <w:rFonts w:ascii="Times New Roman" w:hAnsi="Times New Roman" w:cs="Times New Roman"/>
          <w:lang w:val="es-MX"/>
        </w:rPr>
        <w:t xml:space="preserve">La condición civil, considerada como mero estado jurídico, se basa, a priori, en los siguientes principios: </w:t>
      </w:r>
    </w:p>
    <w:p w14:paraId="799E6B3C" w14:textId="77777777" w:rsidR="00947788" w:rsidRPr="00947788" w:rsidRDefault="00947788" w:rsidP="00947788">
      <w:pPr>
        <w:pStyle w:val="FootnoteText"/>
        <w:ind w:firstLine="708"/>
        <w:jc w:val="both"/>
        <w:rPr>
          <w:rFonts w:ascii="Times New Roman" w:hAnsi="Times New Roman" w:cs="Times New Roman"/>
          <w:lang w:val="es-MX"/>
        </w:rPr>
      </w:pPr>
      <w:r w:rsidRPr="00947788">
        <w:rPr>
          <w:rFonts w:ascii="Times New Roman" w:hAnsi="Times New Roman" w:cs="Times New Roman"/>
          <w:lang w:val="es-MX"/>
        </w:rPr>
        <w:t>Libertad de cada miembro de la sociedad en cuanto hombre.</w:t>
      </w:r>
    </w:p>
    <w:p w14:paraId="4D84D37C" w14:textId="77777777" w:rsidR="00947788" w:rsidRPr="00947788" w:rsidRDefault="00947788" w:rsidP="00947788">
      <w:pPr>
        <w:pStyle w:val="FootnoteText"/>
        <w:ind w:firstLine="708"/>
        <w:jc w:val="both"/>
        <w:rPr>
          <w:rFonts w:ascii="Times New Roman" w:hAnsi="Times New Roman" w:cs="Times New Roman"/>
          <w:lang w:val="es-MX"/>
        </w:rPr>
      </w:pPr>
      <w:r w:rsidRPr="00947788">
        <w:rPr>
          <w:rFonts w:ascii="Times New Roman" w:hAnsi="Times New Roman" w:cs="Times New Roman"/>
          <w:lang w:val="es-MX"/>
        </w:rPr>
        <w:t>La igualdad entre los mismos y los demás, en cuanto súbditos.</w:t>
      </w:r>
    </w:p>
    <w:p w14:paraId="7BB20B18" w14:textId="77777777" w:rsidR="00947788" w:rsidRPr="00947788" w:rsidRDefault="00947788" w:rsidP="00947788">
      <w:pPr>
        <w:pStyle w:val="FootnoteText"/>
        <w:ind w:firstLine="708"/>
        <w:jc w:val="both"/>
        <w:rPr>
          <w:rFonts w:ascii="Times New Roman" w:hAnsi="Times New Roman" w:cs="Times New Roman"/>
          <w:lang w:val="es-MX"/>
        </w:rPr>
      </w:pPr>
      <w:r w:rsidRPr="00947788">
        <w:rPr>
          <w:rFonts w:ascii="Times New Roman" w:hAnsi="Times New Roman" w:cs="Times New Roman"/>
          <w:lang w:val="es-MX"/>
        </w:rPr>
        <w:t>La autonomía de cada miembro de una comunidad, en cuanto ciudadano.</w:t>
      </w:r>
    </w:p>
    <w:p w14:paraId="1BF40807" w14:textId="6B4E8865" w:rsidR="00947788" w:rsidRPr="00947788" w:rsidRDefault="00947788" w:rsidP="00947788">
      <w:pPr>
        <w:pStyle w:val="FootnoteText"/>
        <w:jc w:val="both"/>
        <w:rPr>
          <w:lang w:val="es-MX"/>
        </w:rPr>
      </w:pPr>
      <w:r w:rsidRPr="00947788">
        <w:rPr>
          <w:rFonts w:ascii="Times New Roman" w:hAnsi="Times New Roman" w:cs="Times New Roman"/>
          <w:lang w:val="es-MX"/>
        </w:rPr>
        <w:t>Estos principios no son leyes dadas por el estado ya constituido, sino principios según los cuales únicamente es posible una constitución estatal, conforme a principios puros de la razón.</w:t>
      </w:r>
      <w:r>
        <w:rPr>
          <w:rFonts w:ascii="Times New Roman" w:hAnsi="Times New Roman" w:cs="Times New Roman"/>
          <w:lang w:val="es-MX"/>
        </w:rPr>
        <w:t>”</w:t>
      </w:r>
      <w:r w:rsidRPr="00947788">
        <w:rPr>
          <w:rFonts w:ascii="Times New Roman" w:hAnsi="Times New Roman" w:cs="Times New Roman"/>
          <w:lang w:val="es-MX"/>
        </w:rPr>
        <w:t xml:space="preserve"> (1964, p.159)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D3684"/>
    <w:multiLevelType w:val="hybridMultilevel"/>
    <w:tmpl w:val="6B0E58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AA4316"/>
    <w:multiLevelType w:val="multilevel"/>
    <w:tmpl w:val="B352F70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26BF1D47"/>
    <w:multiLevelType w:val="hybridMultilevel"/>
    <w:tmpl w:val="22765D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0D0D2F"/>
    <w:multiLevelType w:val="hybridMultilevel"/>
    <w:tmpl w:val="22765D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D80EB0"/>
    <w:multiLevelType w:val="hybridMultilevel"/>
    <w:tmpl w:val="22765D5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2779433">
    <w:abstractNumId w:val="4"/>
  </w:num>
  <w:num w:numId="2" w16cid:durableId="1165126595">
    <w:abstractNumId w:val="1"/>
  </w:num>
  <w:num w:numId="3" w16cid:durableId="1562981094">
    <w:abstractNumId w:val="2"/>
  </w:num>
  <w:num w:numId="4" w16cid:durableId="2111007150">
    <w:abstractNumId w:val="3"/>
  </w:num>
  <w:num w:numId="5" w16cid:durableId="124449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C1"/>
    <w:rsid w:val="000062A7"/>
    <w:rsid w:val="0002418D"/>
    <w:rsid w:val="000436F5"/>
    <w:rsid w:val="000557B8"/>
    <w:rsid w:val="00074487"/>
    <w:rsid w:val="00093992"/>
    <w:rsid w:val="000F20A4"/>
    <w:rsid w:val="001566B5"/>
    <w:rsid w:val="001675D0"/>
    <w:rsid w:val="001A400B"/>
    <w:rsid w:val="001E54B3"/>
    <w:rsid w:val="0022180D"/>
    <w:rsid w:val="0024312D"/>
    <w:rsid w:val="0027138C"/>
    <w:rsid w:val="002B1260"/>
    <w:rsid w:val="002F5C07"/>
    <w:rsid w:val="00301AC4"/>
    <w:rsid w:val="00384452"/>
    <w:rsid w:val="00387E23"/>
    <w:rsid w:val="00391F6A"/>
    <w:rsid w:val="00400307"/>
    <w:rsid w:val="00411380"/>
    <w:rsid w:val="004911A6"/>
    <w:rsid w:val="004A10B3"/>
    <w:rsid w:val="004A318E"/>
    <w:rsid w:val="004B6D37"/>
    <w:rsid w:val="004D2F5A"/>
    <w:rsid w:val="004F047B"/>
    <w:rsid w:val="005260A1"/>
    <w:rsid w:val="00537A1E"/>
    <w:rsid w:val="00594EC5"/>
    <w:rsid w:val="005B4F55"/>
    <w:rsid w:val="005D2589"/>
    <w:rsid w:val="005D5CE7"/>
    <w:rsid w:val="00601FAE"/>
    <w:rsid w:val="0061135E"/>
    <w:rsid w:val="00617A49"/>
    <w:rsid w:val="00643FB7"/>
    <w:rsid w:val="006654B4"/>
    <w:rsid w:val="006725A3"/>
    <w:rsid w:val="00677799"/>
    <w:rsid w:val="006818CB"/>
    <w:rsid w:val="0071499A"/>
    <w:rsid w:val="00723DC2"/>
    <w:rsid w:val="00731435"/>
    <w:rsid w:val="007410BE"/>
    <w:rsid w:val="00750218"/>
    <w:rsid w:val="007A1530"/>
    <w:rsid w:val="007D7209"/>
    <w:rsid w:val="007F11D9"/>
    <w:rsid w:val="00802A98"/>
    <w:rsid w:val="0081434A"/>
    <w:rsid w:val="00826099"/>
    <w:rsid w:val="00876413"/>
    <w:rsid w:val="008A35BB"/>
    <w:rsid w:val="008D20AB"/>
    <w:rsid w:val="008E264D"/>
    <w:rsid w:val="008E27B0"/>
    <w:rsid w:val="00922E84"/>
    <w:rsid w:val="009259C1"/>
    <w:rsid w:val="009364A2"/>
    <w:rsid w:val="00947788"/>
    <w:rsid w:val="009548A5"/>
    <w:rsid w:val="009A6825"/>
    <w:rsid w:val="009B52D7"/>
    <w:rsid w:val="009F73D4"/>
    <w:rsid w:val="00A01AC7"/>
    <w:rsid w:val="00A257FC"/>
    <w:rsid w:val="00A4578A"/>
    <w:rsid w:val="00A61A6D"/>
    <w:rsid w:val="00A634BC"/>
    <w:rsid w:val="00AC5748"/>
    <w:rsid w:val="00AC6E0D"/>
    <w:rsid w:val="00AE3F99"/>
    <w:rsid w:val="00B24FE7"/>
    <w:rsid w:val="00B25675"/>
    <w:rsid w:val="00B348C2"/>
    <w:rsid w:val="00B468F1"/>
    <w:rsid w:val="00B622F9"/>
    <w:rsid w:val="00B64BB1"/>
    <w:rsid w:val="00B734C6"/>
    <w:rsid w:val="00BB2E57"/>
    <w:rsid w:val="00C101EC"/>
    <w:rsid w:val="00C21968"/>
    <w:rsid w:val="00C33EC1"/>
    <w:rsid w:val="00C37904"/>
    <w:rsid w:val="00CA0124"/>
    <w:rsid w:val="00CC7DFE"/>
    <w:rsid w:val="00CD5CBB"/>
    <w:rsid w:val="00CE4A57"/>
    <w:rsid w:val="00CF18D3"/>
    <w:rsid w:val="00D06FAD"/>
    <w:rsid w:val="00D13FE4"/>
    <w:rsid w:val="00D33BBC"/>
    <w:rsid w:val="00D433F5"/>
    <w:rsid w:val="00D476D4"/>
    <w:rsid w:val="00D63745"/>
    <w:rsid w:val="00D9608E"/>
    <w:rsid w:val="00DC1FAE"/>
    <w:rsid w:val="00DE1C8F"/>
    <w:rsid w:val="00E33066"/>
    <w:rsid w:val="00EB1A24"/>
    <w:rsid w:val="00EE626F"/>
    <w:rsid w:val="00F10306"/>
    <w:rsid w:val="00F12135"/>
    <w:rsid w:val="00F15245"/>
    <w:rsid w:val="00F27B43"/>
    <w:rsid w:val="00F43ED0"/>
    <w:rsid w:val="00F5189C"/>
    <w:rsid w:val="00F54E22"/>
    <w:rsid w:val="00F619DA"/>
    <w:rsid w:val="00F95B8D"/>
    <w:rsid w:val="00FA7326"/>
    <w:rsid w:val="00FB54CF"/>
    <w:rsid w:val="00FD19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62FE"/>
  <w15:chartTrackingRefBased/>
  <w15:docId w15:val="{5348066A-3391-4E6B-A8EE-BF35E074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EC1"/>
    <w:pPr>
      <w:ind w:left="720"/>
      <w:contextualSpacing/>
    </w:pPr>
  </w:style>
  <w:style w:type="paragraph" w:styleId="FootnoteText">
    <w:name w:val="footnote text"/>
    <w:basedOn w:val="Normal"/>
    <w:link w:val="FootnoteTextChar"/>
    <w:uiPriority w:val="99"/>
    <w:semiHidden/>
    <w:unhideWhenUsed/>
    <w:rsid w:val="009477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7788"/>
    <w:rPr>
      <w:sz w:val="20"/>
      <w:szCs w:val="20"/>
    </w:rPr>
  </w:style>
  <w:style w:type="character" w:styleId="FootnoteReference">
    <w:name w:val="footnote reference"/>
    <w:basedOn w:val="DefaultParagraphFont"/>
    <w:uiPriority w:val="99"/>
    <w:semiHidden/>
    <w:unhideWhenUsed/>
    <w:rsid w:val="009477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893513">
      <w:bodyDiv w:val="1"/>
      <w:marLeft w:val="0"/>
      <w:marRight w:val="0"/>
      <w:marTop w:val="0"/>
      <w:marBottom w:val="0"/>
      <w:divBdr>
        <w:top w:val="none" w:sz="0" w:space="0" w:color="auto"/>
        <w:left w:val="none" w:sz="0" w:space="0" w:color="auto"/>
        <w:bottom w:val="none" w:sz="0" w:space="0" w:color="auto"/>
        <w:right w:val="none" w:sz="0" w:space="0" w:color="auto"/>
      </w:divBdr>
    </w:div>
    <w:div w:id="1582180251">
      <w:bodyDiv w:val="1"/>
      <w:marLeft w:val="0"/>
      <w:marRight w:val="0"/>
      <w:marTop w:val="0"/>
      <w:marBottom w:val="0"/>
      <w:divBdr>
        <w:top w:val="none" w:sz="0" w:space="0" w:color="auto"/>
        <w:left w:val="none" w:sz="0" w:space="0" w:color="auto"/>
        <w:bottom w:val="none" w:sz="0" w:space="0" w:color="auto"/>
        <w:right w:val="none" w:sz="0" w:space="0" w:color="auto"/>
      </w:divBdr>
    </w:div>
    <w:div w:id="184643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31DCB-B7E9-44CB-8DF5-FEF980C6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3855</TotalTime>
  <Pages>1</Pages>
  <Words>9186</Words>
  <Characters>50529</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80</cp:revision>
  <dcterms:created xsi:type="dcterms:W3CDTF">2024-12-03T07:56:00Z</dcterms:created>
  <dcterms:modified xsi:type="dcterms:W3CDTF">2024-12-12T03:12:00Z</dcterms:modified>
</cp:coreProperties>
</file>