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58C4E" w14:textId="77777777" w:rsidR="005C3887" w:rsidRPr="00BD7937" w:rsidRDefault="005C3887" w:rsidP="005C3887">
      <w:pPr>
        <w:spacing w:after="0" w:line="240" w:lineRule="auto"/>
        <w:rPr>
          <w:color w:val="000000" w:themeColor="text1"/>
          <w:lang w:val="es-PE"/>
        </w:rPr>
      </w:pPr>
      <w:r w:rsidRPr="00BD7937">
        <w:rPr>
          <w:noProof/>
          <w:color w:val="000000" w:themeColor="text1"/>
        </w:rPr>
        <w:drawing>
          <wp:anchor distT="0" distB="0" distL="114300" distR="114300" simplePos="0" relativeHeight="251659264" behindDoc="1" locked="0" layoutInCell="1" allowOverlap="1" wp14:anchorId="0BAE874A" wp14:editId="7531312D">
            <wp:simplePos x="0" y="0"/>
            <wp:positionH relativeFrom="margin">
              <wp:posOffset>3979545</wp:posOffset>
            </wp:positionH>
            <wp:positionV relativeFrom="margin">
              <wp:posOffset>-146304</wp:posOffset>
            </wp:positionV>
            <wp:extent cx="1743075" cy="781050"/>
            <wp:effectExtent l="0" t="0" r="9525" b="0"/>
            <wp:wrapSquare wrapText="bothSides"/>
            <wp:docPr id="959692832" name="Picture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781050"/>
                    </a:xfrm>
                    <a:prstGeom prst="rect">
                      <a:avLst/>
                    </a:prstGeom>
                    <a:noFill/>
                    <a:ln>
                      <a:noFill/>
                    </a:ln>
                  </pic:spPr>
                </pic:pic>
              </a:graphicData>
            </a:graphic>
          </wp:anchor>
        </w:drawing>
      </w:r>
      <w:r w:rsidRPr="00BD7937">
        <w:rPr>
          <w:b/>
          <w:bCs/>
          <w:color w:val="000000" w:themeColor="text1"/>
          <w:lang w:val="es-ES"/>
        </w:rPr>
        <w:t>Facultad de Filosofía,</w:t>
      </w:r>
      <w:r w:rsidRPr="00BD7937">
        <w:rPr>
          <w:color w:val="000000" w:themeColor="text1"/>
          <w:lang w:val="es-PE"/>
        </w:rPr>
        <w:t> </w:t>
      </w:r>
    </w:p>
    <w:p w14:paraId="01F444C3" w14:textId="77777777" w:rsidR="005C3887" w:rsidRPr="00BD7937" w:rsidRDefault="005C3887" w:rsidP="005C3887">
      <w:pPr>
        <w:spacing w:after="0" w:line="240" w:lineRule="auto"/>
        <w:rPr>
          <w:color w:val="000000" w:themeColor="text1"/>
          <w:lang w:val="es-PE"/>
        </w:rPr>
      </w:pPr>
      <w:r w:rsidRPr="00BD7937">
        <w:rPr>
          <w:b/>
          <w:bCs/>
          <w:color w:val="000000" w:themeColor="text1"/>
          <w:lang w:val="es-ES"/>
        </w:rPr>
        <w:t>Educación y</w:t>
      </w:r>
      <w:r w:rsidRPr="00BD7937">
        <w:rPr>
          <w:color w:val="000000" w:themeColor="text1"/>
          <w:lang w:val="es-PE"/>
        </w:rPr>
        <w:t> </w:t>
      </w:r>
    </w:p>
    <w:p w14:paraId="12FE97B4" w14:textId="77777777" w:rsidR="005C3887" w:rsidRPr="00BD7937" w:rsidRDefault="005C3887" w:rsidP="005C3887">
      <w:pPr>
        <w:spacing w:after="0" w:line="240" w:lineRule="auto"/>
        <w:rPr>
          <w:color w:val="000000" w:themeColor="text1"/>
          <w:lang w:val="es-PE"/>
        </w:rPr>
      </w:pPr>
      <w:r w:rsidRPr="00BD7937">
        <w:rPr>
          <w:b/>
          <w:bCs/>
          <w:color w:val="000000" w:themeColor="text1"/>
          <w:lang w:val="es-ES"/>
        </w:rPr>
        <w:t>Ciencias Humanas</w:t>
      </w:r>
      <w:r w:rsidRPr="00BD7937">
        <w:rPr>
          <w:color w:val="000000" w:themeColor="text1"/>
          <w:lang w:val="es-PE"/>
        </w:rPr>
        <w:t> </w:t>
      </w:r>
    </w:p>
    <w:p w14:paraId="4C0E83F9" w14:textId="77777777" w:rsidR="005C3887" w:rsidRPr="00BD7937" w:rsidRDefault="005C3887" w:rsidP="005C3887">
      <w:pPr>
        <w:rPr>
          <w:b/>
          <w:bCs/>
          <w:color w:val="000000" w:themeColor="text1"/>
          <w:lang w:val="es-PE"/>
        </w:rPr>
      </w:pPr>
    </w:p>
    <w:tbl>
      <w:tblPr>
        <w:tblStyle w:val="TableGrid"/>
        <w:tblW w:w="0" w:type="auto"/>
        <w:tblLook w:val="04A0" w:firstRow="1" w:lastRow="0" w:firstColumn="1" w:lastColumn="0" w:noHBand="0" w:noVBand="1"/>
      </w:tblPr>
      <w:tblGrid>
        <w:gridCol w:w="2405"/>
        <w:gridCol w:w="6612"/>
      </w:tblGrid>
      <w:tr w:rsidR="005C3887" w:rsidRPr="00BD7937" w14:paraId="1953162A" w14:textId="77777777" w:rsidTr="000656DA">
        <w:tc>
          <w:tcPr>
            <w:tcW w:w="9017" w:type="dxa"/>
            <w:gridSpan w:val="2"/>
          </w:tcPr>
          <w:p w14:paraId="63E9BF0C" w14:textId="77777777" w:rsidR="005C3887" w:rsidRPr="00BD7937" w:rsidRDefault="005C3887" w:rsidP="000656DA">
            <w:pPr>
              <w:rPr>
                <w:b/>
                <w:bCs/>
                <w:color w:val="000000" w:themeColor="text1"/>
                <w:lang w:val="es-PE"/>
              </w:rPr>
            </w:pPr>
            <w:r w:rsidRPr="00BD7937">
              <w:rPr>
                <w:b/>
                <w:bCs/>
                <w:color w:val="000000" w:themeColor="text1"/>
                <w:lang w:val="es-PE"/>
              </w:rPr>
              <w:t>Sección</w:t>
            </w:r>
          </w:p>
        </w:tc>
      </w:tr>
      <w:tr w:rsidR="005C3887" w:rsidRPr="00BD7937" w14:paraId="679774AC" w14:textId="77777777" w:rsidTr="000656DA">
        <w:tc>
          <w:tcPr>
            <w:tcW w:w="2405" w:type="dxa"/>
          </w:tcPr>
          <w:p w14:paraId="238604D4" w14:textId="77777777" w:rsidR="005C3887" w:rsidRPr="00BD7937" w:rsidRDefault="005C3887" w:rsidP="000656DA">
            <w:pPr>
              <w:rPr>
                <w:b/>
                <w:bCs/>
                <w:color w:val="000000" w:themeColor="text1"/>
                <w:lang w:val="es-PE"/>
              </w:rPr>
            </w:pPr>
            <w:r w:rsidRPr="00BD7937">
              <w:rPr>
                <w:b/>
                <w:bCs/>
                <w:color w:val="000000" w:themeColor="text1"/>
                <w:lang w:val="es-PE"/>
              </w:rPr>
              <w:t>Nombres y apellidos:</w:t>
            </w:r>
          </w:p>
        </w:tc>
        <w:tc>
          <w:tcPr>
            <w:tcW w:w="6612" w:type="dxa"/>
          </w:tcPr>
          <w:p w14:paraId="6773FC00" w14:textId="77777777" w:rsidR="005C3887" w:rsidRPr="00BD7937" w:rsidRDefault="005C3887" w:rsidP="000656DA">
            <w:pPr>
              <w:rPr>
                <w:b/>
                <w:bCs/>
                <w:color w:val="000000" w:themeColor="text1"/>
                <w:lang w:val="es-PE"/>
              </w:rPr>
            </w:pPr>
          </w:p>
        </w:tc>
      </w:tr>
    </w:tbl>
    <w:p w14:paraId="3863E12C" w14:textId="77777777" w:rsidR="005C3887" w:rsidRPr="00BD7937" w:rsidRDefault="005C3887" w:rsidP="005C3887">
      <w:pPr>
        <w:rPr>
          <w:b/>
          <w:bCs/>
          <w:color w:val="000000" w:themeColor="text1"/>
          <w:lang w:val="es-PE"/>
        </w:rPr>
      </w:pPr>
    </w:p>
    <w:p w14:paraId="6AC22408" w14:textId="77777777" w:rsidR="005C3887" w:rsidRPr="00BD7937" w:rsidRDefault="005C3887" w:rsidP="005C3887">
      <w:pPr>
        <w:jc w:val="center"/>
        <w:rPr>
          <w:b/>
          <w:bCs/>
          <w:color w:val="000000" w:themeColor="text1"/>
          <w:lang w:val="es-PE"/>
        </w:rPr>
      </w:pPr>
      <w:r w:rsidRPr="00BD7937">
        <w:rPr>
          <w:b/>
          <w:bCs/>
          <w:color w:val="000000" w:themeColor="text1"/>
          <w:lang w:val="es-PE"/>
        </w:rPr>
        <w:t>Material de prácticas</w:t>
      </w:r>
    </w:p>
    <w:p w14:paraId="34ED38F3" w14:textId="27A640CE" w:rsidR="005C3887" w:rsidRPr="00BD7937" w:rsidRDefault="005C3887" w:rsidP="005C3887">
      <w:pPr>
        <w:jc w:val="center"/>
        <w:rPr>
          <w:b/>
          <w:bCs/>
          <w:color w:val="000000" w:themeColor="text1"/>
          <w:lang w:val="es-PE"/>
        </w:rPr>
      </w:pPr>
      <w:r w:rsidRPr="00BD7937">
        <w:rPr>
          <w:b/>
          <w:bCs/>
          <w:color w:val="000000" w:themeColor="text1"/>
          <w:lang w:val="es-PE"/>
        </w:rPr>
        <w:t xml:space="preserve">Unidad </w:t>
      </w:r>
      <w:r>
        <w:rPr>
          <w:b/>
          <w:bCs/>
          <w:color w:val="000000" w:themeColor="text1"/>
          <w:lang w:val="es-PE"/>
        </w:rPr>
        <w:t>1</w:t>
      </w:r>
      <w:r w:rsidRPr="00BD7937">
        <w:rPr>
          <w:b/>
          <w:bCs/>
          <w:color w:val="000000" w:themeColor="text1"/>
          <w:lang w:val="es-PE"/>
        </w:rPr>
        <w:t xml:space="preserve">. </w:t>
      </w:r>
      <w:r>
        <w:rPr>
          <w:b/>
          <w:bCs/>
          <w:color w:val="000000" w:themeColor="text1"/>
          <w:lang w:val="es-PE"/>
        </w:rPr>
        <w:t xml:space="preserve">Textos argumentativos y textos no-argumentativos </w:t>
      </w:r>
    </w:p>
    <w:p w14:paraId="43045C4B" w14:textId="77777777" w:rsidR="005C3887" w:rsidRDefault="005C3887" w:rsidP="008F792A">
      <w:pPr>
        <w:spacing w:after="0"/>
        <w:jc w:val="both"/>
        <w:rPr>
          <w:b/>
          <w:bCs/>
          <w:lang w:val="es-PE"/>
        </w:rPr>
      </w:pPr>
    </w:p>
    <w:p w14:paraId="3A55D348" w14:textId="0D745598" w:rsidR="008F792A" w:rsidRDefault="008F792A" w:rsidP="008F792A">
      <w:pPr>
        <w:spacing w:after="0"/>
        <w:jc w:val="both"/>
        <w:rPr>
          <w:b/>
          <w:bCs/>
          <w:lang w:val="es-PE"/>
        </w:rPr>
      </w:pPr>
      <w:r w:rsidRPr="004F36DA">
        <w:rPr>
          <w:b/>
          <w:bCs/>
          <w:lang w:val="es-PE"/>
        </w:rPr>
        <w:t xml:space="preserve">Ejercicio de aplicación </w:t>
      </w:r>
      <w:r>
        <w:rPr>
          <w:b/>
          <w:bCs/>
          <w:lang w:val="es-PE"/>
        </w:rPr>
        <w:t>1</w:t>
      </w:r>
      <w:r w:rsidRPr="004F36DA">
        <w:rPr>
          <w:b/>
          <w:bCs/>
          <w:lang w:val="es-PE"/>
        </w:rPr>
        <w:t xml:space="preserve"> </w:t>
      </w:r>
    </w:p>
    <w:p w14:paraId="68CDCD9C" w14:textId="4746BB8C" w:rsidR="008F792A" w:rsidRDefault="008F792A" w:rsidP="008F792A">
      <w:pPr>
        <w:spacing w:after="0"/>
        <w:jc w:val="both"/>
        <w:rPr>
          <w:b/>
          <w:bCs/>
          <w:lang w:val="es-PE"/>
        </w:rPr>
      </w:pPr>
      <w:r>
        <w:rPr>
          <w:b/>
          <w:bCs/>
          <w:lang w:val="es-PE"/>
        </w:rPr>
        <w:t>En la siguiente</w:t>
      </w:r>
      <w:r w:rsidRPr="004F36DA">
        <w:rPr>
          <w:b/>
          <w:bCs/>
          <w:lang w:val="es-PE"/>
        </w:rPr>
        <w:t xml:space="preserve"> lista </w:t>
      </w:r>
      <w:r>
        <w:rPr>
          <w:b/>
          <w:bCs/>
          <w:lang w:val="es-PE"/>
        </w:rPr>
        <w:t>de textos, cuáles son argumentos y cuáles no son</w:t>
      </w:r>
      <w:r w:rsidRPr="004F36DA">
        <w:rPr>
          <w:b/>
          <w:bCs/>
          <w:lang w:val="es-PE"/>
        </w:rPr>
        <w:t xml:space="preserve"> argumentos</w:t>
      </w:r>
    </w:p>
    <w:p w14:paraId="017C2167" w14:textId="77777777" w:rsidR="008F792A" w:rsidRDefault="008F792A" w:rsidP="008F792A">
      <w:pPr>
        <w:spacing w:after="0"/>
        <w:jc w:val="both"/>
        <w:rPr>
          <w:b/>
          <w:bCs/>
          <w:lang w:val="es-PE"/>
        </w:rPr>
      </w:pPr>
    </w:p>
    <w:p w14:paraId="5DAFDCA4" w14:textId="657A8DED" w:rsidR="009045B6" w:rsidRDefault="009045B6" w:rsidP="00D43DEF">
      <w:pPr>
        <w:pStyle w:val="ListParagraph"/>
        <w:rPr>
          <w:lang w:val="es-PE"/>
        </w:rPr>
      </w:pPr>
      <w:r w:rsidRPr="009045B6">
        <w:rPr>
          <w:lang w:val="es-PE"/>
        </w:rPr>
        <w:t xml:space="preserve">“La Sociedad Peruana de Derecho Ambiental (SPDA) instó a la presidenta Dina Boluarte a declarar el estado de emergencia en las más de 20 regiones afectadas por los incendios, con el objetivo de implementar medidas urgentes, como recibir apoyo internacional. Además, la SPDA resaltó la necesidad de una acción coordinada entre </w:t>
      </w:r>
      <w:proofErr w:type="spellStart"/>
      <w:r w:rsidRPr="009045B6">
        <w:rPr>
          <w:lang w:val="es-PE"/>
        </w:rPr>
        <w:t>Serfor</w:t>
      </w:r>
      <w:proofErr w:type="spellEnd"/>
      <w:r w:rsidRPr="009045B6">
        <w:rPr>
          <w:lang w:val="es-PE"/>
        </w:rPr>
        <w:t xml:space="preserve"> y los gobiernos regionales para enfrentar la crisis ambiental actual</w:t>
      </w:r>
      <w:r>
        <w:rPr>
          <w:lang w:val="es-PE"/>
        </w:rPr>
        <w:t>” (</w:t>
      </w:r>
      <w:hyperlink r:id="rId9" w:history="1">
        <w:r w:rsidRPr="009045B6">
          <w:rPr>
            <w:rStyle w:val="Hyperlink"/>
            <w:i/>
            <w:iCs/>
            <w:lang w:val="es-PE"/>
          </w:rPr>
          <w:t>El Comercio</w:t>
        </w:r>
      </w:hyperlink>
      <w:r>
        <w:rPr>
          <w:lang w:val="es-PE"/>
        </w:rPr>
        <w:t>, 18 de septiembre de 2024).</w:t>
      </w:r>
    </w:p>
    <w:p w14:paraId="4E156936" w14:textId="77777777" w:rsidR="000438E6" w:rsidRPr="00D43DEF" w:rsidRDefault="000438E6" w:rsidP="002946B6">
      <w:pPr>
        <w:pStyle w:val="ListParagraph"/>
        <w:numPr>
          <w:ilvl w:val="0"/>
          <w:numId w:val="0"/>
        </w:numPr>
        <w:ind w:left="720"/>
        <w:rPr>
          <w:lang w:val="es-PE"/>
        </w:rPr>
      </w:pPr>
    </w:p>
    <w:p w14:paraId="162C6ACB" w14:textId="32AC6B01" w:rsidR="006223B0" w:rsidRDefault="006223B0" w:rsidP="00D43DEF">
      <w:pPr>
        <w:pStyle w:val="ListParagraph"/>
        <w:rPr>
          <w:lang w:val="es-PE"/>
        </w:rPr>
      </w:pPr>
      <w:r w:rsidRPr="00674C87">
        <w:rPr>
          <w:lang w:val="es-PE"/>
        </w:rPr>
        <w:t xml:space="preserve">“Es una tarea más fácil la de dividir los argumentos en válidos e inválidos cuando se les expresa con el lenguaje simbólico especial, pues en </w:t>
      </w:r>
      <w:proofErr w:type="gramStart"/>
      <w:r w:rsidRPr="00674C87">
        <w:rPr>
          <w:lang w:val="es-PE"/>
        </w:rPr>
        <w:t>éste</w:t>
      </w:r>
      <w:proofErr w:type="gramEnd"/>
      <w:r>
        <w:rPr>
          <w:lang w:val="es-PE"/>
        </w:rPr>
        <w:t xml:space="preserve"> </w:t>
      </w:r>
      <w:r w:rsidRPr="00674C87">
        <w:rPr>
          <w:lang w:val="es-PE"/>
        </w:rPr>
        <w:t>no se dan los problemas periféricos de vaguedad, ambigüedad, peculiaridades idiomáticas, metáforas y anfibología” (</w:t>
      </w:r>
      <w:proofErr w:type="spellStart"/>
      <w:r w:rsidRPr="00674C87">
        <w:rPr>
          <w:lang w:val="es-PE"/>
        </w:rPr>
        <w:t>Copi</w:t>
      </w:r>
      <w:proofErr w:type="spellEnd"/>
      <w:r w:rsidRPr="00674C87">
        <w:rPr>
          <w:lang w:val="es-PE"/>
        </w:rPr>
        <w:t>, 2001, p. 21).</w:t>
      </w:r>
    </w:p>
    <w:p w14:paraId="31D9ECF9" w14:textId="77777777" w:rsidR="002946B6" w:rsidRDefault="002946B6" w:rsidP="002946B6">
      <w:pPr>
        <w:pStyle w:val="ListParagraph"/>
        <w:numPr>
          <w:ilvl w:val="0"/>
          <w:numId w:val="0"/>
        </w:numPr>
        <w:ind w:left="720"/>
        <w:rPr>
          <w:lang w:val="es-PE"/>
        </w:rPr>
      </w:pPr>
    </w:p>
    <w:p w14:paraId="05A9C12E" w14:textId="3AFA5D4C" w:rsidR="009B1515" w:rsidRDefault="009B1515" w:rsidP="00D43DEF">
      <w:pPr>
        <w:pStyle w:val="ListParagraph"/>
        <w:rPr>
          <w:lang w:val="es-PE"/>
        </w:rPr>
      </w:pPr>
      <w:r w:rsidRPr="009B1515">
        <w:rPr>
          <w:lang w:val="es-PE"/>
        </w:rPr>
        <w:t>El cielo es azul.</w:t>
      </w:r>
      <w:r w:rsidR="0019353B">
        <w:rPr>
          <w:lang w:val="es-PE"/>
        </w:rPr>
        <w:t xml:space="preserve"> El mar es azul. El pasto es verde. La leche es blanca. Las manzanas son rojas.</w:t>
      </w:r>
    </w:p>
    <w:p w14:paraId="1F99A39F" w14:textId="77777777" w:rsidR="00831454" w:rsidRPr="00831454" w:rsidRDefault="00831454" w:rsidP="00831454">
      <w:pPr>
        <w:pStyle w:val="ListParagraph"/>
        <w:numPr>
          <w:ilvl w:val="0"/>
          <w:numId w:val="0"/>
        </w:numPr>
        <w:ind w:left="714"/>
        <w:rPr>
          <w:lang w:val="es-PE"/>
        </w:rPr>
      </w:pPr>
    </w:p>
    <w:p w14:paraId="4919D729" w14:textId="37085044" w:rsidR="000C41B2" w:rsidRDefault="000C41B2" w:rsidP="00D43DEF">
      <w:pPr>
        <w:pStyle w:val="ListParagraph"/>
        <w:rPr>
          <w:lang w:val="es-PE"/>
        </w:rPr>
      </w:pPr>
      <w:r>
        <w:rPr>
          <w:lang w:val="es-PE"/>
        </w:rPr>
        <w:t>“</w:t>
      </w:r>
      <w:r w:rsidRPr="000C41B2">
        <w:rPr>
          <w:lang w:val="es-PE"/>
        </w:rPr>
        <w:t xml:space="preserve">En el patio de la escuela una niña se me acerca con su hermanito de primer grado y le ordena que saque uno de sus cuadernos de su mochila. La niña abre el cuaderno y me dice: </w:t>
      </w:r>
      <w:r>
        <w:rPr>
          <w:lang w:val="es-PE"/>
        </w:rPr>
        <w:t>«</w:t>
      </w:r>
      <w:r w:rsidRPr="000C41B2">
        <w:rPr>
          <w:lang w:val="es-PE"/>
        </w:rPr>
        <w:t xml:space="preserve">enséñale, </w:t>
      </w:r>
      <w:r w:rsidRPr="000C41B2">
        <w:rPr>
          <w:i/>
          <w:iCs/>
          <w:lang w:val="es-PE"/>
        </w:rPr>
        <w:t>profesora</w:t>
      </w:r>
      <w:r>
        <w:rPr>
          <w:lang w:val="es-PE"/>
        </w:rPr>
        <w:t>»</w:t>
      </w:r>
      <w:r w:rsidRPr="000C41B2">
        <w:rPr>
          <w:lang w:val="es-PE"/>
        </w:rPr>
        <w:t xml:space="preserve">. No entiendo a qué se refiere y le pregunto: </w:t>
      </w:r>
      <w:r w:rsidRPr="000C41B2">
        <w:rPr>
          <w:i/>
          <w:iCs/>
          <w:lang w:val="es-PE"/>
        </w:rPr>
        <w:t>¿qué le enseño? Lo que sabes pues profesora, ¡enséñale!</w:t>
      </w:r>
      <w:r>
        <w:rPr>
          <w:lang w:val="es-PE"/>
        </w:rPr>
        <w:t>”</w:t>
      </w:r>
      <w:r w:rsidRPr="000C41B2">
        <w:rPr>
          <w:lang w:val="es-PE"/>
        </w:rPr>
        <w:t xml:space="preserve"> (Ponce, 2009</w:t>
      </w:r>
      <w:r>
        <w:rPr>
          <w:lang w:val="es-PE"/>
        </w:rPr>
        <w:t>, citada por Vich, 2010, p. 160</w:t>
      </w:r>
      <w:r w:rsidRPr="000C41B2">
        <w:rPr>
          <w:lang w:val="es-PE"/>
        </w:rPr>
        <w:t>; énfasis en el original).</w:t>
      </w:r>
    </w:p>
    <w:p w14:paraId="7F602784" w14:textId="77777777" w:rsidR="000C41B2" w:rsidRPr="000C41B2" w:rsidRDefault="000C41B2" w:rsidP="000C41B2">
      <w:pPr>
        <w:pStyle w:val="ListParagraph"/>
        <w:numPr>
          <w:ilvl w:val="0"/>
          <w:numId w:val="0"/>
        </w:numPr>
        <w:ind w:left="714"/>
        <w:rPr>
          <w:lang w:val="es-PE"/>
        </w:rPr>
      </w:pPr>
    </w:p>
    <w:p w14:paraId="4110C63D" w14:textId="647B9BD7" w:rsidR="006D4E66" w:rsidRDefault="006D4E66" w:rsidP="00D43DEF">
      <w:pPr>
        <w:pStyle w:val="ListParagraph"/>
        <w:rPr>
          <w:lang w:val="es-PE"/>
        </w:rPr>
      </w:pPr>
      <w:r>
        <w:rPr>
          <w:lang w:val="es-PE"/>
        </w:rPr>
        <w:t>“</w:t>
      </w:r>
      <w:r w:rsidRPr="006D4E66">
        <w:rPr>
          <w:lang w:val="es-PE"/>
        </w:rPr>
        <w:t>Existen preguntas sin respuesta, que son el espíritu de la ciencia y el sentido común hecho inquietud. Existen respuestas sin preguntas, que son el espíritu del arte y la conciencia dialéctica de las cosas</w:t>
      </w:r>
      <w:r>
        <w:rPr>
          <w:lang w:val="es-PE"/>
        </w:rPr>
        <w:t>” (Vallejo, 1973, p. 18).</w:t>
      </w:r>
    </w:p>
    <w:p w14:paraId="3B91F07F" w14:textId="77777777" w:rsidR="006D4E66" w:rsidRPr="006D4E66" w:rsidRDefault="006D4E66" w:rsidP="006D4E66">
      <w:pPr>
        <w:pStyle w:val="ListParagraph"/>
        <w:numPr>
          <w:ilvl w:val="0"/>
          <w:numId w:val="0"/>
        </w:numPr>
        <w:ind w:left="714"/>
        <w:rPr>
          <w:lang w:val="es-PE"/>
        </w:rPr>
      </w:pPr>
    </w:p>
    <w:p w14:paraId="72D2E49F" w14:textId="532B5961" w:rsidR="00831454" w:rsidRPr="009B1515" w:rsidRDefault="00831454" w:rsidP="00D43DEF">
      <w:pPr>
        <w:pStyle w:val="ListParagraph"/>
        <w:rPr>
          <w:lang w:val="es-PE"/>
        </w:rPr>
      </w:pPr>
      <w:r w:rsidRPr="00831454">
        <w:rPr>
          <w:lang w:val="es-PE"/>
        </w:rPr>
        <w:t xml:space="preserve">La aceleración de un objeto en caída libre en la Tierra es de 9,8 </w:t>
      </w:r>
      <w:r w:rsidRPr="00831454">
        <w:t>𝑚</w:t>
      </w:r>
      <w:r w:rsidRPr="00831454">
        <w:rPr>
          <w:lang w:val="es-PE"/>
        </w:rPr>
        <w:t>/</w:t>
      </w:r>
      <w:r w:rsidRPr="00831454">
        <w:t>𝑠</w:t>
      </w:r>
      <w:r w:rsidRPr="00831454">
        <w:rPr>
          <w:vertAlign w:val="superscript"/>
          <w:lang w:val="es-PE"/>
        </w:rPr>
        <w:t>2</w:t>
      </w:r>
      <w:r>
        <w:rPr>
          <w:lang w:val="es-PE"/>
        </w:rPr>
        <w:t>.</w:t>
      </w:r>
    </w:p>
    <w:p w14:paraId="0A0EE158" w14:textId="77777777" w:rsidR="002946B6" w:rsidRDefault="002946B6" w:rsidP="002946B6">
      <w:pPr>
        <w:pStyle w:val="ListParagraph"/>
        <w:numPr>
          <w:ilvl w:val="0"/>
          <w:numId w:val="0"/>
        </w:numPr>
        <w:ind w:left="720"/>
        <w:rPr>
          <w:lang w:val="es-PE"/>
        </w:rPr>
      </w:pPr>
    </w:p>
    <w:p w14:paraId="59E425C7" w14:textId="1064E76C" w:rsidR="009B1515" w:rsidRDefault="009B1515" w:rsidP="00D43DEF">
      <w:pPr>
        <w:pStyle w:val="ListParagraph"/>
        <w:rPr>
          <w:lang w:val="es-PE"/>
        </w:rPr>
      </w:pPr>
      <w:r w:rsidRPr="009B1515">
        <w:rPr>
          <w:lang w:val="es-PE"/>
        </w:rPr>
        <w:t>Júpiter es el planeta más grande del sistema solar.</w:t>
      </w:r>
    </w:p>
    <w:p w14:paraId="0E2DCE21" w14:textId="77777777" w:rsidR="002946B6" w:rsidRDefault="002946B6" w:rsidP="002946B6">
      <w:pPr>
        <w:pStyle w:val="ListParagraph"/>
        <w:numPr>
          <w:ilvl w:val="0"/>
          <w:numId w:val="0"/>
        </w:numPr>
        <w:spacing w:line="240" w:lineRule="auto"/>
        <w:ind w:left="720"/>
        <w:rPr>
          <w:lang w:val="es-PE"/>
        </w:rPr>
      </w:pPr>
    </w:p>
    <w:p w14:paraId="4BDB63E4" w14:textId="77E7AEE7" w:rsidR="00957EF6" w:rsidRDefault="00957EF6" w:rsidP="002946B6">
      <w:pPr>
        <w:pStyle w:val="ListParagraph"/>
        <w:spacing w:line="240" w:lineRule="auto"/>
        <w:rPr>
          <w:lang w:val="es-PE"/>
        </w:rPr>
      </w:pPr>
      <w:r>
        <w:rPr>
          <w:lang w:val="es-PE"/>
        </w:rPr>
        <w:t xml:space="preserve">“¿Pretendéis que me apacigüe? ¿Qué domine </w:t>
      </w:r>
    </w:p>
    <w:p w14:paraId="3A93F154" w14:textId="77777777" w:rsidR="00957EF6" w:rsidRPr="00D43DEF" w:rsidRDefault="00957EF6" w:rsidP="002946B6">
      <w:pPr>
        <w:spacing w:after="0" w:line="240" w:lineRule="auto"/>
        <w:ind w:left="720"/>
        <w:rPr>
          <w:lang w:val="es-PE"/>
        </w:rPr>
      </w:pPr>
      <w:r w:rsidRPr="00D43DEF">
        <w:rPr>
          <w:lang w:val="es-PE"/>
        </w:rPr>
        <w:t xml:space="preserve">este amor ardiente y gozoso, este impulso </w:t>
      </w:r>
    </w:p>
    <w:p w14:paraId="589DF2A4" w14:textId="77777777" w:rsidR="00957EF6" w:rsidRPr="00D43DEF" w:rsidRDefault="00957EF6" w:rsidP="002946B6">
      <w:pPr>
        <w:spacing w:after="0" w:line="240" w:lineRule="auto"/>
        <w:ind w:left="720"/>
        <w:rPr>
          <w:lang w:val="es-PE"/>
        </w:rPr>
      </w:pPr>
      <w:r w:rsidRPr="00D43DEF">
        <w:rPr>
          <w:lang w:val="es-PE"/>
        </w:rPr>
        <w:t xml:space="preserve">hacia la verdad suprema? ¿Qué cante </w:t>
      </w:r>
    </w:p>
    <w:p w14:paraId="3E725039" w14:textId="77777777" w:rsidR="00957EF6" w:rsidRPr="00D43DEF" w:rsidRDefault="00957EF6" w:rsidP="002946B6">
      <w:pPr>
        <w:spacing w:after="0" w:line="240" w:lineRule="auto"/>
        <w:ind w:left="720"/>
        <w:rPr>
          <w:lang w:val="it-IT"/>
        </w:rPr>
      </w:pPr>
      <w:r w:rsidRPr="00D43DEF">
        <w:rPr>
          <w:lang w:val="it-IT"/>
        </w:rPr>
        <w:t>mi canto del cisne al borde del sepulcro</w:t>
      </w:r>
    </w:p>
    <w:p w14:paraId="427C81F5" w14:textId="77777777" w:rsidR="00957EF6" w:rsidRPr="00D43DEF" w:rsidRDefault="00957EF6" w:rsidP="002946B6">
      <w:pPr>
        <w:spacing w:after="0" w:line="240" w:lineRule="auto"/>
        <w:ind w:left="720"/>
        <w:rPr>
          <w:lang w:val="es-PE"/>
        </w:rPr>
      </w:pPr>
      <w:r w:rsidRPr="00D43DEF">
        <w:rPr>
          <w:lang w:val="es-PE"/>
        </w:rPr>
        <w:t>donde os complacéis en encerrarnos vivos?</w:t>
      </w:r>
    </w:p>
    <w:p w14:paraId="3D927962" w14:textId="77777777" w:rsidR="00957EF6" w:rsidRPr="00D43DEF" w:rsidRDefault="00957EF6" w:rsidP="002946B6">
      <w:pPr>
        <w:spacing w:after="0" w:line="240" w:lineRule="auto"/>
        <w:ind w:left="720"/>
        <w:rPr>
          <w:lang w:val="es-PE"/>
        </w:rPr>
      </w:pPr>
      <w:r w:rsidRPr="00D43DEF">
        <w:rPr>
          <w:lang w:val="es-PE"/>
        </w:rPr>
        <w:t>¡Perdonadme!, mas no obstante el poderoso impulso que lo arrastra</w:t>
      </w:r>
    </w:p>
    <w:p w14:paraId="3747753A" w14:textId="77777777" w:rsidR="00957EF6" w:rsidRPr="00D43DEF" w:rsidRDefault="00957EF6" w:rsidP="002946B6">
      <w:pPr>
        <w:spacing w:after="0" w:line="240" w:lineRule="auto"/>
        <w:ind w:left="720"/>
        <w:rPr>
          <w:lang w:val="es-PE"/>
        </w:rPr>
      </w:pPr>
      <w:r w:rsidRPr="00D43DEF">
        <w:rPr>
          <w:lang w:val="es-PE"/>
        </w:rPr>
        <w:t>el oleaje surgente de la vida</w:t>
      </w:r>
    </w:p>
    <w:p w14:paraId="4B68F6A1" w14:textId="77777777" w:rsidR="00957EF6" w:rsidRPr="00D43DEF" w:rsidRDefault="00957EF6" w:rsidP="002946B6">
      <w:pPr>
        <w:spacing w:after="0" w:line="240" w:lineRule="auto"/>
        <w:ind w:left="720"/>
        <w:rPr>
          <w:lang w:val="es-PE"/>
        </w:rPr>
      </w:pPr>
      <w:r w:rsidRPr="00D43DEF">
        <w:rPr>
          <w:lang w:val="es-PE"/>
        </w:rPr>
        <w:t>hierve impaciente en su angosto lecho</w:t>
      </w:r>
    </w:p>
    <w:p w14:paraId="7DD33DB7" w14:textId="5A8956EA" w:rsidR="000438E6" w:rsidRPr="00D43DEF" w:rsidRDefault="00957EF6" w:rsidP="002946B6">
      <w:pPr>
        <w:spacing w:after="0" w:line="240" w:lineRule="auto"/>
        <w:ind w:left="720"/>
        <w:rPr>
          <w:lang w:val="es-PE"/>
        </w:rPr>
      </w:pPr>
      <w:r w:rsidRPr="00D43DEF">
        <w:rPr>
          <w:lang w:val="es-PE"/>
        </w:rPr>
        <w:t>hasta el día en que descansar! en su mar natal” (Hölderlin, 1995, p. 49).</w:t>
      </w:r>
    </w:p>
    <w:p w14:paraId="6157B7C2" w14:textId="77777777" w:rsidR="002946B6" w:rsidRDefault="002946B6" w:rsidP="002946B6">
      <w:pPr>
        <w:pStyle w:val="ListParagraph"/>
        <w:numPr>
          <w:ilvl w:val="0"/>
          <w:numId w:val="0"/>
        </w:numPr>
        <w:ind w:left="714"/>
        <w:rPr>
          <w:lang w:val="es-PE"/>
        </w:rPr>
      </w:pPr>
    </w:p>
    <w:p w14:paraId="419C629E" w14:textId="70F77BDD" w:rsidR="006223B0" w:rsidRDefault="006223B0" w:rsidP="00D43DEF">
      <w:pPr>
        <w:pStyle w:val="ListParagraph"/>
        <w:rPr>
          <w:lang w:val="es-PE"/>
        </w:rPr>
      </w:pPr>
      <w:r w:rsidRPr="00674C87">
        <w:rPr>
          <w:lang w:val="es-PE"/>
        </w:rPr>
        <w:t>“Si las premisas son un fundamento adecuado para aceptar la conclusión, si afirmar que las premisas son verdaderas garantiza el afirmar la verdad de la conclusión, entonces el razona miento es correcto. De otra manera es incorrecto” (</w:t>
      </w:r>
      <w:proofErr w:type="spellStart"/>
      <w:r w:rsidRPr="00674C87">
        <w:rPr>
          <w:lang w:val="es-PE"/>
        </w:rPr>
        <w:t>Copi</w:t>
      </w:r>
      <w:proofErr w:type="spellEnd"/>
      <w:r w:rsidRPr="00674C87">
        <w:rPr>
          <w:lang w:val="es-PE"/>
        </w:rPr>
        <w:t>, 2001, p. 16).</w:t>
      </w:r>
    </w:p>
    <w:p w14:paraId="06B6A6A5" w14:textId="77777777" w:rsidR="00272D97" w:rsidRDefault="00272D97" w:rsidP="00272D97">
      <w:pPr>
        <w:pStyle w:val="ListParagraph"/>
        <w:numPr>
          <w:ilvl w:val="0"/>
          <w:numId w:val="0"/>
        </w:numPr>
        <w:ind w:left="714"/>
        <w:rPr>
          <w:lang w:val="es-PE"/>
        </w:rPr>
      </w:pPr>
    </w:p>
    <w:p w14:paraId="17FE49B8" w14:textId="75167C11" w:rsidR="00272D97" w:rsidRPr="006D4E66" w:rsidRDefault="00272D97" w:rsidP="00D43DEF">
      <w:pPr>
        <w:pStyle w:val="ListParagraph"/>
        <w:rPr>
          <w:spacing w:val="-2"/>
          <w:lang w:val="es-PE"/>
        </w:rPr>
      </w:pPr>
      <w:r w:rsidRPr="006D4E66">
        <w:rPr>
          <w:spacing w:val="-2"/>
          <w:lang w:val="es-PE"/>
        </w:rPr>
        <w:t>“El nuevo milenio comenzó en el Perú con la reforma anticorrupción más amplia e intensa de su historia moderna. Rara vez antes las instituciones públicas se habían visto sujetas al escrutinio interno y externo, dirigido a limitar y castigar la corrupción burocrática. la cobertura mediática de las investigaciones sobre la corrupción y sus nocivos efectos tuvo un impacto significativo en la conciencia pública. Estos avances contra de la corrupción, rampante apenas unos meses antes, fueron estimulantes y brindaron esperanzas. No obstante, a juzgar por las campañas anticorrupción del pasado, la lucha hacia adelante era compleja y enorme. La sostenibilidad de este combate se enfrentaba a desafíos e incertidumbres aparentemente infranqueables” (Quiroz, 2013, p. 520)</w:t>
      </w:r>
      <w:r w:rsidR="006D4E66" w:rsidRPr="006D4E66">
        <w:rPr>
          <w:spacing w:val="-2"/>
          <w:lang w:val="es-PE"/>
        </w:rPr>
        <w:t>.</w:t>
      </w:r>
    </w:p>
    <w:p w14:paraId="6BFC1898" w14:textId="77777777" w:rsidR="002946B6" w:rsidRDefault="002946B6" w:rsidP="002946B6">
      <w:pPr>
        <w:pStyle w:val="ListParagraph"/>
        <w:numPr>
          <w:ilvl w:val="0"/>
          <w:numId w:val="0"/>
        </w:numPr>
        <w:ind w:left="714"/>
        <w:rPr>
          <w:lang w:val="es-PE"/>
        </w:rPr>
      </w:pPr>
    </w:p>
    <w:p w14:paraId="7F45F5F4" w14:textId="7D316BA8" w:rsidR="0007305C" w:rsidRPr="009B1515" w:rsidRDefault="0007305C" w:rsidP="00D43DEF">
      <w:pPr>
        <w:pStyle w:val="ListParagraph"/>
        <w:rPr>
          <w:lang w:val="es-PE"/>
        </w:rPr>
      </w:pPr>
      <w:r w:rsidRPr="0007305C">
        <w:rPr>
          <w:lang w:val="es-PE"/>
        </w:rPr>
        <w:t xml:space="preserve">“Pero nosotros acabamos de ver que es imposible ser y no ser simultáneamente, y de este modo hemos mostrado que éste es el más firme de todos los principios” </w:t>
      </w:r>
      <w:r>
        <w:rPr>
          <w:lang w:val="es-PE"/>
        </w:rPr>
        <w:t>(Aristóteles, 1998, p. 169).</w:t>
      </w:r>
    </w:p>
    <w:p w14:paraId="21B376A9" w14:textId="77777777" w:rsidR="002946B6" w:rsidRDefault="002946B6" w:rsidP="002946B6">
      <w:pPr>
        <w:pStyle w:val="ListParagraph"/>
        <w:numPr>
          <w:ilvl w:val="0"/>
          <w:numId w:val="0"/>
        </w:numPr>
        <w:ind w:left="720"/>
        <w:rPr>
          <w:lang w:val="es-PE"/>
        </w:rPr>
      </w:pPr>
    </w:p>
    <w:p w14:paraId="480D9919" w14:textId="4AB1CA87" w:rsidR="009B1515" w:rsidRDefault="008A77C1" w:rsidP="00D43DEF">
      <w:pPr>
        <w:pStyle w:val="ListParagraph"/>
        <w:rPr>
          <w:lang w:val="es-PE"/>
        </w:rPr>
      </w:pPr>
      <w:r>
        <w:rPr>
          <w:lang w:val="es-PE"/>
        </w:rPr>
        <w:t>En</w:t>
      </w:r>
      <w:r w:rsidR="009B1515" w:rsidRPr="009B1515">
        <w:rPr>
          <w:lang w:val="es-PE"/>
        </w:rPr>
        <w:t xml:space="preserve"> </w:t>
      </w:r>
      <w:r>
        <w:rPr>
          <w:lang w:val="es-PE"/>
        </w:rPr>
        <w:t xml:space="preserve">la </w:t>
      </w:r>
      <w:r w:rsidR="009B1515" w:rsidRPr="009B1515">
        <w:rPr>
          <w:i/>
          <w:iCs/>
          <w:lang w:val="es-PE"/>
        </w:rPr>
        <w:t>Monadología</w:t>
      </w:r>
      <w:r>
        <w:rPr>
          <w:lang w:val="es-PE"/>
        </w:rPr>
        <w:t xml:space="preserve">, </w:t>
      </w:r>
      <w:r w:rsidRPr="009B1515">
        <w:rPr>
          <w:lang w:val="es-PE"/>
        </w:rPr>
        <w:t>Leibniz</w:t>
      </w:r>
      <w:r>
        <w:rPr>
          <w:lang w:val="es-PE"/>
        </w:rPr>
        <w:t xml:space="preserve"> afirma</w:t>
      </w:r>
      <w:r w:rsidR="009B1515" w:rsidRPr="009B1515">
        <w:rPr>
          <w:lang w:val="es-PE"/>
        </w:rPr>
        <w:t xml:space="preserve">: “Debe haber sustancias simples, puesto que las hay compuestas; ya que una sustancia compuesta no es nada más que una colección </w:t>
      </w:r>
      <w:r w:rsidR="009B1515">
        <w:rPr>
          <w:lang w:val="es-PE"/>
        </w:rPr>
        <w:t xml:space="preserve">o </w:t>
      </w:r>
      <w:r w:rsidR="009B1515" w:rsidRPr="009B1515">
        <w:rPr>
          <w:i/>
          <w:iCs/>
          <w:lang w:val="es-PE"/>
        </w:rPr>
        <w:t>agregado</w:t>
      </w:r>
      <w:r w:rsidR="009B1515">
        <w:rPr>
          <w:lang w:val="es-PE"/>
        </w:rPr>
        <w:t xml:space="preserve"> </w:t>
      </w:r>
      <w:r w:rsidR="009B1515" w:rsidRPr="009B1515">
        <w:rPr>
          <w:lang w:val="es-PE"/>
        </w:rPr>
        <w:t>de sustancias simples”</w:t>
      </w:r>
      <w:r w:rsidR="009B1515">
        <w:rPr>
          <w:lang w:val="es-PE"/>
        </w:rPr>
        <w:t xml:space="preserve"> (citado por </w:t>
      </w:r>
      <w:proofErr w:type="spellStart"/>
      <w:r w:rsidR="009B1515">
        <w:rPr>
          <w:lang w:val="es-PE"/>
        </w:rPr>
        <w:t>Copi</w:t>
      </w:r>
      <w:proofErr w:type="spellEnd"/>
      <w:r w:rsidR="009B1515">
        <w:rPr>
          <w:lang w:val="es-PE"/>
        </w:rPr>
        <w:t>, 2019, p. 11).</w:t>
      </w:r>
    </w:p>
    <w:p w14:paraId="7D4B745E" w14:textId="77777777" w:rsidR="00C30B91" w:rsidRPr="00C30B91" w:rsidRDefault="00C30B91" w:rsidP="00C30B91">
      <w:pPr>
        <w:pStyle w:val="ListParagraph"/>
        <w:numPr>
          <w:ilvl w:val="0"/>
          <w:numId w:val="0"/>
        </w:numPr>
        <w:ind w:left="714"/>
        <w:rPr>
          <w:lang w:val="es-PE"/>
        </w:rPr>
      </w:pPr>
    </w:p>
    <w:p w14:paraId="53870158" w14:textId="1649CF6A" w:rsidR="00C30B91" w:rsidRDefault="00C30B91" w:rsidP="00D43DEF">
      <w:pPr>
        <w:pStyle w:val="ListParagraph"/>
        <w:rPr>
          <w:lang w:val="es-PE"/>
        </w:rPr>
      </w:pPr>
      <w:r>
        <w:rPr>
          <w:lang w:val="es-PE"/>
        </w:rPr>
        <w:t>“</w:t>
      </w:r>
      <w:r w:rsidRPr="00C30B91">
        <w:rPr>
          <w:i/>
          <w:iCs/>
          <w:lang w:val="es-PE"/>
        </w:rPr>
        <w:t>Prejuicio de los sabios</w:t>
      </w:r>
      <w:r w:rsidRPr="00C30B91">
        <w:rPr>
          <w:lang w:val="es-PE"/>
        </w:rPr>
        <w:t>. Los sabios están en lo cierto cuando juzgan que, en todas las épocas, los hombres se han hecho la ilusión d</w:t>
      </w:r>
      <w:r>
        <w:rPr>
          <w:lang w:val="es-PE"/>
        </w:rPr>
        <w:t>e</w:t>
      </w:r>
      <w:r w:rsidRPr="00C30B91">
        <w:rPr>
          <w:lang w:val="es-PE"/>
        </w:rPr>
        <w:t xml:space="preserve"> creer que ahora estamos mejor informados que en ninguna otra época</w:t>
      </w:r>
      <w:r>
        <w:rPr>
          <w:lang w:val="es-PE"/>
        </w:rPr>
        <w:t>” (Nietzsche, 1994, p. 35)</w:t>
      </w:r>
    </w:p>
    <w:p w14:paraId="26B00B64" w14:textId="77777777" w:rsidR="002946B6" w:rsidRDefault="002946B6" w:rsidP="002946B6">
      <w:pPr>
        <w:pStyle w:val="ListParagraph"/>
        <w:numPr>
          <w:ilvl w:val="0"/>
          <w:numId w:val="0"/>
        </w:numPr>
        <w:ind w:left="720"/>
        <w:rPr>
          <w:lang w:val="es-PE"/>
        </w:rPr>
      </w:pPr>
    </w:p>
    <w:p w14:paraId="1086AE32" w14:textId="407A1623" w:rsidR="00876520" w:rsidRDefault="00876520" w:rsidP="00D43DEF">
      <w:pPr>
        <w:pStyle w:val="ListParagraph"/>
        <w:rPr>
          <w:lang w:val="es-PE"/>
        </w:rPr>
      </w:pPr>
      <w:r>
        <w:rPr>
          <w:lang w:val="es-PE"/>
        </w:rPr>
        <w:t>“Todo ser humano, a la vez que obedece las leyes generales de su especie, es un individuo absolutamente singular, encerrado en el momento en el que entra en la vida y el momento en que sale de ella, siguiendo un movimiento en un único sentido” (Todorov, 2010, p. 128).</w:t>
      </w:r>
    </w:p>
    <w:p w14:paraId="42D6AB65" w14:textId="77777777" w:rsidR="002946B6" w:rsidRDefault="002946B6" w:rsidP="002946B6">
      <w:pPr>
        <w:pStyle w:val="ListParagraph"/>
        <w:numPr>
          <w:ilvl w:val="0"/>
          <w:numId w:val="0"/>
        </w:numPr>
        <w:ind w:left="720"/>
        <w:rPr>
          <w:lang w:val="es-PE"/>
        </w:rPr>
      </w:pPr>
    </w:p>
    <w:p w14:paraId="68D740DB" w14:textId="1AEAF571" w:rsidR="000438E6" w:rsidRDefault="00045BDB" w:rsidP="00D43DEF">
      <w:pPr>
        <w:pStyle w:val="ListParagraph"/>
        <w:rPr>
          <w:lang w:val="es-PE"/>
        </w:rPr>
      </w:pPr>
      <w:r>
        <w:rPr>
          <w:lang w:val="es-PE"/>
        </w:rPr>
        <w:t>“</w:t>
      </w:r>
      <w:r w:rsidR="009B1515" w:rsidRPr="009B1515">
        <w:rPr>
          <w:lang w:val="es-PE"/>
        </w:rPr>
        <w:t>Nadie estaba presente cuando surgió la vida por primera vez en la Tierra. Por lo tanto, cualquier enunciado acerca del origen de la vida tiene que ser considerado una teoría, no un hecho</w:t>
      </w:r>
      <w:r>
        <w:rPr>
          <w:lang w:val="es-PE"/>
        </w:rPr>
        <w:t>”</w:t>
      </w:r>
      <w:r w:rsidR="009B1515" w:rsidRPr="009B1515">
        <w:rPr>
          <w:lang w:val="es-PE"/>
        </w:rPr>
        <w:t>.</w:t>
      </w:r>
      <w:r w:rsidR="009B1515">
        <w:rPr>
          <w:rStyle w:val="FootnoteReference"/>
          <w:lang w:val="es-PE"/>
        </w:rPr>
        <w:footnoteReference w:id="1"/>
      </w:r>
    </w:p>
    <w:p w14:paraId="7DB03416" w14:textId="77777777" w:rsidR="00D43DEF" w:rsidRPr="00D43DEF" w:rsidRDefault="00D43DEF" w:rsidP="00D43DEF">
      <w:pPr>
        <w:pStyle w:val="ListParagraph"/>
        <w:numPr>
          <w:ilvl w:val="0"/>
          <w:numId w:val="0"/>
        </w:numPr>
        <w:ind w:left="720"/>
        <w:rPr>
          <w:lang w:val="es-PE"/>
        </w:rPr>
      </w:pPr>
    </w:p>
    <w:p w14:paraId="0AC0C17D" w14:textId="419E16A3" w:rsidR="000438E6" w:rsidRDefault="000438E6" w:rsidP="00D43DEF">
      <w:pPr>
        <w:pStyle w:val="ListParagraph"/>
        <w:rPr>
          <w:lang w:val="es-PE"/>
        </w:rPr>
      </w:pPr>
      <w:r w:rsidRPr="000438E6">
        <w:rPr>
          <w:lang w:val="es-PE"/>
        </w:rPr>
        <w:t xml:space="preserve">“Querido Alfred: </w:t>
      </w:r>
    </w:p>
    <w:p w14:paraId="20FE30ED" w14:textId="77777777" w:rsidR="000438E6" w:rsidRPr="00D43DEF" w:rsidRDefault="000438E6" w:rsidP="002946B6">
      <w:pPr>
        <w:ind w:left="720" w:firstLine="720"/>
        <w:rPr>
          <w:lang w:val="es-PE"/>
        </w:rPr>
      </w:pPr>
      <w:r w:rsidRPr="00D43DEF">
        <w:rPr>
          <w:lang w:val="es-PE"/>
        </w:rPr>
        <w:t xml:space="preserve">No te deshagas de lo que he escrito. Aunque no sea todo oro, hay ciertamente oro en ello. Creo que hay cosas aquí que algún día se apreciarán mucho más de lo que se aprecian hoy. Procura que nada se pierda. </w:t>
      </w:r>
    </w:p>
    <w:p w14:paraId="59EFD84F" w14:textId="77777777" w:rsidR="000438E6" w:rsidRPr="00D43DEF" w:rsidRDefault="000438E6" w:rsidP="00D43DEF">
      <w:pPr>
        <w:ind w:left="720"/>
        <w:jc w:val="right"/>
        <w:rPr>
          <w:lang w:val="es-PE"/>
        </w:rPr>
      </w:pPr>
      <w:r w:rsidRPr="00D43DEF">
        <w:rPr>
          <w:lang w:val="es-PE"/>
        </w:rPr>
        <w:t xml:space="preserve">Tu padre que te quiere. </w:t>
      </w:r>
    </w:p>
    <w:p w14:paraId="40DFF0FD" w14:textId="6BBCEDD8" w:rsidR="000438E6" w:rsidRDefault="000438E6" w:rsidP="002946B6">
      <w:pPr>
        <w:ind w:left="720" w:firstLine="720"/>
        <w:rPr>
          <w:lang w:val="es-PE"/>
        </w:rPr>
      </w:pPr>
      <w:r w:rsidRPr="00D43DEF">
        <w:rPr>
          <w:lang w:val="es-PE"/>
        </w:rPr>
        <w:t xml:space="preserve">Lo que te lego con esto es una parte de mí mismo” (Frege, </w:t>
      </w:r>
      <w:r w:rsidR="005C3887" w:rsidRPr="00D43DEF">
        <w:rPr>
          <w:lang w:val="es-PE"/>
        </w:rPr>
        <w:t>1925).</w:t>
      </w:r>
      <w:r w:rsidR="005C3887">
        <w:rPr>
          <w:rStyle w:val="FootnoteReference"/>
          <w:lang w:val="es-PE"/>
        </w:rPr>
        <w:footnoteReference w:id="2"/>
      </w:r>
      <w:r w:rsidR="005C3887" w:rsidRPr="00D43DEF">
        <w:rPr>
          <w:lang w:val="es-PE"/>
        </w:rPr>
        <w:t xml:space="preserve"> </w:t>
      </w:r>
    </w:p>
    <w:p w14:paraId="0166E938" w14:textId="374D15F1" w:rsidR="006223B0" w:rsidRDefault="006223B0" w:rsidP="00D43DEF">
      <w:pPr>
        <w:pStyle w:val="ListParagraph"/>
        <w:rPr>
          <w:lang w:val="es-PE"/>
        </w:rPr>
      </w:pPr>
      <w:r>
        <w:rPr>
          <w:lang w:val="es-PE"/>
        </w:rPr>
        <w:t>“</w:t>
      </w:r>
      <w:r w:rsidRPr="006223B0">
        <w:rPr>
          <w:lang w:val="es-PE"/>
        </w:rPr>
        <w:t>Me hallaba yo en un campo de trigo maduro ante un hueco que había sido pisoteado sin miramientos por algún pie. Allí, entre los innumerables tallos todos iguales, derechos y cargados de pesadas espigas, vi una multiplicidad de flores azules, rojas y violetas, que en su naturalidad resultaban muy hermosas de ver con su follaje. Pero —pensé yo— son inútiles, estériles y en realidad simple maleza, que aquí se tolera únicamente porque no nos podemos librar de ella. Sin embargo, son lo único que da belleza y atractivo a esta vista. Así que su papel es en todos los respectos el mismo que desempeñan la poesía y las bellas artes en la seria, útil y fructífera vida civil; de ahí que puedan ser consideradas la alegoría de estas</w:t>
      </w:r>
      <w:r>
        <w:rPr>
          <w:lang w:val="es-PE"/>
        </w:rPr>
        <w:t>” (Schopenhauer, 2013, p. 660)</w:t>
      </w:r>
      <w:r w:rsidR="00B84C20">
        <w:rPr>
          <w:lang w:val="es-PE"/>
        </w:rPr>
        <w:t>.</w:t>
      </w:r>
    </w:p>
    <w:p w14:paraId="1F3FC4F8" w14:textId="77777777" w:rsidR="002946B6" w:rsidRDefault="002946B6" w:rsidP="002946B6">
      <w:pPr>
        <w:pStyle w:val="ListParagraph"/>
        <w:numPr>
          <w:ilvl w:val="0"/>
          <w:numId w:val="0"/>
        </w:numPr>
        <w:ind w:left="720"/>
        <w:rPr>
          <w:lang w:val="es-PE"/>
        </w:rPr>
      </w:pPr>
    </w:p>
    <w:p w14:paraId="40006137" w14:textId="0612EDF7" w:rsidR="00B84C20" w:rsidRDefault="00B84C20" w:rsidP="00D43DEF">
      <w:pPr>
        <w:pStyle w:val="ListParagraph"/>
        <w:rPr>
          <w:lang w:val="es-PE"/>
        </w:rPr>
      </w:pPr>
      <w:r>
        <w:rPr>
          <w:lang w:val="es-PE"/>
        </w:rPr>
        <w:t>“</w:t>
      </w:r>
      <w:r w:rsidRPr="00B84C20">
        <w:rPr>
          <w:lang w:val="es-PE"/>
        </w:rPr>
        <w:t>Los genes y las proteínas son descubrimientos, no inventos. Los inventos se pueden patentar, los descubrimientos no. Luego, las patentes de proteínas son un equívoco en sí</w:t>
      </w:r>
      <w:r>
        <w:rPr>
          <w:lang w:val="es-PE"/>
        </w:rPr>
        <w:t>”</w:t>
      </w:r>
      <w:r w:rsidR="00E41BBB">
        <w:rPr>
          <w:lang w:val="es-PE"/>
        </w:rPr>
        <w:t xml:space="preserve"> (</w:t>
      </w:r>
      <w:proofErr w:type="spellStart"/>
      <w:r w:rsidR="00E41BBB">
        <w:rPr>
          <w:lang w:val="es-PE"/>
        </w:rPr>
        <w:t>Alroy</w:t>
      </w:r>
      <w:proofErr w:type="spellEnd"/>
      <w:r w:rsidR="00E41BBB">
        <w:rPr>
          <w:lang w:val="es-PE"/>
        </w:rPr>
        <w:t xml:space="preserve">, 2000, citado por </w:t>
      </w:r>
      <w:proofErr w:type="spellStart"/>
      <w:r w:rsidR="00E41BBB">
        <w:rPr>
          <w:lang w:val="es-PE"/>
        </w:rPr>
        <w:t>Copi</w:t>
      </w:r>
      <w:proofErr w:type="spellEnd"/>
      <w:r w:rsidR="00E41BBB">
        <w:rPr>
          <w:lang w:val="es-PE"/>
        </w:rPr>
        <w:t xml:space="preserve"> &amp; Cohen, 2011, p. 33)</w:t>
      </w:r>
      <w:r w:rsidRPr="00B84C20">
        <w:rPr>
          <w:lang w:val="es-PE"/>
        </w:rPr>
        <w:t>.</w:t>
      </w:r>
    </w:p>
    <w:p w14:paraId="3EEF1BE3" w14:textId="77777777" w:rsidR="002946B6" w:rsidRDefault="002946B6" w:rsidP="002946B6">
      <w:pPr>
        <w:pStyle w:val="ListParagraph"/>
        <w:numPr>
          <w:ilvl w:val="0"/>
          <w:numId w:val="0"/>
        </w:numPr>
        <w:ind w:left="720"/>
        <w:rPr>
          <w:lang w:val="es-PE"/>
        </w:rPr>
      </w:pPr>
    </w:p>
    <w:p w14:paraId="1FA4C7E8" w14:textId="6C742652" w:rsidR="008A77C1" w:rsidRDefault="008A77C1" w:rsidP="00D43DEF">
      <w:pPr>
        <w:pStyle w:val="ListParagraph"/>
        <w:rPr>
          <w:lang w:val="es-PE"/>
        </w:rPr>
      </w:pPr>
      <w:r>
        <w:rPr>
          <w:lang w:val="es-PE"/>
        </w:rPr>
        <w:lastRenderedPageBreak/>
        <w:t>“</w:t>
      </w:r>
      <w:r w:rsidRPr="008A77C1">
        <w:rPr>
          <w:lang w:val="es-PE"/>
        </w:rPr>
        <w:t>La mayoría de las gentes gusta ver el deporte, pero no practicarlo. Existen millones de espectadores en los estadios y apenas unos cuantos jugadores. La mayoría ama el deporte cerebralmente, cuando no literariamente. Un día desaparecerá el campeón, para dar lugar al hombre en estado deportivo. El deporte no debe ser el arte de unos cuantos, sino una actitud tácita y universal de todos</w:t>
      </w:r>
      <w:r>
        <w:rPr>
          <w:lang w:val="es-PE"/>
        </w:rPr>
        <w:t>” (Vallejo, 1973, p. 9)</w:t>
      </w:r>
      <w:r w:rsidRPr="008A77C1">
        <w:rPr>
          <w:lang w:val="es-PE"/>
        </w:rPr>
        <w:t>.</w:t>
      </w:r>
    </w:p>
    <w:p w14:paraId="07174B7E" w14:textId="77777777" w:rsidR="002946B6" w:rsidRDefault="002946B6" w:rsidP="002946B6">
      <w:pPr>
        <w:pStyle w:val="ListParagraph"/>
        <w:numPr>
          <w:ilvl w:val="0"/>
          <w:numId w:val="0"/>
        </w:numPr>
        <w:ind w:left="720"/>
        <w:rPr>
          <w:lang w:val="es-PE"/>
        </w:rPr>
      </w:pPr>
    </w:p>
    <w:p w14:paraId="6ED27BE8" w14:textId="760DB64B" w:rsidR="00876520" w:rsidRDefault="00876520" w:rsidP="00D43DEF">
      <w:pPr>
        <w:pStyle w:val="ListParagraph"/>
        <w:rPr>
          <w:lang w:val="es-PE"/>
        </w:rPr>
      </w:pPr>
      <w:r>
        <w:rPr>
          <w:lang w:val="es-PE"/>
        </w:rPr>
        <w:t>“El arte y la vida no son una y la misma cosa, pero deben unirse en mí, en la unidad de mi responsabilidad” (Bajtín, 1979, p. 6, citado por Todorov, 2010, p. 120).</w:t>
      </w:r>
    </w:p>
    <w:p w14:paraId="5EEBE632" w14:textId="77777777" w:rsidR="002946B6" w:rsidRDefault="002946B6" w:rsidP="002946B6">
      <w:pPr>
        <w:pStyle w:val="ListParagraph"/>
        <w:numPr>
          <w:ilvl w:val="0"/>
          <w:numId w:val="0"/>
        </w:numPr>
        <w:ind w:left="720"/>
        <w:rPr>
          <w:lang w:val="es-PE"/>
        </w:rPr>
      </w:pPr>
    </w:p>
    <w:p w14:paraId="02BB5049" w14:textId="23B7D826" w:rsidR="009045B6" w:rsidRPr="009045B6" w:rsidRDefault="009045B6" w:rsidP="00D43DEF">
      <w:pPr>
        <w:pStyle w:val="ListParagraph"/>
        <w:rPr>
          <w:lang w:val="es-PE"/>
        </w:rPr>
      </w:pPr>
      <w:r w:rsidRPr="009045B6">
        <w:rPr>
          <w:lang w:val="es-PE"/>
        </w:rPr>
        <w:t>“A los creadores, a los cosechadores, a los que celebran fiestas quiero unirme: voy a mostrarles el arco iris y todas las escaleras del superhombre. Cantaré mi canción para los eremitas solitarios o en pareja; y a quien todavía tenga oídos para oír cosas inauditas, a ése voy a abrumarle el corazón con mi felicidad. Hacia mi meta quiero ir, yo continúo mi marcha; saltaré por encima de los indecisos y de los rezagados. ¡Sea mi marcha el ocaso de ellos!”</w:t>
      </w:r>
      <w:r>
        <w:rPr>
          <w:lang w:val="es-PE"/>
        </w:rPr>
        <w:t xml:space="preserve"> (Nietzsche, 2003, p. 48).</w:t>
      </w:r>
    </w:p>
    <w:p w14:paraId="13E8B405" w14:textId="77777777" w:rsidR="002946B6" w:rsidRDefault="002946B6" w:rsidP="002946B6">
      <w:pPr>
        <w:pStyle w:val="ListParagraph"/>
        <w:numPr>
          <w:ilvl w:val="0"/>
          <w:numId w:val="0"/>
        </w:numPr>
        <w:ind w:left="714"/>
        <w:rPr>
          <w:lang w:val="es-PE"/>
        </w:rPr>
      </w:pPr>
    </w:p>
    <w:p w14:paraId="7553DF50" w14:textId="41487621" w:rsidR="00045BDB" w:rsidRDefault="00045BDB" w:rsidP="00D43DEF">
      <w:pPr>
        <w:pStyle w:val="ListParagraph"/>
        <w:rPr>
          <w:lang w:val="es-PE"/>
        </w:rPr>
      </w:pPr>
      <w:r w:rsidRPr="00D21DD8">
        <w:rPr>
          <w:lang w:val="es-PE"/>
        </w:rPr>
        <w:t>“Puesto que se sabe que los seres humanos descienden de un pequeño número de ancestros africanos de nuestro pasado evolutivo reciente, creer en profundas diferencias raciales es tan ridículo como creer que la Tierra es plana”</w:t>
      </w:r>
      <w:r w:rsidR="00D21DD8" w:rsidRPr="00D21DD8">
        <w:rPr>
          <w:lang w:val="es-PE"/>
        </w:rPr>
        <w:t xml:space="preserve"> (Hayden, 2000, citado por </w:t>
      </w:r>
      <w:proofErr w:type="spellStart"/>
      <w:r w:rsidR="00D21DD8" w:rsidRPr="00D21DD8">
        <w:rPr>
          <w:lang w:val="es-PE"/>
        </w:rPr>
        <w:t>Copi</w:t>
      </w:r>
      <w:proofErr w:type="spellEnd"/>
      <w:r w:rsidR="00D21DD8" w:rsidRPr="00D21DD8">
        <w:rPr>
          <w:lang w:val="es-PE"/>
        </w:rPr>
        <w:t xml:space="preserve"> &amp; Cohen, 2011, p. 8)</w:t>
      </w:r>
      <w:r w:rsidRPr="00D21DD8">
        <w:rPr>
          <w:lang w:val="es-PE"/>
        </w:rPr>
        <w:t>.</w:t>
      </w:r>
    </w:p>
    <w:p w14:paraId="2B77A975" w14:textId="77777777" w:rsidR="002946B6" w:rsidRDefault="002946B6" w:rsidP="002946B6">
      <w:pPr>
        <w:pStyle w:val="ListParagraph"/>
        <w:numPr>
          <w:ilvl w:val="0"/>
          <w:numId w:val="0"/>
        </w:numPr>
        <w:ind w:left="714"/>
        <w:rPr>
          <w:lang w:val="es-PE"/>
        </w:rPr>
      </w:pPr>
    </w:p>
    <w:p w14:paraId="78FA183C" w14:textId="614EEA19" w:rsidR="002768DF" w:rsidRDefault="00D21DD8" w:rsidP="00D43DEF">
      <w:pPr>
        <w:pStyle w:val="ListParagraph"/>
        <w:rPr>
          <w:lang w:val="es-PE"/>
        </w:rPr>
      </w:pPr>
      <w:r w:rsidRPr="00D21DD8">
        <w:rPr>
          <w:lang w:val="es-PE"/>
        </w:rPr>
        <w:t xml:space="preserve">“¿Quién es más tonto: el tonto o el que lo sigue?” </w:t>
      </w:r>
      <w:r>
        <w:rPr>
          <w:lang w:val="es-PE"/>
        </w:rPr>
        <w:t>(</w:t>
      </w:r>
      <w:r w:rsidRPr="00D21DD8">
        <w:rPr>
          <w:lang w:val="es-PE"/>
        </w:rPr>
        <w:t>Obi-</w:t>
      </w:r>
      <w:proofErr w:type="spellStart"/>
      <w:r w:rsidRPr="00D21DD8">
        <w:rPr>
          <w:lang w:val="es-PE"/>
        </w:rPr>
        <w:t>Wan</w:t>
      </w:r>
      <w:proofErr w:type="spellEnd"/>
      <w:r w:rsidRPr="00D21DD8">
        <w:rPr>
          <w:lang w:val="es-PE"/>
        </w:rPr>
        <w:t xml:space="preserve"> </w:t>
      </w:r>
      <w:proofErr w:type="spellStart"/>
      <w:r w:rsidRPr="00D21DD8">
        <w:rPr>
          <w:lang w:val="es-PE"/>
        </w:rPr>
        <w:t>Kenobi</w:t>
      </w:r>
      <w:proofErr w:type="spellEnd"/>
      <w:r>
        <w:rPr>
          <w:lang w:val="es-PE"/>
        </w:rPr>
        <w:t xml:space="preserve">, en la saga de </w:t>
      </w:r>
      <w:proofErr w:type="spellStart"/>
      <w:r w:rsidRPr="00D21DD8">
        <w:rPr>
          <w:i/>
          <w:iCs/>
          <w:lang w:val="es-PE"/>
        </w:rPr>
        <w:t>Star</w:t>
      </w:r>
      <w:proofErr w:type="spellEnd"/>
      <w:r w:rsidRPr="00D21DD8">
        <w:rPr>
          <w:i/>
          <w:iCs/>
          <w:lang w:val="es-PE"/>
        </w:rPr>
        <w:t xml:space="preserve"> </w:t>
      </w:r>
      <w:proofErr w:type="spellStart"/>
      <w:r w:rsidRPr="00D21DD8">
        <w:rPr>
          <w:i/>
          <w:iCs/>
          <w:lang w:val="es-PE"/>
        </w:rPr>
        <w:t>War</w:t>
      </w:r>
      <w:proofErr w:type="spellEnd"/>
      <w:r>
        <w:rPr>
          <w:lang w:val="es-PE"/>
        </w:rPr>
        <w:t>)</w:t>
      </w:r>
      <w:r w:rsidR="002768DF">
        <w:rPr>
          <w:lang w:val="es-PE"/>
        </w:rPr>
        <w:t xml:space="preserve"> </w:t>
      </w:r>
    </w:p>
    <w:p w14:paraId="078DAAF7" w14:textId="77777777" w:rsidR="002946B6" w:rsidRPr="002946B6" w:rsidRDefault="002946B6" w:rsidP="002946B6">
      <w:pPr>
        <w:pStyle w:val="ListParagraph"/>
        <w:numPr>
          <w:ilvl w:val="0"/>
          <w:numId w:val="0"/>
        </w:numPr>
        <w:ind w:left="714"/>
        <w:rPr>
          <w:b/>
          <w:bCs/>
          <w:lang w:val="es-PE"/>
        </w:rPr>
      </w:pPr>
    </w:p>
    <w:p w14:paraId="2C39D904" w14:textId="28ACC852" w:rsidR="005C3887" w:rsidRPr="00D43DEF" w:rsidRDefault="002768DF" w:rsidP="00D43DEF">
      <w:pPr>
        <w:pStyle w:val="ListParagraph"/>
        <w:rPr>
          <w:b/>
          <w:bCs/>
          <w:lang w:val="es-PE"/>
        </w:rPr>
      </w:pPr>
      <w:r w:rsidRPr="00957EF6">
        <w:rPr>
          <w:lang w:val="es-PE"/>
        </w:rPr>
        <w:t>“André Breton cuenta que Philippe Soupault salió una mañana de su casa y se echó a recorrer París, preguntando de puerta en puerta: «¿Aquí vive el señor Philippe Soupault?». Después de atravesar varias calles, de una casa desconocida salieron a responderle: «Sí, señor, aquí vive el señor Philippe Soupault»” (Vallejo, 1973, p. 33).</w:t>
      </w:r>
      <w:r w:rsidR="00957EF6" w:rsidRPr="00957EF6">
        <w:rPr>
          <w:lang w:val="es-PE"/>
        </w:rPr>
        <w:t xml:space="preserve"> </w:t>
      </w:r>
    </w:p>
    <w:p w14:paraId="26C3B5CD" w14:textId="77777777" w:rsidR="00D43DEF" w:rsidRPr="00D43DEF" w:rsidRDefault="00D43DEF" w:rsidP="00D43DEF">
      <w:pPr>
        <w:pStyle w:val="ListParagraph"/>
        <w:numPr>
          <w:ilvl w:val="0"/>
          <w:numId w:val="0"/>
        </w:numPr>
        <w:ind w:left="720"/>
        <w:rPr>
          <w:lang w:val="es-PE"/>
        </w:rPr>
      </w:pPr>
    </w:p>
    <w:p w14:paraId="585DEFC1" w14:textId="21D9E02F" w:rsidR="00D43DEF" w:rsidRDefault="00D43DEF" w:rsidP="00D43DEF">
      <w:pPr>
        <w:pStyle w:val="ListParagraph"/>
        <w:rPr>
          <w:lang w:val="es-PE"/>
        </w:rPr>
      </w:pPr>
      <w:r>
        <w:rPr>
          <w:lang w:val="es-PE"/>
        </w:rPr>
        <w:t>“</w:t>
      </w:r>
      <w:r w:rsidRPr="00D43DEF">
        <w:rPr>
          <w:lang w:val="es-PE"/>
        </w:rPr>
        <w:t>Es imposible afirmar a la vez que el pasado ha de servirnos de</w:t>
      </w:r>
      <w:r>
        <w:rPr>
          <w:lang w:val="es-PE"/>
        </w:rPr>
        <w:t xml:space="preserve"> </w:t>
      </w:r>
      <w:r w:rsidRPr="00D43DEF">
        <w:rPr>
          <w:lang w:val="es-PE"/>
        </w:rPr>
        <w:t>lección y que es incomparable con el presente: aquello que es singular no nos enseña nada para el porvenir</w:t>
      </w:r>
      <w:r>
        <w:rPr>
          <w:lang w:val="es-PE"/>
        </w:rPr>
        <w:t>” (Todorov, 2008, p. 63)</w:t>
      </w:r>
      <w:r w:rsidRPr="00D43DEF">
        <w:rPr>
          <w:lang w:val="es-PE"/>
        </w:rPr>
        <w:t>.</w:t>
      </w:r>
    </w:p>
    <w:p w14:paraId="056A21FF" w14:textId="77777777" w:rsidR="00D43DEF" w:rsidRPr="00D43DEF" w:rsidRDefault="00D43DEF" w:rsidP="00D43DEF">
      <w:pPr>
        <w:pStyle w:val="ListParagraph"/>
        <w:numPr>
          <w:ilvl w:val="0"/>
          <w:numId w:val="0"/>
        </w:numPr>
        <w:ind w:left="720"/>
        <w:rPr>
          <w:lang w:val="es-PE"/>
        </w:rPr>
      </w:pPr>
    </w:p>
    <w:p w14:paraId="4C982FAF" w14:textId="3D511C71" w:rsidR="00D43DEF" w:rsidRPr="00D43DEF" w:rsidRDefault="00D43DEF" w:rsidP="00D43DEF">
      <w:pPr>
        <w:pStyle w:val="ListParagraph"/>
        <w:rPr>
          <w:lang w:val="es-PE"/>
        </w:rPr>
      </w:pPr>
      <w:r>
        <w:rPr>
          <w:lang w:val="es-PE"/>
        </w:rPr>
        <w:t>“</w:t>
      </w:r>
      <w:r w:rsidRPr="00D43DEF">
        <w:rPr>
          <w:lang w:val="es-PE"/>
        </w:rPr>
        <w:t xml:space="preserve">Por </w:t>
      </w:r>
      <w:r w:rsidRPr="00D43DEF">
        <w:rPr>
          <w:i/>
          <w:iCs/>
          <w:lang w:val="es-PE"/>
        </w:rPr>
        <w:t>argumentar</w:t>
      </w:r>
      <w:r w:rsidRPr="00D43DEF">
        <w:rPr>
          <w:lang w:val="es-PE"/>
        </w:rPr>
        <w:t>, en general, cabe entender la manera de dar cuenta y razón de algo a alguien o ante alguien con el propósito de lograr su comprensión y su asentimiento. La argumentación es la acción de argumentar o el producto de esta actividad. Tratándose de una actividad discursiva e intencional, corre a cargo de un agente con una determinada pretensión</w:t>
      </w:r>
      <w:r>
        <w:rPr>
          <w:lang w:val="es-PE"/>
        </w:rPr>
        <w:t xml:space="preserve"> </w:t>
      </w:r>
      <w:r w:rsidRPr="00D43DEF">
        <w:rPr>
          <w:lang w:val="es-PE"/>
        </w:rPr>
        <w:t xml:space="preserve">terminado propósito </w:t>
      </w:r>
      <w:r>
        <w:rPr>
          <w:lang w:val="es-PE"/>
        </w:rPr>
        <w:t>—</w:t>
      </w:r>
      <w:r w:rsidRPr="00D43DEF">
        <w:rPr>
          <w:lang w:val="es-PE"/>
        </w:rPr>
        <w:t>en particular, el de inducir a los destinatarios del discurso a asumir o aceptar lo propuesto</w:t>
      </w:r>
      <w:r>
        <w:rPr>
          <w:lang w:val="es-PE"/>
        </w:rPr>
        <w:t>—.</w:t>
      </w:r>
      <w:r w:rsidRPr="00D43DEF">
        <w:rPr>
          <w:lang w:val="es-PE"/>
        </w:rPr>
        <w:t xml:space="preserve"> Según esto, la argumentación es una interacción discursiva e intencional, viva en una conversación o congelada en un texto, que involucra no solo a un agente, sino a unos destinatarios reales, potenciales o imaginarios del discurso, amén de su poner cierto entendimiento e, incluso, cierta complicidad entre </w:t>
      </w:r>
      <w:proofErr w:type="gramStart"/>
      <w:r w:rsidRPr="00D43DEF">
        <w:rPr>
          <w:lang w:val="es-PE"/>
        </w:rPr>
        <w:t>ellos,</w:t>
      </w:r>
      <w:proofErr w:type="gramEnd"/>
      <w:r w:rsidRPr="00D43DEF">
        <w:rPr>
          <w:lang w:val="es-PE"/>
        </w:rPr>
        <w:t xml:space="preserve"> sea más bien expresa o sea más bien tácita </w:t>
      </w:r>
      <w:r>
        <w:rPr>
          <w:lang w:val="es-PE"/>
        </w:rPr>
        <w:t>—</w:t>
      </w:r>
      <w:proofErr w:type="spellStart"/>
      <w:r w:rsidRPr="00D43DEF">
        <w:rPr>
          <w:lang w:val="es-PE"/>
        </w:rPr>
        <w:t>p.e</w:t>
      </w:r>
      <w:proofErr w:type="spellEnd"/>
      <w:r w:rsidRPr="00D43DEF">
        <w:rPr>
          <w:lang w:val="es-PE"/>
        </w:rPr>
        <w:t>. en los entimemas típicos</w:t>
      </w:r>
      <w:r>
        <w:rPr>
          <w:lang w:val="es-PE"/>
        </w:rPr>
        <w:t>—.</w:t>
      </w:r>
      <w:r w:rsidRPr="00D43DEF">
        <w:rPr>
          <w:lang w:val="es-PE"/>
        </w:rPr>
        <w:t xml:space="preserve"> Como caso límite, el propio agente podría </w:t>
      </w:r>
      <w:r>
        <w:rPr>
          <w:lang w:val="es-PE"/>
        </w:rPr>
        <w:t>‘</w:t>
      </w:r>
      <w:r w:rsidRPr="00D43DEF">
        <w:rPr>
          <w:lang w:val="es-PE"/>
        </w:rPr>
        <w:t>dialogar</w:t>
      </w:r>
      <w:r>
        <w:rPr>
          <w:lang w:val="es-PE"/>
        </w:rPr>
        <w:t>’</w:t>
      </w:r>
      <w:r w:rsidRPr="00D43DEF">
        <w:rPr>
          <w:lang w:val="es-PE"/>
        </w:rPr>
        <w:t xml:space="preserve"> y argumentar consigo mismo o, en el extremo opuesto, pensar que se dirige a la humanidad en su conjunto. Este planteamiento puede trasladarse al plano impersonal de los sistemas </w:t>
      </w:r>
      <w:proofErr w:type="spellStart"/>
      <w:r w:rsidRPr="00D43DEF">
        <w:rPr>
          <w:lang w:val="es-PE"/>
        </w:rPr>
        <w:t>multi-agentes</w:t>
      </w:r>
      <w:proofErr w:type="spellEnd"/>
      <w:r w:rsidRPr="00D43DEF">
        <w:rPr>
          <w:lang w:val="es-PE"/>
        </w:rPr>
        <w:t xml:space="preserve"> y de la interacción simulada o programada en inteligencia artificial: los ensayos en esta línea ya han abierto nuevas fronteras interdisciplinarias de análisis y construcción de la argumentación. Un argumento viene a ser, en fin, una unidad discursiva básica, bien en el marco de una argumentación vista desde la perspectiva de la actividad de argumentar, o bien en el contexto de una argumentación vista como el producto textual correspondiente</w:t>
      </w:r>
      <w:r>
        <w:rPr>
          <w:lang w:val="es-PE"/>
        </w:rPr>
        <w:t>” (Vega &amp; Olmos, 2011, pp. 66-67)</w:t>
      </w:r>
      <w:r w:rsidRPr="00D43DEF">
        <w:rPr>
          <w:lang w:val="es-PE"/>
        </w:rPr>
        <w:t>.</w:t>
      </w:r>
    </w:p>
    <w:p w14:paraId="652F0B7C" w14:textId="77777777" w:rsidR="005C3887" w:rsidRDefault="005C3887" w:rsidP="008F792A">
      <w:pPr>
        <w:spacing w:after="0"/>
        <w:jc w:val="both"/>
        <w:rPr>
          <w:b/>
          <w:bCs/>
          <w:lang w:val="es-PE"/>
        </w:rPr>
      </w:pPr>
    </w:p>
    <w:p w14:paraId="1164C27A" w14:textId="77777777" w:rsidR="005C3887" w:rsidRDefault="005C3887" w:rsidP="008F792A">
      <w:pPr>
        <w:spacing w:after="0"/>
        <w:jc w:val="both"/>
        <w:rPr>
          <w:lang w:val="es-PE"/>
        </w:rPr>
      </w:pPr>
    </w:p>
    <w:p w14:paraId="5A117D2E" w14:textId="77777777" w:rsidR="005C3887" w:rsidRPr="005C3887" w:rsidRDefault="005C3887" w:rsidP="008F792A">
      <w:pPr>
        <w:spacing w:after="0"/>
        <w:jc w:val="both"/>
        <w:rPr>
          <w:lang w:val="es-PE"/>
        </w:rPr>
      </w:pPr>
    </w:p>
    <w:p w14:paraId="4023BFA8" w14:textId="77777777" w:rsidR="005C3887" w:rsidRPr="005C3887" w:rsidRDefault="005C3887" w:rsidP="008F792A">
      <w:pPr>
        <w:spacing w:after="0"/>
        <w:jc w:val="both"/>
        <w:rPr>
          <w:b/>
          <w:bCs/>
          <w:lang w:val="es-PE"/>
        </w:rPr>
      </w:pPr>
    </w:p>
    <w:p w14:paraId="5B9963C5" w14:textId="77777777" w:rsidR="00C30B91" w:rsidRDefault="00C30B91">
      <w:pPr>
        <w:spacing w:line="259" w:lineRule="auto"/>
        <w:rPr>
          <w:b/>
          <w:bCs/>
          <w:lang w:val="es-PE"/>
        </w:rPr>
      </w:pPr>
      <w:r>
        <w:rPr>
          <w:b/>
          <w:bCs/>
          <w:lang w:val="es-PE"/>
        </w:rPr>
        <w:br w:type="page"/>
      </w:r>
    </w:p>
    <w:p w14:paraId="6223378D" w14:textId="52845BC5" w:rsidR="004C1ED3" w:rsidRPr="00E01320" w:rsidRDefault="00E01320" w:rsidP="008F792A">
      <w:pPr>
        <w:spacing w:after="0"/>
        <w:jc w:val="both"/>
        <w:rPr>
          <w:b/>
          <w:bCs/>
          <w:lang w:val="es-PE"/>
        </w:rPr>
      </w:pPr>
      <w:r w:rsidRPr="00E01320">
        <w:rPr>
          <w:b/>
          <w:bCs/>
          <w:lang w:val="es-PE"/>
        </w:rPr>
        <w:lastRenderedPageBreak/>
        <w:t>Justifique sus respuestas</w:t>
      </w:r>
    </w:p>
    <w:p w14:paraId="11B9DF49" w14:textId="77777777" w:rsidR="00E01320" w:rsidRDefault="00E01320" w:rsidP="008F792A">
      <w:pPr>
        <w:spacing w:after="0"/>
        <w:jc w:val="both"/>
        <w:rPr>
          <w:lang w:val="es-PE"/>
        </w:rPr>
      </w:pPr>
    </w:p>
    <w:p w14:paraId="7A63383F" w14:textId="1DC16F8C" w:rsidR="00E01320" w:rsidRPr="00E01320" w:rsidRDefault="00E01320" w:rsidP="00E01320">
      <w:pPr>
        <w:pStyle w:val="ListParagraph"/>
        <w:numPr>
          <w:ilvl w:val="0"/>
          <w:numId w:val="4"/>
        </w:numPr>
        <w:rPr>
          <w:lang w:val="es-PE"/>
        </w:rPr>
      </w:pPr>
      <w:r>
        <w:rPr>
          <w:lang w:val="es-PE"/>
        </w:rPr>
        <w:t>___</w:t>
      </w:r>
      <w:r w:rsidRPr="00E01320">
        <w:rPr>
          <w:lang w:val="es-PE"/>
        </w:rPr>
        <w:t xml:space="preserve"> es un argumento.</w:t>
      </w:r>
      <w:r w:rsidRPr="00E01320">
        <w:rPr>
          <w:lang w:val="es-PE"/>
        </w:rPr>
        <w:t xml:space="preserve"> Es un texto informativo, periodístico.</w:t>
      </w:r>
    </w:p>
    <w:p w14:paraId="6285DF85" w14:textId="77777777" w:rsidR="00E01320" w:rsidRDefault="00E01320" w:rsidP="00E01320">
      <w:pPr>
        <w:pStyle w:val="ListParagraph"/>
        <w:numPr>
          <w:ilvl w:val="0"/>
          <w:numId w:val="0"/>
        </w:numPr>
        <w:ind w:left="720"/>
        <w:rPr>
          <w:lang w:val="es-PE"/>
        </w:rPr>
      </w:pPr>
    </w:p>
    <w:p w14:paraId="2AA3D615" w14:textId="1849CE8E" w:rsidR="00E01320" w:rsidRDefault="00E01320" w:rsidP="00E01320">
      <w:pPr>
        <w:pStyle w:val="ListParagraph"/>
        <w:numPr>
          <w:ilvl w:val="0"/>
          <w:numId w:val="4"/>
        </w:numPr>
        <w:rPr>
          <w:lang w:val="es-PE"/>
        </w:rPr>
      </w:pPr>
      <w:r>
        <w:rPr>
          <w:lang w:val="es-PE"/>
        </w:rPr>
        <w:t>___ es un argumento.</w:t>
      </w:r>
    </w:p>
    <w:p w14:paraId="6A445755" w14:textId="77777777" w:rsidR="00E01320" w:rsidRDefault="00E01320" w:rsidP="00E01320">
      <w:pPr>
        <w:pStyle w:val="ListParagraph"/>
        <w:numPr>
          <w:ilvl w:val="0"/>
          <w:numId w:val="0"/>
        </w:numPr>
        <w:ind w:left="720"/>
        <w:rPr>
          <w:lang w:val="es-PE"/>
        </w:rPr>
      </w:pPr>
    </w:p>
    <w:p w14:paraId="415F75D7" w14:textId="44DCEB86" w:rsidR="00E01320" w:rsidRPr="00E01320" w:rsidRDefault="00E01320" w:rsidP="00E01320">
      <w:pPr>
        <w:pStyle w:val="ListParagraph"/>
        <w:numPr>
          <w:ilvl w:val="0"/>
          <w:numId w:val="4"/>
        </w:numPr>
        <w:rPr>
          <w:lang w:val="es-PE"/>
        </w:rPr>
      </w:pPr>
      <w:r>
        <w:rPr>
          <w:lang w:val="es-PE"/>
        </w:rPr>
        <w:t>___ es un argumento.</w:t>
      </w:r>
    </w:p>
    <w:p w14:paraId="0FF3CAFB" w14:textId="77777777" w:rsidR="00E01320" w:rsidRDefault="00E01320" w:rsidP="00E01320">
      <w:pPr>
        <w:pStyle w:val="ListParagraph"/>
        <w:numPr>
          <w:ilvl w:val="0"/>
          <w:numId w:val="0"/>
        </w:numPr>
        <w:ind w:left="720"/>
        <w:rPr>
          <w:lang w:val="es-PE"/>
        </w:rPr>
      </w:pPr>
    </w:p>
    <w:p w14:paraId="06388696" w14:textId="5AD7480C" w:rsidR="00E01320" w:rsidRPr="00E01320" w:rsidRDefault="00E01320" w:rsidP="00E01320">
      <w:pPr>
        <w:pStyle w:val="ListParagraph"/>
        <w:numPr>
          <w:ilvl w:val="0"/>
          <w:numId w:val="4"/>
        </w:numPr>
        <w:rPr>
          <w:lang w:val="es-PE"/>
        </w:rPr>
      </w:pPr>
      <w:r>
        <w:rPr>
          <w:lang w:val="es-PE"/>
        </w:rPr>
        <w:t>___ es un argumento.</w:t>
      </w:r>
    </w:p>
    <w:p w14:paraId="2CB6509F" w14:textId="77777777" w:rsidR="00E01320" w:rsidRDefault="00E01320" w:rsidP="00E01320">
      <w:pPr>
        <w:pStyle w:val="ListParagraph"/>
        <w:numPr>
          <w:ilvl w:val="0"/>
          <w:numId w:val="0"/>
        </w:numPr>
        <w:ind w:left="720"/>
        <w:rPr>
          <w:lang w:val="es-PE"/>
        </w:rPr>
      </w:pPr>
    </w:p>
    <w:p w14:paraId="418FD4ED" w14:textId="16BEB1C3" w:rsidR="00E01320" w:rsidRPr="00E01320" w:rsidRDefault="00E01320" w:rsidP="00E01320">
      <w:pPr>
        <w:pStyle w:val="ListParagraph"/>
        <w:numPr>
          <w:ilvl w:val="0"/>
          <w:numId w:val="4"/>
        </w:numPr>
        <w:rPr>
          <w:lang w:val="es-PE"/>
        </w:rPr>
      </w:pPr>
      <w:r>
        <w:rPr>
          <w:lang w:val="es-PE"/>
        </w:rPr>
        <w:t>___ es un argumento.</w:t>
      </w:r>
    </w:p>
    <w:p w14:paraId="4931FE78" w14:textId="77777777" w:rsidR="00E01320" w:rsidRDefault="00E01320" w:rsidP="00E01320">
      <w:pPr>
        <w:pStyle w:val="ListParagraph"/>
        <w:numPr>
          <w:ilvl w:val="0"/>
          <w:numId w:val="0"/>
        </w:numPr>
        <w:ind w:left="720"/>
        <w:rPr>
          <w:lang w:val="es-PE"/>
        </w:rPr>
      </w:pPr>
    </w:p>
    <w:p w14:paraId="45E856EC" w14:textId="693FA1E0" w:rsidR="00E01320" w:rsidRPr="00E01320" w:rsidRDefault="00E01320" w:rsidP="00E01320">
      <w:pPr>
        <w:pStyle w:val="ListParagraph"/>
        <w:numPr>
          <w:ilvl w:val="0"/>
          <w:numId w:val="4"/>
        </w:numPr>
        <w:rPr>
          <w:lang w:val="es-PE"/>
        </w:rPr>
      </w:pPr>
      <w:r>
        <w:rPr>
          <w:lang w:val="es-PE"/>
        </w:rPr>
        <w:t>___ es un argumento.</w:t>
      </w:r>
    </w:p>
    <w:p w14:paraId="121DF323" w14:textId="77777777" w:rsidR="00E01320" w:rsidRDefault="00E01320" w:rsidP="00E01320">
      <w:pPr>
        <w:pStyle w:val="ListParagraph"/>
        <w:numPr>
          <w:ilvl w:val="0"/>
          <w:numId w:val="0"/>
        </w:numPr>
        <w:ind w:left="720"/>
        <w:rPr>
          <w:lang w:val="es-PE"/>
        </w:rPr>
      </w:pPr>
    </w:p>
    <w:p w14:paraId="7D5B78DE" w14:textId="717AE130" w:rsidR="00E01320" w:rsidRPr="00E01320" w:rsidRDefault="00E01320" w:rsidP="00E01320">
      <w:pPr>
        <w:pStyle w:val="ListParagraph"/>
        <w:numPr>
          <w:ilvl w:val="0"/>
          <w:numId w:val="4"/>
        </w:numPr>
        <w:rPr>
          <w:lang w:val="es-PE"/>
        </w:rPr>
      </w:pPr>
      <w:r>
        <w:rPr>
          <w:lang w:val="es-PE"/>
        </w:rPr>
        <w:t>___ es un argumento.</w:t>
      </w:r>
    </w:p>
    <w:p w14:paraId="4163B0F3" w14:textId="77777777" w:rsidR="00E01320" w:rsidRDefault="00E01320" w:rsidP="00E01320">
      <w:pPr>
        <w:pStyle w:val="ListParagraph"/>
        <w:numPr>
          <w:ilvl w:val="0"/>
          <w:numId w:val="0"/>
        </w:numPr>
        <w:ind w:left="720"/>
        <w:rPr>
          <w:lang w:val="es-PE"/>
        </w:rPr>
      </w:pPr>
    </w:p>
    <w:p w14:paraId="3938D462" w14:textId="22055391" w:rsidR="00E01320" w:rsidRPr="00E01320" w:rsidRDefault="00E01320" w:rsidP="00E01320">
      <w:pPr>
        <w:pStyle w:val="ListParagraph"/>
        <w:numPr>
          <w:ilvl w:val="0"/>
          <w:numId w:val="4"/>
        </w:numPr>
        <w:rPr>
          <w:lang w:val="es-PE"/>
        </w:rPr>
      </w:pPr>
      <w:r>
        <w:rPr>
          <w:lang w:val="es-PE"/>
        </w:rPr>
        <w:t>___ es un argumento.</w:t>
      </w:r>
    </w:p>
    <w:p w14:paraId="0F1BE270" w14:textId="77777777" w:rsidR="00E01320" w:rsidRDefault="00E01320" w:rsidP="00E01320">
      <w:pPr>
        <w:pStyle w:val="ListParagraph"/>
        <w:numPr>
          <w:ilvl w:val="0"/>
          <w:numId w:val="0"/>
        </w:numPr>
        <w:ind w:left="720"/>
        <w:rPr>
          <w:lang w:val="es-PE"/>
        </w:rPr>
      </w:pPr>
    </w:p>
    <w:p w14:paraId="543897A1" w14:textId="7462D896" w:rsidR="00E01320" w:rsidRPr="00E01320" w:rsidRDefault="00E01320" w:rsidP="00E01320">
      <w:pPr>
        <w:pStyle w:val="ListParagraph"/>
        <w:numPr>
          <w:ilvl w:val="0"/>
          <w:numId w:val="4"/>
        </w:numPr>
        <w:rPr>
          <w:lang w:val="es-PE"/>
        </w:rPr>
      </w:pPr>
      <w:r>
        <w:rPr>
          <w:lang w:val="es-PE"/>
        </w:rPr>
        <w:t>___ es un argumento.</w:t>
      </w:r>
    </w:p>
    <w:p w14:paraId="7C4D2159" w14:textId="77777777" w:rsidR="00E01320" w:rsidRDefault="00E01320" w:rsidP="00E01320">
      <w:pPr>
        <w:pStyle w:val="ListParagraph"/>
        <w:numPr>
          <w:ilvl w:val="0"/>
          <w:numId w:val="0"/>
        </w:numPr>
        <w:ind w:left="720"/>
        <w:rPr>
          <w:lang w:val="es-PE"/>
        </w:rPr>
      </w:pPr>
    </w:p>
    <w:p w14:paraId="1A1DE823" w14:textId="68E6E0DB" w:rsidR="00E01320" w:rsidRPr="00E01320" w:rsidRDefault="00E01320" w:rsidP="00E01320">
      <w:pPr>
        <w:pStyle w:val="ListParagraph"/>
        <w:numPr>
          <w:ilvl w:val="0"/>
          <w:numId w:val="4"/>
        </w:numPr>
        <w:rPr>
          <w:lang w:val="es-PE"/>
        </w:rPr>
      </w:pPr>
      <w:r>
        <w:rPr>
          <w:lang w:val="es-PE"/>
        </w:rPr>
        <w:t>___ es un argumento.</w:t>
      </w:r>
    </w:p>
    <w:p w14:paraId="056E0001" w14:textId="77777777" w:rsidR="00E01320" w:rsidRDefault="00E01320" w:rsidP="00E01320">
      <w:pPr>
        <w:pStyle w:val="ListParagraph"/>
        <w:numPr>
          <w:ilvl w:val="0"/>
          <w:numId w:val="4"/>
        </w:numPr>
        <w:rPr>
          <w:lang w:val="es-PE"/>
        </w:rPr>
      </w:pPr>
    </w:p>
    <w:p w14:paraId="085F48BB" w14:textId="360553D6" w:rsidR="00E01320" w:rsidRPr="00E01320" w:rsidRDefault="00E01320" w:rsidP="00E01320">
      <w:pPr>
        <w:pStyle w:val="ListParagraph"/>
        <w:numPr>
          <w:ilvl w:val="0"/>
          <w:numId w:val="4"/>
        </w:numPr>
        <w:rPr>
          <w:lang w:val="es-PE"/>
        </w:rPr>
      </w:pPr>
      <w:r>
        <w:rPr>
          <w:lang w:val="es-PE"/>
        </w:rPr>
        <w:t>___ es un argumento.</w:t>
      </w:r>
    </w:p>
    <w:p w14:paraId="4EED8FFA" w14:textId="77777777" w:rsidR="00E01320" w:rsidRDefault="00E01320" w:rsidP="00E01320">
      <w:pPr>
        <w:pStyle w:val="ListParagraph"/>
        <w:numPr>
          <w:ilvl w:val="0"/>
          <w:numId w:val="0"/>
        </w:numPr>
        <w:ind w:left="720"/>
        <w:rPr>
          <w:lang w:val="es-PE"/>
        </w:rPr>
      </w:pPr>
    </w:p>
    <w:p w14:paraId="4A75E262" w14:textId="6802CFDF" w:rsidR="00E01320" w:rsidRPr="00E01320" w:rsidRDefault="00E01320" w:rsidP="00E01320">
      <w:pPr>
        <w:pStyle w:val="ListParagraph"/>
        <w:numPr>
          <w:ilvl w:val="0"/>
          <w:numId w:val="4"/>
        </w:numPr>
        <w:rPr>
          <w:lang w:val="es-PE"/>
        </w:rPr>
      </w:pPr>
      <w:r>
        <w:rPr>
          <w:lang w:val="es-PE"/>
        </w:rPr>
        <w:t>___ es un argumento.</w:t>
      </w:r>
    </w:p>
    <w:p w14:paraId="01FAC9D6" w14:textId="77777777" w:rsidR="00E01320" w:rsidRDefault="00E01320" w:rsidP="00E01320">
      <w:pPr>
        <w:pStyle w:val="ListParagraph"/>
        <w:numPr>
          <w:ilvl w:val="0"/>
          <w:numId w:val="0"/>
        </w:numPr>
        <w:ind w:left="720"/>
        <w:rPr>
          <w:lang w:val="es-PE"/>
        </w:rPr>
      </w:pPr>
    </w:p>
    <w:p w14:paraId="277AA923" w14:textId="0AB94E3A" w:rsidR="00E01320" w:rsidRPr="00E01320" w:rsidRDefault="00E01320" w:rsidP="00E01320">
      <w:pPr>
        <w:pStyle w:val="ListParagraph"/>
        <w:numPr>
          <w:ilvl w:val="0"/>
          <w:numId w:val="4"/>
        </w:numPr>
        <w:rPr>
          <w:lang w:val="es-PE"/>
        </w:rPr>
      </w:pPr>
      <w:r>
        <w:rPr>
          <w:lang w:val="es-PE"/>
        </w:rPr>
        <w:t>___ es un argumento.</w:t>
      </w:r>
    </w:p>
    <w:p w14:paraId="49FAC27E" w14:textId="77777777" w:rsidR="00E01320" w:rsidRDefault="00E01320" w:rsidP="00E01320">
      <w:pPr>
        <w:pStyle w:val="ListParagraph"/>
        <w:numPr>
          <w:ilvl w:val="0"/>
          <w:numId w:val="0"/>
        </w:numPr>
        <w:ind w:left="720"/>
        <w:rPr>
          <w:lang w:val="es-PE"/>
        </w:rPr>
      </w:pPr>
    </w:p>
    <w:p w14:paraId="27B76DE5" w14:textId="0D1DC427" w:rsidR="00E01320" w:rsidRPr="00E01320" w:rsidRDefault="00E01320" w:rsidP="00E01320">
      <w:pPr>
        <w:pStyle w:val="ListParagraph"/>
        <w:numPr>
          <w:ilvl w:val="0"/>
          <w:numId w:val="4"/>
        </w:numPr>
        <w:rPr>
          <w:lang w:val="es-PE"/>
        </w:rPr>
      </w:pPr>
      <w:r>
        <w:rPr>
          <w:lang w:val="es-PE"/>
        </w:rPr>
        <w:t>___ es un argumento.</w:t>
      </w:r>
    </w:p>
    <w:p w14:paraId="2232AA8F" w14:textId="77777777" w:rsidR="00E01320" w:rsidRDefault="00E01320" w:rsidP="00E01320">
      <w:pPr>
        <w:pStyle w:val="ListParagraph"/>
        <w:numPr>
          <w:ilvl w:val="0"/>
          <w:numId w:val="0"/>
        </w:numPr>
        <w:ind w:left="720"/>
        <w:rPr>
          <w:lang w:val="es-PE"/>
        </w:rPr>
      </w:pPr>
    </w:p>
    <w:p w14:paraId="42FFBD49" w14:textId="340440B2" w:rsidR="00E01320" w:rsidRPr="00E01320" w:rsidRDefault="00E01320" w:rsidP="00E01320">
      <w:pPr>
        <w:pStyle w:val="ListParagraph"/>
        <w:numPr>
          <w:ilvl w:val="0"/>
          <w:numId w:val="4"/>
        </w:numPr>
        <w:rPr>
          <w:lang w:val="es-PE"/>
        </w:rPr>
      </w:pPr>
      <w:r>
        <w:rPr>
          <w:lang w:val="es-PE"/>
        </w:rPr>
        <w:t>___ es un argumento.</w:t>
      </w:r>
    </w:p>
    <w:p w14:paraId="79EC7860" w14:textId="77777777" w:rsidR="00E01320" w:rsidRDefault="00E01320" w:rsidP="00E01320">
      <w:pPr>
        <w:pStyle w:val="ListParagraph"/>
        <w:numPr>
          <w:ilvl w:val="0"/>
          <w:numId w:val="0"/>
        </w:numPr>
        <w:ind w:left="720"/>
        <w:rPr>
          <w:lang w:val="es-PE"/>
        </w:rPr>
      </w:pPr>
    </w:p>
    <w:p w14:paraId="680D8437" w14:textId="0662087E" w:rsidR="00E01320" w:rsidRPr="00E01320" w:rsidRDefault="00E01320" w:rsidP="00E01320">
      <w:pPr>
        <w:pStyle w:val="ListParagraph"/>
        <w:numPr>
          <w:ilvl w:val="0"/>
          <w:numId w:val="4"/>
        </w:numPr>
        <w:rPr>
          <w:lang w:val="es-PE"/>
        </w:rPr>
      </w:pPr>
      <w:r>
        <w:rPr>
          <w:lang w:val="es-PE"/>
        </w:rPr>
        <w:t>___ es un argumento.</w:t>
      </w:r>
    </w:p>
    <w:p w14:paraId="5BDA414E" w14:textId="77777777" w:rsidR="00E01320" w:rsidRDefault="00E01320" w:rsidP="00E01320">
      <w:pPr>
        <w:pStyle w:val="ListParagraph"/>
        <w:numPr>
          <w:ilvl w:val="0"/>
          <w:numId w:val="0"/>
        </w:numPr>
        <w:ind w:left="720"/>
        <w:rPr>
          <w:lang w:val="es-PE"/>
        </w:rPr>
      </w:pPr>
    </w:p>
    <w:p w14:paraId="699624FE" w14:textId="7FD2FA53" w:rsidR="00E01320" w:rsidRPr="00E01320" w:rsidRDefault="00E01320" w:rsidP="00E01320">
      <w:pPr>
        <w:pStyle w:val="ListParagraph"/>
        <w:numPr>
          <w:ilvl w:val="0"/>
          <w:numId w:val="4"/>
        </w:numPr>
        <w:rPr>
          <w:lang w:val="es-PE"/>
        </w:rPr>
      </w:pPr>
      <w:r>
        <w:rPr>
          <w:lang w:val="es-PE"/>
        </w:rPr>
        <w:t>___ es un argumento.</w:t>
      </w:r>
    </w:p>
    <w:p w14:paraId="583DEAB9" w14:textId="77777777" w:rsidR="00E01320" w:rsidRDefault="00E01320" w:rsidP="00E01320">
      <w:pPr>
        <w:pStyle w:val="ListParagraph"/>
        <w:numPr>
          <w:ilvl w:val="0"/>
          <w:numId w:val="0"/>
        </w:numPr>
        <w:ind w:left="720"/>
        <w:rPr>
          <w:lang w:val="es-PE"/>
        </w:rPr>
      </w:pPr>
    </w:p>
    <w:p w14:paraId="40161D82" w14:textId="5F08309D" w:rsidR="00E01320" w:rsidRPr="00E01320" w:rsidRDefault="00E01320" w:rsidP="00E01320">
      <w:pPr>
        <w:pStyle w:val="ListParagraph"/>
        <w:numPr>
          <w:ilvl w:val="0"/>
          <w:numId w:val="4"/>
        </w:numPr>
        <w:rPr>
          <w:lang w:val="es-PE"/>
        </w:rPr>
      </w:pPr>
      <w:r>
        <w:rPr>
          <w:lang w:val="es-PE"/>
        </w:rPr>
        <w:t>___ es un argumento.</w:t>
      </w:r>
    </w:p>
    <w:p w14:paraId="1597A108" w14:textId="77777777" w:rsidR="00E01320" w:rsidRDefault="00E01320" w:rsidP="00E01320">
      <w:pPr>
        <w:pStyle w:val="ListParagraph"/>
        <w:numPr>
          <w:ilvl w:val="0"/>
          <w:numId w:val="0"/>
        </w:numPr>
        <w:ind w:left="720"/>
        <w:rPr>
          <w:lang w:val="es-PE"/>
        </w:rPr>
      </w:pPr>
    </w:p>
    <w:p w14:paraId="2B76DA05" w14:textId="5A62A66E" w:rsidR="00E01320" w:rsidRPr="00E01320" w:rsidRDefault="00E01320" w:rsidP="00E01320">
      <w:pPr>
        <w:pStyle w:val="ListParagraph"/>
        <w:numPr>
          <w:ilvl w:val="0"/>
          <w:numId w:val="4"/>
        </w:numPr>
        <w:rPr>
          <w:lang w:val="es-PE"/>
        </w:rPr>
      </w:pPr>
      <w:r>
        <w:rPr>
          <w:lang w:val="es-PE"/>
        </w:rPr>
        <w:t>___ es un argumento.</w:t>
      </w:r>
    </w:p>
    <w:p w14:paraId="049833E1" w14:textId="77777777" w:rsidR="00E01320" w:rsidRDefault="00E01320" w:rsidP="00E01320">
      <w:pPr>
        <w:pStyle w:val="ListParagraph"/>
        <w:numPr>
          <w:ilvl w:val="0"/>
          <w:numId w:val="0"/>
        </w:numPr>
        <w:ind w:left="720"/>
        <w:rPr>
          <w:lang w:val="es-PE"/>
        </w:rPr>
      </w:pPr>
    </w:p>
    <w:p w14:paraId="0996CAD6" w14:textId="750965ED" w:rsidR="00E01320" w:rsidRPr="00E01320" w:rsidRDefault="00E01320" w:rsidP="00E01320">
      <w:pPr>
        <w:pStyle w:val="ListParagraph"/>
        <w:numPr>
          <w:ilvl w:val="0"/>
          <w:numId w:val="4"/>
        </w:numPr>
        <w:rPr>
          <w:lang w:val="es-PE"/>
        </w:rPr>
      </w:pPr>
      <w:r>
        <w:rPr>
          <w:lang w:val="es-PE"/>
        </w:rPr>
        <w:t>___ es un argumento.</w:t>
      </w:r>
    </w:p>
    <w:p w14:paraId="66E96368" w14:textId="77777777" w:rsidR="00E01320" w:rsidRDefault="00E01320" w:rsidP="00E01320">
      <w:pPr>
        <w:pStyle w:val="ListParagraph"/>
        <w:numPr>
          <w:ilvl w:val="0"/>
          <w:numId w:val="0"/>
        </w:numPr>
        <w:ind w:left="720"/>
        <w:rPr>
          <w:lang w:val="es-PE"/>
        </w:rPr>
      </w:pPr>
    </w:p>
    <w:p w14:paraId="78F01F1F" w14:textId="5E0AFF1A" w:rsidR="00E01320" w:rsidRPr="00E01320" w:rsidRDefault="00E01320" w:rsidP="00E01320">
      <w:pPr>
        <w:pStyle w:val="ListParagraph"/>
        <w:numPr>
          <w:ilvl w:val="0"/>
          <w:numId w:val="4"/>
        </w:numPr>
        <w:rPr>
          <w:lang w:val="es-PE"/>
        </w:rPr>
      </w:pPr>
      <w:r>
        <w:rPr>
          <w:lang w:val="es-PE"/>
        </w:rPr>
        <w:t>___ es un argumento.</w:t>
      </w:r>
    </w:p>
    <w:p w14:paraId="71021CDE" w14:textId="77777777" w:rsidR="00E01320" w:rsidRDefault="00E01320" w:rsidP="00E01320">
      <w:pPr>
        <w:pStyle w:val="ListParagraph"/>
        <w:numPr>
          <w:ilvl w:val="0"/>
          <w:numId w:val="0"/>
        </w:numPr>
        <w:ind w:left="720"/>
        <w:rPr>
          <w:lang w:val="es-PE"/>
        </w:rPr>
      </w:pPr>
    </w:p>
    <w:p w14:paraId="6C6B03CC" w14:textId="77777777" w:rsidR="00E01320" w:rsidRPr="00E01320" w:rsidRDefault="00E01320" w:rsidP="00E01320">
      <w:pPr>
        <w:pStyle w:val="ListParagraph"/>
        <w:numPr>
          <w:ilvl w:val="0"/>
          <w:numId w:val="4"/>
        </w:numPr>
        <w:rPr>
          <w:lang w:val="es-PE"/>
        </w:rPr>
      </w:pPr>
      <w:r>
        <w:rPr>
          <w:lang w:val="es-PE"/>
        </w:rPr>
        <w:t>___ es un argumento.</w:t>
      </w:r>
    </w:p>
    <w:p w14:paraId="2839D18D" w14:textId="77777777" w:rsidR="00E01320" w:rsidRDefault="00E01320" w:rsidP="00E01320">
      <w:pPr>
        <w:pStyle w:val="ListParagraph"/>
        <w:numPr>
          <w:ilvl w:val="0"/>
          <w:numId w:val="0"/>
        </w:numPr>
        <w:ind w:left="720"/>
        <w:rPr>
          <w:lang w:val="es-PE"/>
        </w:rPr>
      </w:pPr>
    </w:p>
    <w:p w14:paraId="607DA989" w14:textId="22977A41" w:rsidR="00E01320" w:rsidRPr="00E01320" w:rsidRDefault="00E01320" w:rsidP="00E01320">
      <w:pPr>
        <w:pStyle w:val="ListParagraph"/>
        <w:numPr>
          <w:ilvl w:val="0"/>
          <w:numId w:val="4"/>
        </w:numPr>
        <w:rPr>
          <w:lang w:val="es-PE"/>
        </w:rPr>
      </w:pPr>
      <w:r>
        <w:rPr>
          <w:lang w:val="es-PE"/>
        </w:rPr>
        <w:t>___ es un argumento.</w:t>
      </w:r>
    </w:p>
    <w:p w14:paraId="4A9D33B1" w14:textId="77777777" w:rsidR="00E01320" w:rsidRDefault="00E01320" w:rsidP="00E01320">
      <w:pPr>
        <w:pStyle w:val="ListParagraph"/>
        <w:numPr>
          <w:ilvl w:val="0"/>
          <w:numId w:val="0"/>
        </w:numPr>
        <w:ind w:left="720"/>
        <w:rPr>
          <w:lang w:val="es-PE"/>
        </w:rPr>
      </w:pPr>
    </w:p>
    <w:p w14:paraId="4FDDD37F" w14:textId="1C357A30" w:rsidR="00E01320" w:rsidRPr="00E01320" w:rsidRDefault="00E01320" w:rsidP="00E01320">
      <w:pPr>
        <w:pStyle w:val="ListParagraph"/>
        <w:numPr>
          <w:ilvl w:val="0"/>
          <w:numId w:val="4"/>
        </w:numPr>
        <w:rPr>
          <w:lang w:val="es-PE"/>
        </w:rPr>
      </w:pPr>
      <w:r>
        <w:rPr>
          <w:lang w:val="es-PE"/>
        </w:rPr>
        <w:t>___ es un argumento.</w:t>
      </w:r>
    </w:p>
    <w:p w14:paraId="0191A34E" w14:textId="77777777" w:rsidR="00E01320" w:rsidRDefault="00E01320" w:rsidP="00E01320">
      <w:pPr>
        <w:pStyle w:val="ListParagraph"/>
        <w:numPr>
          <w:ilvl w:val="0"/>
          <w:numId w:val="0"/>
        </w:numPr>
        <w:ind w:left="720"/>
        <w:rPr>
          <w:lang w:val="es-PE"/>
        </w:rPr>
      </w:pPr>
    </w:p>
    <w:p w14:paraId="0C078A1A" w14:textId="0BD4E63F" w:rsidR="00E01320" w:rsidRPr="00E01320" w:rsidRDefault="00E01320" w:rsidP="00E01320">
      <w:pPr>
        <w:pStyle w:val="ListParagraph"/>
        <w:numPr>
          <w:ilvl w:val="0"/>
          <w:numId w:val="4"/>
        </w:numPr>
        <w:rPr>
          <w:lang w:val="es-PE"/>
        </w:rPr>
      </w:pPr>
      <w:r>
        <w:rPr>
          <w:lang w:val="es-PE"/>
        </w:rPr>
        <w:t>___ es un argumento.</w:t>
      </w:r>
    </w:p>
    <w:p w14:paraId="5C3FAEEE" w14:textId="0E0A8356" w:rsidR="00807D64" w:rsidRDefault="00807D64" w:rsidP="008F792A">
      <w:pPr>
        <w:spacing w:after="0"/>
        <w:jc w:val="both"/>
        <w:rPr>
          <w:lang w:val="es-PE"/>
        </w:rPr>
      </w:pPr>
      <w:r w:rsidRPr="00807D64">
        <w:rPr>
          <w:b/>
          <w:bCs/>
          <w:lang w:val="es-PE"/>
        </w:rPr>
        <w:lastRenderedPageBreak/>
        <w:t>Referencias</w:t>
      </w:r>
    </w:p>
    <w:p w14:paraId="4128D59B" w14:textId="77777777" w:rsidR="005C3887" w:rsidRDefault="005C3887" w:rsidP="008F792A">
      <w:pPr>
        <w:spacing w:after="0"/>
        <w:jc w:val="both"/>
        <w:rPr>
          <w:lang w:val="es-PE"/>
        </w:rPr>
      </w:pPr>
    </w:p>
    <w:p w14:paraId="59FE0B72" w14:textId="77777777" w:rsidR="000C41B2" w:rsidRPr="00E41BBB" w:rsidRDefault="000C41B2" w:rsidP="000C41B2">
      <w:pPr>
        <w:spacing w:after="0"/>
        <w:ind w:left="567" w:hanging="567"/>
        <w:jc w:val="both"/>
      </w:pPr>
      <w:proofErr w:type="spellStart"/>
      <w:r>
        <w:rPr>
          <w:lang w:val="es-PE"/>
        </w:rPr>
        <w:t>Alroy</w:t>
      </w:r>
      <w:proofErr w:type="spellEnd"/>
      <w:r>
        <w:rPr>
          <w:lang w:val="es-PE"/>
        </w:rPr>
        <w:t xml:space="preserve">, D. (2000, 29 de marzo). </w:t>
      </w:r>
      <w:r w:rsidRPr="00E41BBB">
        <w:t xml:space="preserve">Invention vs Discovery. </w:t>
      </w:r>
      <w:r w:rsidRPr="00E41BBB">
        <w:rPr>
          <w:i/>
          <w:iCs/>
        </w:rPr>
        <w:t>The New York Times</w:t>
      </w:r>
      <w:r>
        <w:t>.</w:t>
      </w:r>
    </w:p>
    <w:p w14:paraId="020A06D5" w14:textId="77777777" w:rsidR="000C41B2" w:rsidRDefault="000C41B2" w:rsidP="000C41B2">
      <w:pPr>
        <w:spacing w:after="0"/>
        <w:ind w:left="567" w:hanging="567"/>
        <w:jc w:val="both"/>
        <w:rPr>
          <w:lang w:val="es-PE"/>
        </w:rPr>
      </w:pPr>
      <w:r>
        <w:rPr>
          <w:lang w:val="es-PE"/>
        </w:rPr>
        <w:t xml:space="preserve">Aristóteles. (1998). </w:t>
      </w:r>
      <w:r w:rsidRPr="0007305C">
        <w:rPr>
          <w:i/>
          <w:iCs/>
          <w:lang w:val="es-PE"/>
        </w:rPr>
        <w:t>Metafísica</w:t>
      </w:r>
      <w:r>
        <w:rPr>
          <w:lang w:val="es-PE"/>
        </w:rPr>
        <w:t>. T. Calvo (trad.). Gredos.</w:t>
      </w:r>
    </w:p>
    <w:p w14:paraId="30723235" w14:textId="77777777" w:rsidR="000C41B2" w:rsidRDefault="000C41B2" w:rsidP="000C41B2">
      <w:pPr>
        <w:spacing w:after="0"/>
        <w:ind w:left="567" w:hanging="567"/>
        <w:jc w:val="both"/>
        <w:rPr>
          <w:lang w:val="es-PE"/>
        </w:rPr>
      </w:pPr>
      <w:proofErr w:type="spellStart"/>
      <w:r w:rsidRPr="00E01320">
        <w:rPr>
          <w:lang w:val="es-PE"/>
        </w:rPr>
        <w:t>Copi</w:t>
      </w:r>
      <w:proofErr w:type="spellEnd"/>
      <w:r w:rsidRPr="00E01320">
        <w:rPr>
          <w:lang w:val="es-PE"/>
        </w:rPr>
        <w:t>, I. M. (2019). </w:t>
      </w:r>
      <w:r w:rsidRPr="00807D64">
        <w:rPr>
          <w:i/>
          <w:iCs/>
          <w:lang w:val="es-PE"/>
        </w:rPr>
        <w:t>Introducción a la lógica</w:t>
      </w:r>
      <w:r>
        <w:rPr>
          <w:i/>
          <w:iCs/>
          <w:lang w:val="es-PE"/>
        </w:rPr>
        <w:t>.</w:t>
      </w:r>
      <w:r w:rsidRPr="00807D64">
        <w:rPr>
          <w:i/>
          <w:iCs/>
          <w:lang w:val="es-PE"/>
        </w:rPr>
        <w:t> </w:t>
      </w:r>
      <w:r>
        <w:rPr>
          <w:lang w:val="es-PE"/>
        </w:rPr>
        <w:t xml:space="preserve">N. Míguez (trad.). </w:t>
      </w:r>
      <w:r w:rsidRPr="00807D64">
        <w:rPr>
          <w:lang w:val="es-PE"/>
        </w:rPr>
        <w:t>4 ed. Eudeba.</w:t>
      </w:r>
    </w:p>
    <w:p w14:paraId="163D470D" w14:textId="77777777" w:rsidR="000C41B2" w:rsidRPr="00674C87" w:rsidRDefault="000C41B2" w:rsidP="000C41B2">
      <w:pPr>
        <w:spacing w:after="0"/>
        <w:ind w:left="567" w:hanging="567"/>
        <w:contextualSpacing/>
        <w:jc w:val="both"/>
        <w:rPr>
          <w:lang w:val="es-PE"/>
        </w:rPr>
      </w:pPr>
      <w:proofErr w:type="spellStart"/>
      <w:r w:rsidRPr="00C01F87">
        <w:rPr>
          <w:lang w:val="es-PE"/>
        </w:rPr>
        <w:t>Copi</w:t>
      </w:r>
      <w:proofErr w:type="spellEnd"/>
      <w:r w:rsidRPr="00C01F87">
        <w:rPr>
          <w:lang w:val="es-PE"/>
        </w:rPr>
        <w:t xml:space="preserve">, I. </w:t>
      </w:r>
      <w:r>
        <w:rPr>
          <w:lang w:val="es-PE"/>
        </w:rPr>
        <w:t xml:space="preserve">M. </w:t>
      </w:r>
      <w:r w:rsidRPr="00C01F87">
        <w:rPr>
          <w:lang w:val="es-PE"/>
        </w:rPr>
        <w:t xml:space="preserve">(2001). </w:t>
      </w:r>
      <w:r w:rsidRPr="00E01320">
        <w:rPr>
          <w:i/>
          <w:iCs/>
          <w:lang w:val="es-PE"/>
        </w:rPr>
        <w:t>Lógica simbólica</w:t>
      </w:r>
      <w:r w:rsidRPr="00E01320">
        <w:rPr>
          <w:lang w:val="es-PE"/>
        </w:rPr>
        <w:t xml:space="preserve">. Andrés </w:t>
      </w:r>
      <w:proofErr w:type="spellStart"/>
      <w:r w:rsidRPr="00E01320">
        <w:rPr>
          <w:lang w:val="es-PE"/>
        </w:rPr>
        <w:t>Sestier</w:t>
      </w:r>
      <w:proofErr w:type="spellEnd"/>
      <w:r w:rsidRPr="00E01320">
        <w:rPr>
          <w:lang w:val="es-PE"/>
        </w:rPr>
        <w:t xml:space="preserve"> (trad.). </w:t>
      </w:r>
      <w:proofErr w:type="spellStart"/>
      <w:r w:rsidRPr="00E01320">
        <w:rPr>
          <w:lang w:val="es-PE"/>
        </w:rPr>
        <w:t>Cecsa</w:t>
      </w:r>
      <w:proofErr w:type="spellEnd"/>
      <w:r w:rsidRPr="00E01320">
        <w:rPr>
          <w:lang w:val="es-PE"/>
        </w:rPr>
        <w:t>.</w:t>
      </w:r>
    </w:p>
    <w:p w14:paraId="7D37D53F" w14:textId="77777777" w:rsidR="000C41B2" w:rsidRPr="00E01320" w:rsidRDefault="000C41B2" w:rsidP="000C41B2">
      <w:pPr>
        <w:spacing w:after="0"/>
        <w:ind w:left="567" w:hanging="567"/>
        <w:jc w:val="both"/>
        <w:rPr>
          <w:lang w:val="de-DE"/>
        </w:rPr>
      </w:pPr>
      <w:proofErr w:type="spellStart"/>
      <w:r w:rsidRPr="00E01320">
        <w:rPr>
          <w:lang w:val="es-PE"/>
        </w:rPr>
        <w:t>Copi</w:t>
      </w:r>
      <w:proofErr w:type="spellEnd"/>
      <w:r w:rsidRPr="00E01320">
        <w:rPr>
          <w:lang w:val="es-PE"/>
        </w:rPr>
        <w:t xml:space="preserve">, I. M. &amp; Cohen, C. (2011). </w:t>
      </w:r>
      <w:r w:rsidRPr="008A77C1">
        <w:rPr>
          <w:i/>
          <w:iCs/>
          <w:lang w:val="es-PE"/>
        </w:rPr>
        <w:t>Introducción a la lógica</w:t>
      </w:r>
      <w:r>
        <w:rPr>
          <w:lang w:val="es-PE"/>
        </w:rPr>
        <w:t xml:space="preserve">. </w:t>
      </w:r>
      <w:r w:rsidRPr="00E01320">
        <w:rPr>
          <w:lang w:val="de-DE"/>
        </w:rPr>
        <w:t xml:space="preserve">J. </w:t>
      </w:r>
      <w:proofErr w:type="spellStart"/>
      <w:r w:rsidRPr="00E01320">
        <w:rPr>
          <w:lang w:val="de-DE"/>
        </w:rPr>
        <w:t>Rangel</w:t>
      </w:r>
      <w:proofErr w:type="spellEnd"/>
      <w:r w:rsidRPr="00E01320">
        <w:rPr>
          <w:lang w:val="de-DE"/>
        </w:rPr>
        <w:t xml:space="preserve"> (trad.). </w:t>
      </w:r>
      <w:proofErr w:type="spellStart"/>
      <w:r w:rsidRPr="00E01320">
        <w:rPr>
          <w:lang w:val="de-DE"/>
        </w:rPr>
        <w:t>Limusa</w:t>
      </w:r>
      <w:proofErr w:type="spellEnd"/>
      <w:r w:rsidRPr="00E01320">
        <w:rPr>
          <w:lang w:val="de-DE"/>
        </w:rPr>
        <w:t>.</w:t>
      </w:r>
    </w:p>
    <w:p w14:paraId="4B726217" w14:textId="77777777" w:rsidR="000C41B2" w:rsidRPr="00E01320" w:rsidRDefault="000C41B2" w:rsidP="000C41B2">
      <w:pPr>
        <w:spacing w:after="0"/>
        <w:ind w:left="567" w:hanging="567"/>
        <w:jc w:val="both"/>
      </w:pPr>
      <w:r w:rsidRPr="00E01320">
        <w:rPr>
          <w:lang w:val="de-DE"/>
        </w:rPr>
        <w:t xml:space="preserve">Frege, G. (2013). </w:t>
      </w:r>
      <w:r w:rsidRPr="005C3887">
        <w:rPr>
          <w:i/>
          <w:iCs/>
          <w:lang w:val="es-PE"/>
        </w:rPr>
        <w:t>Ensayos de semántica y filosofía de la lógica</w:t>
      </w:r>
      <w:r>
        <w:rPr>
          <w:lang w:val="es-PE"/>
        </w:rPr>
        <w:t xml:space="preserve">. </w:t>
      </w:r>
      <w:r w:rsidRPr="00E01320">
        <w:t xml:space="preserve">L. </w:t>
      </w:r>
      <w:proofErr w:type="spellStart"/>
      <w:r w:rsidRPr="00E01320">
        <w:t>Valdéz</w:t>
      </w:r>
      <w:proofErr w:type="spellEnd"/>
      <w:r w:rsidRPr="00E01320">
        <w:t xml:space="preserve"> (trad.). </w:t>
      </w:r>
      <w:proofErr w:type="spellStart"/>
      <w:r w:rsidRPr="00E01320">
        <w:t>Tecnos</w:t>
      </w:r>
      <w:proofErr w:type="spellEnd"/>
      <w:r w:rsidRPr="00E01320">
        <w:t>.</w:t>
      </w:r>
    </w:p>
    <w:p w14:paraId="7E29F8EC" w14:textId="77777777" w:rsidR="000C41B2" w:rsidRDefault="000C41B2" w:rsidP="000C41B2">
      <w:pPr>
        <w:spacing w:after="0"/>
        <w:ind w:left="567" w:hanging="567"/>
        <w:jc w:val="both"/>
      </w:pPr>
      <w:r w:rsidRPr="00E01320">
        <w:t xml:space="preserve">Hayden, D. (2000, 9 de mayo). </w:t>
      </w:r>
      <w:r w:rsidRPr="00D21DD8">
        <w:t xml:space="preserve">Thy Neighbor, Thy Self. </w:t>
      </w:r>
      <w:r w:rsidRPr="0019353B">
        <w:rPr>
          <w:i/>
          <w:iCs/>
        </w:rPr>
        <w:t>The New York Times</w:t>
      </w:r>
      <w:r w:rsidRPr="0019353B">
        <w:t>.</w:t>
      </w:r>
    </w:p>
    <w:p w14:paraId="2B3F7D82" w14:textId="77777777" w:rsidR="000C41B2" w:rsidRPr="00957EF6" w:rsidRDefault="000C41B2" w:rsidP="000C41B2">
      <w:pPr>
        <w:spacing w:after="0"/>
        <w:ind w:left="567" w:hanging="567"/>
        <w:jc w:val="both"/>
        <w:rPr>
          <w:lang w:val="es-PE"/>
        </w:rPr>
      </w:pPr>
      <w:r w:rsidRPr="00957EF6">
        <w:rPr>
          <w:lang w:val="it-IT"/>
        </w:rPr>
        <w:t xml:space="preserve">Hölderlin, J. C. F. (1995). </w:t>
      </w:r>
      <w:r w:rsidRPr="00957EF6">
        <w:rPr>
          <w:i/>
          <w:iCs/>
          <w:lang w:val="it-IT"/>
        </w:rPr>
        <w:t xml:space="preserve">Poesía completa. </w:t>
      </w:r>
      <w:r w:rsidRPr="00957EF6">
        <w:rPr>
          <w:i/>
          <w:iCs/>
          <w:lang w:val="es-PE"/>
        </w:rPr>
        <w:t>Edición bilingüe</w:t>
      </w:r>
      <w:r w:rsidRPr="00957EF6">
        <w:rPr>
          <w:lang w:val="es-PE"/>
        </w:rPr>
        <w:t>. F</w:t>
      </w:r>
      <w:r>
        <w:rPr>
          <w:lang w:val="es-PE"/>
        </w:rPr>
        <w:t>. Gorbea (trad.). Ediciones 29.</w:t>
      </w:r>
    </w:p>
    <w:p w14:paraId="3DBE9CCC" w14:textId="77777777" w:rsidR="000C41B2" w:rsidRPr="00E01320" w:rsidRDefault="000C41B2" w:rsidP="000C41B2">
      <w:pPr>
        <w:spacing w:after="0"/>
        <w:ind w:left="567" w:hanging="567"/>
        <w:jc w:val="both"/>
        <w:rPr>
          <w:lang w:val="es-PE"/>
        </w:rPr>
      </w:pPr>
      <w:r w:rsidRPr="00957EF6">
        <w:rPr>
          <w:lang w:val="es-PE"/>
        </w:rPr>
        <w:t xml:space="preserve">Nietzsche, F. (2003). </w:t>
      </w:r>
      <w:r w:rsidRPr="009045B6">
        <w:rPr>
          <w:i/>
          <w:iCs/>
          <w:lang w:val="es-PE"/>
        </w:rPr>
        <w:t>Así habló Zaratustra</w:t>
      </w:r>
      <w:r>
        <w:rPr>
          <w:lang w:val="es-PE"/>
        </w:rPr>
        <w:t xml:space="preserve">. </w:t>
      </w:r>
      <w:r w:rsidRPr="00E01320">
        <w:rPr>
          <w:lang w:val="es-PE"/>
        </w:rPr>
        <w:t>A. Sánchez (trad.). Alianza.</w:t>
      </w:r>
    </w:p>
    <w:p w14:paraId="24D4B68D" w14:textId="7EC9C60B" w:rsidR="00C30B91" w:rsidRPr="00C30B91" w:rsidRDefault="00C30B91" w:rsidP="000C41B2">
      <w:pPr>
        <w:spacing w:after="0"/>
        <w:ind w:left="567" w:hanging="567"/>
        <w:jc w:val="both"/>
        <w:rPr>
          <w:lang w:val="es-PE"/>
        </w:rPr>
      </w:pPr>
      <w:r w:rsidRPr="00E01320">
        <w:rPr>
          <w:lang w:val="es-PE"/>
        </w:rPr>
        <w:t xml:space="preserve">Nietzsche, F. (1994). </w:t>
      </w:r>
      <w:r w:rsidRPr="00C30B91">
        <w:rPr>
          <w:i/>
          <w:iCs/>
          <w:lang w:val="es-PE"/>
        </w:rPr>
        <w:t>Aurora. Reflexiones sobre la moral como prejuicio</w:t>
      </w:r>
      <w:r>
        <w:rPr>
          <w:lang w:val="es-PE"/>
        </w:rPr>
        <w:t>. E. López (intr.). M. E. Editores.</w:t>
      </w:r>
    </w:p>
    <w:p w14:paraId="54921D44" w14:textId="28A6DF64" w:rsidR="000C41B2" w:rsidRPr="000C41B2" w:rsidRDefault="000C41B2" w:rsidP="000C41B2">
      <w:pPr>
        <w:spacing w:after="0"/>
        <w:ind w:left="567" w:hanging="567"/>
        <w:jc w:val="both"/>
        <w:rPr>
          <w:lang w:val="es-PE"/>
        </w:rPr>
      </w:pPr>
      <w:r w:rsidRPr="00E01320">
        <w:rPr>
          <w:lang w:val="es-PE"/>
        </w:rPr>
        <w:t xml:space="preserve">Ponce, T. (2009). </w:t>
      </w:r>
      <w:r w:rsidRPr="000C41B2">
        <w:rPr>
          <w:i/>
          <w:iCs/>
          <w:lang w:val="es-PE"/>
        </w:rPr>
        <w:t>La diversidad cultural en una escuela EIB en Ayacucho</w:t>
      </w:r>
      <w:r w:rsidRPr="000C41B2">
        <w:rPr>
          <w:lang w:val="es-PE"/>
        </w:rPr>
        <w:t xml:space="preserve"> </w:t>
      </w:r>
      <w:r>
        <w:rPr>
          <w:lang w:val="es-PE"/>
        </w:rPr>
        <w:t>[t</w:t>
      </w:r>
      <w:r w:rsidRPr="000C41B2">
        <w:rPr>
          <w:lang w:val="es-PE"/>
        </w:rPr>
        <w:t xml:space="preserve">esis de </w:t>
      </w:r>
      <w:r>
        <w:rPr>
          <w:lang w:val="es-PE"/>
        </w:rPr>
        <w:t>l</w:t>
      </w:r>
      <w:r w:rsidRPr="000C41B2">
        <w:rPr>
          <w:lang w:val="es-PE"/>
        </w:rPr>
        <w:t>icenciatura</w:t>
      </w:r>
      <w:r>
        <w:rPr>
          <w:lang w:val="es-PE"/>
        </w:rPr>
        <w:t xml:space="preserve">]. </w:t>
      </w:r>
      <w:r w:rsidRPr="000C41B2">
        <w:rPr>
          <w:lang w:val="es-PE"/>
        </w:rPr>
        <w:t>Pontificia Universidad Católica del Perú.</w:t>
      </w:r>
    </w:p>
    <w:p w14:paraId="0479ADC5" w14:textId="77777777" w:rsidR="000C41B2" w:rsidRPr="00272D97" w:rsidRDefault="000C41B2" w:rsidP="000C41B2">
      <w:pPr>
        <w:spacing w:after="0"/>
        <w:ind w:left="567" w:hanging="567"/>
        <w:jc w:val="both"/>
        <w:rPr>
          <w:lang w:val="es-PE"/>
        </w:rPr>
      </w:pPr>
      <w:r w:rsidRPr="00272D97">
        <w:rPr>
          <w:lang w:val="es-PE"/>
        </w:rPr>
        <w:t xml:space="preserve">Quiroz, A. W. (2013). </w:t>
      </w:r>
      <w:r w:rsidRPr="00272D97">
        <w:rPr>
          <w:i/>
          <w:iCs/>
          <w:lang w:val="es-PE"/>
        </w:rPr>
        <w:t>Historia de la corrupción en el Perú</w:t>
      </w:r>
      <w:r>
        <w:rPr>
          <w:lang w:val="es-PE"/>
        </w:rPr>
        <w:t xml:space="preserve">. J. Flores (trad.). </w:t>
      </w:r>
      <w:r w:rsidRPr="00272D97">
        <w:rPr>
          <w:lang w:val="es-PE"/>
        </w:rPr>
        <w:t>Instituto de Estudios Peruanos.</w:t>
      </w:r>
    </w:p>
    <w:p w14:paraId="4B0C1FE7" w14:textId="77777777" w:rsidR="000C41B2" w:rsidRPr="006223B0" w:rsidRDefault="000C41B2" w:rsidP="000C41B2">
      <w:pPr>
        <w:spacing w:after="0"/>
        <w:ind w:left="567" w:hanging="567"/>
        <w:jc w:val="both"/>
        <w:rPr>
          <w:lang w:val="es-PE"/>
        </w:rPr>
      </w:pPr>
      <w:r w:rsidRPr="00E01320">
        <w:rPr>
          <w:lang w:val="es-PE"/>
        </w:rPr>
        <w:t xml:space="preserve">Schopenhauer, A. (2013). </w:t>
      </w:r>
      <w:proofErr w:type="spellStart"/>
      <w:r w:rsidRPr="006223B0">
        <w:rPr>
          <w:i/>
          <w:iCs/>
          <w:lang w:val="es-PE"/>
        </w:rPr>
        <w:t>Parerga</w:t>
      </w:r>
      <w:proofErr w:type="spellEnd"/>
      <w:r w:rsidRPr="006223B0">
        <w:rPr>
          <w:i/>
          <w:iCs/>
          <w:lang w:val="es-PE"/>
        </w:rPr>
        <w:t xml:space="preserve"> y </w:t>
      </w:r>
      <w:proofErr w:type="spellStart"/>
      <w:r w:rsidRPr="006223B0">
        <w:rPr>
          <w:i/>
          <w:iCs/>
          <w:lang w:val="es-PE"/>
        </w:rPr>
        <w:t>paralipómena</w:t>
      </w:r>
      <w:proofErr w:type="spellEnd"/>
      <w:r>
        <w:rPr>
          <w:lang w:val="es-PE"/>
        </w:rPr>
        <w:t>. P. López de Santa María (trad.). Trotta.</w:t>
      </w:r>
    </w:p>
    <w:p w14:paraId="792C4728" w14:textId="77777777" w:rsidR="000C41B2" w:rsidRPr="00876520" w:rsidRDefault="000C41B2" w:rsidP="000C41B2">
      <w:pPr>
        <w:spacing w:after="0"/>
        <w:ind w:left="567" w:hanging="567"/>
        <w:jc w:val="both"/>
        <w:rPr>
          <w:lang w:val="de-DE"/>
        </w:rPr>
      </w:pPr>
      <w:r w:rsidRPr="006223B0">
        <w:rPr>
          <w:lang w:val="es-PE"/>
        </w:rPr>
        <w:t xml:space="preserve">Todorov, T. (2010). </w:t>
      </w:r>
      <w:r w:rsidRPr="00876520">
        <w:rPr>
          <w:i/>
          <w:iCs/>
          <w:lang w:val="es-PE"/>
        </w:rPr>
        <w:t>La experiencia totalitaria</w:t>
      </w:r>
      <w:r>
        <w:rPr>
          <w:lang w:val="es-PE"/>
        </w:rPr>
        <w:t xml:space="preserve">. </w:t>
      </w:r>
      <w:r w:rsidRPr="00876520">
        <w:rPr>
          <w:lang w:val="de-DE"/>
        </w:rPr>
        <w:t xml:space="preserve">N. </w:t>
      </w:r>
      <w:proofErr w:type="spellStart"/>
      <w:r>
        <w:rPr>
          <w:lang w:val="de-DE"/>
        </w:rPr>
        <w:t>Sobregués</w:t>
      </w:r>
      <w:proofErr w:type="spellEnd"/>
      <w:r>
        <w:rPr>
          <w:lang w:val="de-DE"/>
        </w:rPr>
        <w:t xml:space="preserve"> (trad.). </w:t>
      </w:r>
      <w:proofErr w:type="spellStart"/>
      <w:r w:rsidRPr="00876520">
        <w:rPr>
          <w:lang w:val="de-DE"/>
        </w:rPr>
        <w:t>Galaxia</w:t>
      </w:r>
      <w:proofErr w:type="spellEnd"/>
      <w:r w:rsidRPr="00876520">
        <w:rPr>
          <w:lang w:val="de-DE"/>
        </w:rPr>
        <w:t xml:space="preserve"> Gutenberg.</w:t>
      </w:r>
    </w:p>
    <w:p w14:paraId="2B30C9BF" w14:textId="77777777" w:rsidR="000C41B2" w:rsidRPr="00D43DEF" w:rsidRDefault="000C41B2" w:rsidP="000C41B2">
      <w:pPr>
        <w:spacing w:after="0"/>
        <w:ind w:left="567" w:hanging="567"/>
        <w:jc w:val="both"/>
        <w:rPr>
          <w:lang w:val="es-PE"/>
        </w:rPr>
      </w:pPr>
      <w:r w:rsidRPr="00D43DEF">
        <w:rPr>
          <w:lang w:val="es-PE"/>
        </w:rPr>
        <w:t xml:space="preserve">Todorov, T. (2008). </w:t>
      </w:r>
      <w:r w:rsidRPr="00D43DEF">
        <w:rPr>
          <w:i/>
          <w:iCs/>
          <w:lang w:val="es-PE"/>
        </w:rPr>
        <w:t>Los abusos de la memoria</w:t>
      </w:r>
      <w:r>
        <w:rPr>
          <w:lang w:val="es-PE"/>
        </w:rPr>
        <w:t>. M. Salazar (trad.). Paidós.</w:t>
      </w:r>
    </w:p>
    <w:p w14:paraId="00B92355" w14:textId="77777777" w:rsidR="000C41B2" w:rsidRDefault="000C41B2" w:rsidP="000C41B2">
      <w:pPr>
        <w:spacing w:after="0"/>
        <w:ind w:left="567" w:hanging="567"/>
        <w:jc w:val="both"/>
        <w:rPr>
          <w:lang w:val="es-PE"/>
        </w:rPr>
      </w:pPr>
      <w:r w:rsidRPr="00D43DEF">
        <w:rPr>
          <w:lang w:val="es-PE"/>
        </w:rPr>
        <w:t xml:space="preserve">Vallejo, C. (1973). </w:t>
      </w:r>
      <w:r w:rsidRPr="008A77C1">
        <w:rPr>
          <w:i/>
          <w:iCs/>
          <w:lang w:val="es-PE"/>
        </w:rPr>
        <w:t>Contra el secreto profesional</w:t>
      </w:r>
      <w:r>
        <w:rPr>
          <w:lang w:val="es-PE"/>
        </w:rPr>
        <w:t xml:space="preserve">. Mosca Azul. </w:t>
      </w:r>
    </w:p>
    <w:p w14:paraId="598D19F1" w14:textId="77777777" w:rsidR="000C41B2" w:rsidRPr="000C41B2" w:rsidRDefault="000C41B2" w:rsidP="000C41B2">
      <w:pPr>
        <w:spacing w:after="0"/>
        <w:ind w:left="567" w:hanging="567"/>
        <w:jc w:val="both"/>
        <w:rPr>
          <w:lang w:val="es-PE"/>
        </w:rPr>
      </w:pPr>
      <w:r>
        <w:rPr>
          <w:lang w:val="es-PE"/>
        </w:rPr>
        <w:t xml:space="preserve">Vich, V. (2010). </w:t>
      </w:r>
      <w:r w:rsidRPr="000C41B2">
        <w:rPr>
          <w:lang w:val="es-PE"/>
        </w:rPr>
        <w:t>El discurso sobre la sierra del Perú: la fantasía del atraso</w:t>
      </w:r>
      <w:r>
        <w:rPr>
          <w:lang w:val="es-PE"/>
        </w:rPr>
        <w:t xml:space="preserve">. </w:t>
      </w:r>
      <w:proofErr w:type="spellStart"/>
      <w:r w:rsidRPr="000C41B2">
        <w:rPr>
          <w:i/>
          <w:iCs/>
        </w:rPr>
        <w:t>Crítica</w:t>
      </w:r>
      <w:proofErr w:type="spellEnd"/>
      <w:r w:rsidRPr="000C41B2">
        <w:rPr>
          <w:i/>
          <w:iCs/>
        </w:rPr>
        <w:t xml:space="preserve"> y </w:t>
      </w:r>
      <w:proofErr w:type="spellStart"/>
      <w:r w:rsidRPr="000C41B2">
        <w:rPr>
          <w:i/>
          <w:iCs/>
        </w:rPr>
        <w:t>Emancipación</w:t>
      </w:r>
      <w:proofErr w:type="spellEnd"/>
      <w:r>
        <w:t>,</w:t>
      </w:r>
      <w:r w:rsidRPr="000C41B2">
        <w:t xml:space="preserve"> </w:t>
      </w:r>
      <w:r w:rsidRPr="000C41B2">
        <w:rPr>
          <w:i/>
          <w:iCs/>
        </w:rPr>
        <w:t>2</w:t>
      </w:r>
      <w:r>
        <w:t>(</w:t>
      </w:r>
      <w:r w:rsidRPr="000C41B2">
        <w:t>3</w:t>
      </w:r>
      <w:r>
        <w:t>), 155-168.</w:t>
      </w:r>
    </w:p>
    <w:sectPr w:rsidR="000C41B2" w:rsidRPr="000C41B2" w:rsidSect="00E01320">
      <w:footerReference w:type="default" r:id="rId10"/>
      <w:pgSz w:w="11907" w:h="16840"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9B689" w14:textId="77777777" w:rsidR="005252E3" w:rsidRDefault="005252E3" w:rsidP="00C83CDC">
      <w:pPr>
        <w:spacing w:after="0" w:line="240" w:lineRule="auto"/>
      </w:pPr>
      <w:r>
        <w:separator/>
      </w:r>
    </w:p>
  </w:endnote>
  <w:endnote w:type="continuationSeparator" w:id="0">
    <w:p w14:paraId="04B70FF9" w14:textId="77777777" w:rsidR="005252E3" w:rsidRDefault="005252E3" w:rsidP="00C8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3510014"/>
      <w:docPartObj>
        <w:docPartGallery w:val="Page Numbers (Bottom of Page)"/>
        <w:docPartUnique/>
      </w:docPartObj>
    </w:sdtPr>
    <w:sdtEndPr>
      <w:rPr>
        <w:noProof/>
      </w:rPr>
    </w:sdtEndPr>
    <w:sdtContent>
      <w:p w14:paraId="5676DB38" w14:textId="5095889C" w:rsidR="00E01320" w:rsidRDefault="00E013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A1708" w14:textId="77777777" w:rsidR="00E01320" w:rsidRDefault="00E01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873F" w14:textId="77777777" w:rsidR="005252E3" w:rsidRDefault="005252E3" w:rsidP="00C83CDC">
      <w:pPr>
        <w:spacing w:after="0" w:line="240" w:lineRule="auto"/>
      </w:pPr>
      <w:r>
        <w:separator/>
      </w:r>
    </w:p>
  </w:footnote>
  <w:footnote w:type="continuationSeparator" w:id="0">
    <w:p w14:paraId="7A01E502" w14:textId="77777777" w:rsidR="005252E3" w:rsidRDefault="005252E3" w:rsidP="00C83CDC">
      <w:pPr>
        <w:spacing w:after="0" w:line="240" w:lineRule="auto"/>
      </w:pPr>
      <w:r>
        <w:continuationSeparator/>
      </w:r>
    </w:p>
  </w:footnote>
  <w:footnote w:id="1">
    <w:p w14:paraId="6AB7593A" w14:textId="11D79A8A" w:rsidR="009B1515" w:rsidRPr="0019353B" w:rsidRDefault="009B1515">
      <w:pPr>
        <w:pStyle w:val="FootnoteText"/>
        <w:rPr>
          <w:sz w:val="18"/>
          <w:szCs w:val="18"/>
          <w:lang w:val="es-PE"/>
        </w:rPr>
      </w:pPr>
      <w:r w:rsidRPr="00045BDB">
        <w:rPr>
          <w:rStyle w:val="FootnoteReference"/>
          <w:sz w:val="18"/>
          <w:szCs w:val="18"/>
        </w:rPr>
        <w:footnoteRef/>
      </w:r>
      <w:r w:rsidRPr="0019353B">
        <w:rPr>
          <w:sz w:val="18"/>
          <w:szCs w:val="18"/>
          <w:lang w:val="es-PE"/>
        </w:rPr>
        <w:t xml:space="preserve"> Tomado de </w:t>
      </w:r>
      <w:proofErr w:type="spellStart"/>
      <w:r w:rsidRPr="0019353B">
        <w:rPr>
          <w:sz w:val="18"/>
          <w:szCs w:val="18"/>
          <w:lang w:val="es-PE"/>
        </w:rPr>
        <w:t>Copi</w:t>
      </w:r>
      <w:proofErr w:type="spellEnd"/>
      <w:r w:rsidRPr="0019353B">
        <w:rPr>
          <w:sz w:val="18"/>
          <w:szCs w:val="18"/>
          <w:lang w:val="es-PE"/>
        </w:rPr>
        <w:t xml:space="preserve"> &amp; Cohen (2011, p. 8).</w:t>
      </w:r>
    </w:p>
  </w:footnote>
  <w:footnote w:id="2">
    <w:p w14:paraId="59F9CE02" w14:textId="79C00E21" w:rsidR="005C3887" w:rsidRPr="005C3887" w:rsidRDefault="005C3887">
      <w:pPr>
        <w:pStyle w:val="FootnoteText"/>
        <w:rPr>
          <w:lang w:val="es-PE"/>
        </w:rPr>
      </w:pPr>
      <w:r>
        <w:rPr>
          <w:rStyle w:val="FootnoteReference"/>
        </w:rPr>
        <w:footnoteRef/>
      </w:r>
      <w:r w:rsidRPr="005C3887">
        <w:rPr>
          <w:lang w:val="es-PE"/>
        </w:rPr>
        <w:t xml:space="preserve"> </w:t>
      </w:r>
      <w:r>
        <w:rPr>
          <w:lang w:val="es-PE"/>
        </w:rPr>
        <w:t xml:space="preserve">Carta de Gottlob Frege a su hijo Alfred, fechada el 1 de enero de 1925 (citada en </w:t>
      </w:r>
      <w:proofErr w:type="spellStart"/>
      <w:r>
        <w:rPr>
          <w:lang w:val="es-PE"/>
        </w:rPr>
        <w:t>Valdéz</w:t>
      </w:r>
      <w:proofErr w:type="spellEnd"/>
      <w:r>
        <w:rPr>
          <w:lang w:val="es-PE"/>
        </w:rPr>
        <w:t>, 2013, p.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2B2E"/>
    <w:multiLevelType w:val="hybridMultilevel"/>
    <w:tmpl w:val="1AF81F0E"/>
    <w:lvl w:ilvl="0" w:tplc="B36604A4">
      <w:start w:val="1"/>
      <w:numFmt w:val="lowerLetter"/>
      <w:pStyle w:val="ListParagraph"/>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F039D"/>
    <w:multiLevelType w:val="hybridMultilevel"/>
    <w:tmpl w:val="BC989976"/>
    <w:lvl w:ilvl="0" w:tplc="D6BEB3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41D3E"/>
    <w:multiLevelType w:val="hybridMultilevel"/>
    <w:tmpl w:val="7892EAFA"/>
    <w:lvl w:ilvl="0" w:tplc="3F449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65BF0"/>
    <w:multiLevelType w:val="hybridMultilevel"/>
    <w:tmpl w:val="02DE5E08"/>
    <w:lvl w:ilvl="0" w:tplc="F170E82A">
      <w:start w:val="1"/>
      <w:numFmt w:val="lowerRoman"/>
      <w:lvlText w:val="%1."/>
      <w:lvlJc w:val="left"/>
      <w:pPr>
        <w:ind w:left="1080" w:hanging="72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472818">
    <w:abstractNumId w:val="3"/>
  </w:num>
  <w:num w:numId="2" w16cid:durableId="386806350">
    <w:abstractNumId w:val="2"/>
  </w:num>
  <w:num w:numId="3" w16cid:durableId="1847283705">
    <w:abstractNumId w:val="0"/>
  </w:num>
  <w:num w:numId="4" w16cid:durableId="281348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D3"/>
    <w:rsid w:val="000158C6"/>
    <w:rsid w:val="000438E6"/>
    <w:rsid w:val="00045BDB"/>
    <w:rsid w:val="0007305C"/>
    <w:rsid w:val="000B06D2"/>
    <w:rsid w:val="000C41B2"/>
    <w:rsid w:val="00151D77"/>
    <w:rsid w:val="0019353B"/>
    <w:rsid w:val="00260F16"/>
    <w:rsid w:val="00272D97"/>
    <w:rsid w:val="002768DF"/>
    <w:rsid w:val="002946B6"/>
    <w:rsid w:val="002D70E7"/>
    <w:rsid w:val="00323B81"/>
    <w:rsid w:val="003C1ED4"/>
    <w:rsid w:val="0041355A"/>
    <w:rsid w:val="004926AD"/>
    <w:rsid w:val="004B572D"/>
    <w:rsid w:val="004C1ED3"/>
    <w:rsid w:val="004F36DA"/>
    <w:rsid w:val="004F532D"/>
    <w:rsid w:val="004F5471"/>
    <w:rsid w:val="005252E3"/>
    <w:rsid w:val="005A235E"/>
    <w:rsid w:val="005C3887"/>
    <w:rsid w:val="005C7D70"/>
    <w:rsid w:val="005D74B2"/>
    <w:rsid w:val="006178D6"/>
    <w:rsid w:val="006223B0"/>
    <w:rsid w:val="006369F5"/>
    <w:rsid w:val="006A42B5"/>
    <w:rsid w:val="006D4E66"/>
    <w:rsid w:val="007423D8"/>
    <w:rsid w:val="007A2195"/>
    <w:rsid w:val="007B6F2E"/>
    <w:rsid w:val="00807D64"/>
    <w:rsid w:val="00831454"/>
    <w:rsid w:val="00863A52"/>
    <w:rsid w:val="00876520"/>
    <w:rsid w:val="0088215C"/>
    <w:rsid w:val="008A77C1"/>
    <w:rsid w:val="008F792A"/>
    <w:rsid w:val="009045B6"/>
    <w:rsid w:val="00932109"/>
    <w:rsid w:val="00945D85"/>
    <w:rsid w:val="00957EF6"/>
    <w:rsid w:val="00991445"/>
    <w:rsid w:val="009B1515"/>
    <w:rsid w:val="00A5233F"/>
    <w:rsid w:val="00AA15C0"/>
    <w:rsid w:val="00B03DF4"/>
    <w:rsid w:val="00B84C20"/>
    <w:rsid w:val="00BB027E"/>
    <w:rsid w:val="00C30B91"/>
    <w:rsid w:val="00C35523"/>
    <w:rsid w:val="00C83CDC"/>
    <w:rsid w:val="00C83EB9"/>
    <w:rsid w:val="00CE276D"/>
    <w:rsid w:val="00D11149"/>
    <w:rsid w:val="00D21DD8"/>
    <w:rsid w:val="00D43DEF"/>
    <w:rsid w:val="00E01320"/>
    <w:rsid w:val="00E41BBB"/>
    <w:rsid w:val="00E54D7D"/>
    <w:rsid w:val="00EC040C"/>
    <w:rsid w:val="00EF6961"/>
    <w:rsid w:val="00F206E3"/>
    <w:rsid w:val="00F3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DB258"/>
  <w15:chartTrackingRefBased/>
  <w15:docId w15:val="{54703D26-0D39-4BE2-BC88-F2C9E3B8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B6"/>
    <w:pPr>
      <w:spacing w:line="276" w:lineRule="auto"/>
    </w:pPr>
    <w:rPr>
      <w:rFonts w:ascii="Cambria" w:hAnsi="Cambria"/>
      <w:sz w:val="20"/>
    </w:rPr>
  </w:style>
  <w:style w:type="paragraph" w:styleId="Heading1">
    <w:name w:val="heading 1"/>
    <w:basedOn w:val="Normal"/>
    <w:next w:val="Normal"/>
    <w:link w:val="Heading1Char"/>
    <w:uiPriority w:val="9"/>
    <w:qFormat/>
    <w:rsid w:val="004C1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6369F5"/>
    <w:pPr>
      <w:spacing w:after="120" w:line="240" w:lineRule="auto"/>
      <w:ind w:left="1440" w:right="720"/>
      <w:contextualSpacing/>
      <w:jc w:val="both"/>
    </w:pPr>
    <w:rPr>
      <w:iCs/>
      <w:color w:val="000000" w:themeColor="text1"/>
    </w:rPr>
  </w:style>
  <w:style w:type="character" w:customStyle="1" w:styleId="QuoteChar">
    <w:name w:val="Quote Char"/>
    <w:basedOn w:val="DefaultParagraphFont"/>
    <w:link w:val="Quote"/>
    <w:uiPriority w:val="29"/>
    <w:rsid w:val="006369F5"/>
    <w:rPr>
      <w:iCs/>
      <w:color w:val="000000" w:themeColor="text1"/>
    </w:rPr>
  </w:style>
  <w:style w:type="character" w:customStyle="1" w:styleId="Heading1Char">
    <w:name w:val="Heading 1 Char"/>
    <w:basedOn w:val="DefaultParagraphFont"/>
    <w:link w:val="Heading1"/>
    <w:uiPriority w:val="9"/>
    <w:rsid w:val="004C1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ED3"/>
    <w:rPr>
      <w:rFonts w:eastAsiaTheme="majorEastAsia" w:cstheme="majorBidi"/>
      <w:color w:val="272727" w:themeColor="text1" w:themeTint="D8"/>
    </w:rPr>
  </w:style>
  <w:style w:type="paragraph" w:styleId="Title">
    <w:name w:val="Title"/>
    <w:basedOn w:val="Normal"/>
    <w:next w:val="Normal"/>
    <w:link w:val="TitleChar"/>
    <w:uiPriority w:val="10"/>
    <w:qFormat/>
    <w:rsid w:val="004C1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ED3"/>
    <w:rPr>
      <w:rFonts w:eastAsiaTheme="majorEastAsia" w:cstheme="majorBidi"/>
      <w:color w:val="595959" w:themeColor="text1" w:themeTint="A6"/>
      <w:spacing w:val="15"/>
      <w:sz w:val="28"/>
      <w:szCs w:val="28"/>
    </w:rPr>
  </w:style>
  <w:style w:type="paragraph" w:styleId="ListParagraph">
    <w:name w:val="List Paragraph"/>
    <w:basedOn w:val="Normal"/>
    <w:autoRedefine/>
    <w:uiPriority w:val="34"/>
    <w:qFormat/>
    <w:rsid w:val="002946B6"/>
    <w:pPr>
      <w:numPr>
        <w:numId w:val="3"/>
      </w:numPr>
      <w:spacing w:after="0"/>
      <w:ind w:left="714" w:hanging="357"/>
      <w:contextualSpacing/>
      <w:jc w:val="both"/>
    </w:pPr>
    <w:rPr>
      <w:color w:val="000000" w:themeColor="text1"/>
    </w:rPr>
  </w:style>
  <w:style w:type="character" w:styleId="IntenseEmphasis">
    <w:name w:val="Intense Emphasis"/>
    <w:basedOn w:val="DefaultParagraphFont"/>
    <w:uiPriority w:val="21"/>
    <w:qFormat/>
    <w:rsid w:val="004C1ED3"/>
    <w:rPr>
      <w:i/>
      <w:iCs/>
      <w:color w:val="0F4761" w:themeColor="accent1" w:themeShade="BF"/>
    </w:rPr>
  </w:style>
  <w:style w:type="paragraph" w:styleId="IntenseQuote">
    <w:name w:val="Intense Quote"/>
    <w:basedOn w:val="Normal"/>
    <w:next w:val="Normal"/>
    <w:link w:val="IntenseQuoteChar"/>
    <w:uiPriority w:val="30"/>
    <w:qFormat/>
    <w:rsid w:val="004C1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ED3"/>
    <w:rPr>
      <w:i/>
      <w:iCs/>
      <w:color w:val="0F4761" w:themeColor="accent1" w:themeShade="BF"/>
    </w:rPr>
  </w:style>
  <w:style w:type="character" w:styleId="IntenseReference">
    <w:name w:val="Intense Reference"/>
    <w:basedOn w:val="DefaultParagraphFont"/>
    <w:uiPriority w:val="32"/>
    <w:qFormat/>
    <w:rsid w:val="004C1ED3"/>
    <w:rPr>
      <w:b/>
      <w:bCs/>
      <w:smallCaps/>
      <w:color w:val="0F4761" w:themeColor="accent1" w:themeShade="BF"/>
      <w:spacing w:val="5"/>
    </w:rPr>
  </w:style>
  <w:style w:type="paragraph" w:styleId="FootnoteText">
    <w:name w:val="footnote text"/>
    <w:basedOn w:val="Normal"/>
    <w:link w:val="FootnoteTextChar"/>
    <w:uiPriority w:val="99"/>
    <w:semiHidden/>
    <w:unhideWhenUsed/>
    <w:rsid w:val="00C83CDC"/>
    <w:pPr>
      <w:spacing w:after="0" w:line="240" w:lineRule="auto"/>
    </w:pPr>
    <w:rPr>
      <w:szCs w:val="20"/>
    </w:rPr>
  </w:style>
  <w:style w:type="character" w:customStyle="1" w:styleId="FootnoteTextChar">
    <w:name w:val="Footnote Text Char"/>
    <w:basedOn w:val="DefaultParagraphFont"/>
    <w:link w:val="FootnoteText"/>
    <w:uiPriority w:val="99"/>
    <w:semiHidden/>
    <w:rsid w:val="00C83CDC"/>
    <w:rPr>
      <w:sz w:val="20"/>
      <w:szCs w:val="20"/>
    </w:rPr>
  </w:style>
  <w:style w:type="character" w:styleId="FootnoteReference">
    <w:name w:val="footnote reference"/>
    <w:basedOn w:val="DefaultParagraphFont"/>
    <w:uiPriority w:val="99"/>
    <w:semiHidden/>
    <w:unhideWhenUsed/>
    <w:rsid w:val="00C83CDC"/>
    <w:rPr>
      <w:vertAlign w:val="superscript"/>
    </w:rPr>
  </w:style>
  <w:style w:type="character" w:styleId="PlaceholderText">
    <w:name w:val="Placeholder Text"/>
    <w:basedOn w:val="DefaultParagraphFont"/>
    <w:uiPriority w:val="99"/>
    <w:semiHidden/>
    <w:rsid w:val="008F792A"/>
    <w:rPr>
      <w:color w:val="666666"/>
    </w:rPr>
  </w:style>
  <w:style w:type="character" w:styleId="Hyperlink">
    <w:name w:val="Hyperlink"/>
    <w:basedOn w:val="DefaultParagraphFont"/>
    <w:uiPriority w:val="99"/>
    <w:unhideWhenUsed/>
    <w:rsid w:val="009045B6"/>
    <w:rPr>
      <w:color w:val="467886" w:themeColor="hyperlink"/>
      <w:u w:val="single"/>
    </w:rPr>
  </w:style>
  <w:style w:type="character" w:styleId="UnresolvedMention">
    <w:name w:val="Unresolved Mention"/>
    <w:basedOn w:val="DefaultParagraphFont"/>
    <w:uiPriority w:val="99"/>
    <w:semiHidden/>
    <w:unhideWhenUsed/>
    <w:rsid w:val="009045B6"/>
    <w:rPr>
      <w:color w:val="605E5C"/>
      <w:shd w:val="clear" w:color="auto" w:fill="E1DFDD"/>
    </w:rPr>
  </w:style>
  <w:style w:type="table" w:styleId="TableGrid">
    <w:name w:val="Table Grid"/>
    <w:basedOn w:val="TableNormal"/>
    <w:uiPriority w:val="39"/>
    <w:rsid w:val="005C3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320"/>
    <w:rPr>
      <w:rFonts w:ascii="Cambria" w:hAnsi="Cambria"/>
      <w:sz w:val="20"/>
    </w:rPr>
  </w:style>
  <w:style w:type="paragraph" w:styleId="Footer">
    <w:name w:val="footer"/>
    <w:basedOn w:val="Normal"/>
    <w:link w:val="FooterChar"/>
    <w:uiPriority w:val="99"/>
    <w:unhideWhenUsed/>
    <w:rsid w:val="00E01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320"/>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comercio.pe/peru/amazonas/incendios-forestales-en-peru-en-vivo-zonas-afectadas-danos-medidas-adoptadas-y-mas-noticias-incendio-en-amazonas-indeci-dina-boluarte-lbposting-noti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749F4-4CD8-431B-A988-D280AF72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5</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Cruz-Guerrero</dc:creator>
  <cp:keywords/>
  <dc:description/>
  <cp:lastModifiedBy>Dany Cruz-Guerrero</cp:lastModifiedBy>
  <cp:revision>7</cp:revision>
  <dcterms:created xsi:type="dcterms:W3CDTF">2024-09-10T19:38:00Z</dcterms:created>
  <dcterms:modified xsi:type="dcterms:W3CDTF">2024-09-19T01:31:00Z</dcterms:modified>
</cp:coreProperties>
</file>