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9CB67" w14:textId="361EA031" w:rsidR="00130A40" w:rsidRPr="00BC085A" w:rsidRDefault="00130A40" w:rsidP="001D4A6A">
      <w:pPr>
        <w:jc w:val="center"/>
        <w:rPr>
          <w:rFonts w:ascii="Times New Roman" w:hAnsi="Times New Roman" w:cs="Times New Roman"/>
          <w:u w:val="single"/>
          <w:lang w:val="es-MX"/>
        </w:rPr>
      </w:pPr>
      <w:r w:rsidRPr="00BC085A">
        <w:rPr>
          <w:rFonts w:ascii="Times New Roman" w:hAnsi="Times New Roman" w:cs="Times New Roman"/>
          <w:u w:val="single"/>
          <w:lang w:val="es-MX"/>
        </w:rPr>
        <w:t>La filosofía política de Kant</w:t>
      </w:r>
    </w:p>
    <w:p w14:paraId="1466A943" w14:textId="77777777" w:rsidR="00130A40" w:rsidRPr="00BC085A" w:rsidRDefault="00130A40" w:rsidP="001D4A6A">
      <w:pPr>
        <w:jc w:val="both"/>
        <w:rPr>
          <w:rFonts w:ascii="Times New Roman" w:hAnsi="Times New Roman" w:cs="Times New Roman"/>
          <w:lang w:val="es-MX"/>
        </w:rPr>
      </w:pPr>
    </w:p>
    <w:p w14:paraId="3217E7A2" w14:textId="0D033C0C" w:rsidR="00256A94" w:rsidRDefault="00130A40" w:rsidP="001D4A6A">
      <w:pPr>
        <w:jc w:val="both"/>
        <w:rPr>
          <w:rFonts w:ascii="Times New Roman" w:hAnsi="Times New Roman" w:cs="Times New Roman"/>
          <w:lang w:val="es-MX"/>
        </w:rPr>
      </w:pPr>
      <w:r w:rsidRPr="00BC085A">
        <w:rPr>
          <w:rFonts w:ascii="Times New Roman" w:hAnsi="Times New Roman" w:cs="Times New Roman"/>
          <w:lang w:val="es-MX"/>
        </w:rPr>
        <w:t>El pensamiento político de Kant abarca distintas áreas y se articula a su sistema crítico</w:t>
      </w:r>
      <w:r w:rsidR="00256A94">
        <w:rPr>
          <w:rFonts w:ascii="Times New Roman" w:hAnsi="Times New Roman" w:cs="Times New Roman"/>
          <w:lang w:val="es-MX"/>
        </w:rPr>
        <w:t xml:space="preserve"> de modo orgánico. Por esta complejidad del objeto a estudiar, se separa la exposición en los siguientes apartados:</w:t>
      </w:r>
    </w:p>
    <w:p w14:paraId="319EB9BA" w14:textId="4F25BD64" w:rsidR="00256A94" w:rsidRDefault="00256A94" w:rsidP="001D4A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La razón (siguiendo apuntes de </w:t>
      </w:r>
      <w:proofErr w:type="spellStart"/>
      <w:r>
        <w:rPr>
          <w:rFonts w:ascii="Times New Roman" w:hAnsi="Times New Roman" w:cs="Times New Roman"/>
          <w:lang w:val="es-MX"/>
        </w:rPr>
        <w:t>Caimi</w:t>
      </w:r>
      <w:proofErr w:type="spellEnd"/>
      <w:r>
        <w:rPr>
          <w:rFonts w:ascii="Times New Roman" w:hAnsi="Times New Roman" w:cs="Times New Roman"/>
          <w:lang w:val="es-MX"/>
        </w:rPr>
        <w:t>)</w:t>
      </w:r>
    </w:p>
    <w:p w14:paraId="1CD04742" w14:textId="7ACB48E0" w:rsidR="00256A94" w:rsidRDefault="00256A94" w:rsidP="001D4A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La historia (Historia universal en sentido cosmopolita)</w:t>
      </w:r>
    </w:p>
    <w:p w14:paraId="1A853272" w14:textId="04349375" w:rsidR="00256A94" w:rsidRDefault="00256A94" w:rsidP="001D4A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La ilustración (¿qué es la ilustración?)</w:t>
      </w:r>
    </w:p>
    <w:p w14:paraId="3EA6F2DF" w14:textId="20660E7F" w:rsidR="00256A94" w:rsidRDefault="00256A94" w:rsidP="001D4A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La paz y la guerra (Paz perpetua)</w:t>
      </w:r>
    </w:p>
    <w:p w14:paraId="3C803E2D" w14:textId="32F46602" w:rsidR="00256A94" w:rsidRDefault="00256A94" w:rsidP="001D4A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MX"/>
        </w:rPr>
      </w:pPr>
      <w:r w:rsidRPr="00256A94">
        <w:rPr>
          <w:rFonts w:ascii="Times New Roman" w:hAnsi="Times New Roman" w:cs="Times New Roman"/>
          <w:lang w:val="es-MX"/>
        </w:rPr>
        <w:t>Derecho (Doctrina del derecho)</w:t>
      </w:r>
    </w:p>
    <w:p w14:paraId="6CCDFB35" w14:textId="78A1315E" w:rsidR="00256A94" w:rsidRDefault="008B78A8" w:rsidP="001D4A6A">
      <w:p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En un sentido muy general, se puede decir que la filosofía política de Kant se encuentra engranada con los ejes del derecho y la libertad, y en este sentido se asocian directamente con la autonomía y la moralidad, por lo tanto, para considerar la propuesta política de Kant, hace falta tener en cuenta su teoría ética y la naturaleza de su doctrina del derecho. </w:t>
      </w:r>
    </w:p>
    <w:p w14:paraId="704C9F17" w14:textId="66A0AA34" w:rsidR="001D4A6A" w:rsidRDefault="001D4A6A" w:rsidP="001D4A6A">
      <w:p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Al igual que en el ámbito moral, la libertad, para la filosofía política, a todo nivel, es fundamental y nuclear en su pensamiento. De ello se deriva su concepto de un estado de derecho, no nacido de un contrato social concreto e histórico, sino de la idea que regula el deber ser de la administración política de cualquier nación. La justicia, en este sentido, tiene un carácter objetivo y racional, que abre la posibilidad al entendimiento entre naciones con sus propias constituciones o formas de gobierno, y en este sentido, los principios políticos que Kant expone son pertinentes tanto para el orden interno de una nación, como para explicar su origen y razón de ser, pero, sobre todo, en la proyección a la relación internacional entre distintas naciones o estados. </w:t>
      </w:r>
    </w:p>
    <w:p w14:paraId="0D6FCA1F" w14:textId="51E70CF2" w:rsidR="001D4A6A" w:rsidRDefault="001D4A6A" w:rsidP="001D4A6A">
      <w:p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La propuesta de Kant es una que plantea a la paz como su orientación, y en este sentido, se condena todo tipo de guerra, especialmente, en el sentido en que la violencia, imposición o abuso, no pueden nunca ser fuente de derecho, ni interno a un estado, ni externamente en las guerras. Este sentido tiene un matiz complementario y es </w:t>
      </w:r>
      <w:r w:rsidR="00563E3D">
        <w:rPr>
          <w:rFonts w:ascii="Times New Roman" w:hAnsi="Times New Roman" w:cs="Times New Roman"/>
          <w:lang w:val="es-MX"/>
        </w:rPr>
        <w:t>que,</w:t>
      </w:r>
      <w:r>
        <w:rPr>
          <w:rFonts w:ascii="Times New Roman" w:hAnsi="Times New Roman" w:cs="Times New Roman"/>
          <w:lang w:val="es-MX"/>
        </w:rPr>
        <w:t xml:space="preserve"> para Kant, el despotismo, la tiranía y el dogmatismo son elementos que deben ser reemplazados por un tipo de orden basado no en el poder e imposición, sino en el acuerdo en virtud de la razón y el entendimiento mutuo entre los seres humanos. </w:t>
      </w:r>
    </w:p>
    <w:p w14:paraId="1F28D50B" w14:textId="34A960E9" w:rsidR="00563E3D" w:rsidRDefault="00563E3D" w:rsidP="001D4A6A">
      <w:p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Paralelamente a este aspecto, se entiende la teoría liberal o republicana de Kant como una que apunta al interés público subsumido bajo una voluntad colectiva y cohesionada, de modo que no existan leyes que beneficien a ningún privado, sino, por el contrario, que su finalidad sea pública y de conocimiento general, de forma que se habilite un espacio para los especialistas que puedan ejercer un uso libre y constructivo de la razón pública. </w:t>
      </w:r>
    </w:p>
    <w:p w14:paraId="1648C7EA" w14:textId="6161C88D" w:rsidR="00563E3D" w:rsidRDefault="00563E3D" w:rsidP="001D4A6A">
      <w:p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Este breve panorama da cuenta de algunas líneas que conforman el contorno de la filosofía política de Kant. A continuación, se expondrá cada apartado, en virtud de una fuente concreta y puntual para cada caso, de manera que se pueda realizar un cuadro completo de todos los aspectos relacionados al pensamiento político de Kant. </w:t>
      </w:r>
    </w:p>
    <w:p w14:paraId="3524F8BF" w14:textId="77777777" w:rsidR="00563E3D" w:rsidRDefault="00563E3D" w:rsidP="00563E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lastRenderedPageBreak/>
        <w:t xml:space="preserve">La razón (siguiendo apuntes de </w:t>
      </w:r>
      <w:proofErr w:type="spellStart"/>
      <w:r>
        <w:rPr>
          <w:rFonts w:ascii="Times New Roman" w:hAnsi="Times New Roman" w:cs="Times New Roman"/>
          <w:lang w:val="es-MX"/>
        </w:rPr>
        <w:t>Caimi</w:t>
      </w:r>
      <w:proofErr w:type="spellEnd"/>
      <w:r>
        <w:rPr>
          <w:rFonts w:ascii="Times New Roman" w:hAnsi="Times New Roman" w:cs="Times New Roman"/>
          <w:lang w:val="es-MX"/>
        </w:rPr>
        <w:t>)</w:t>
      </w:r>
    </w:p>
    <w:p w14:paraId="2E3C6908" w14:textId="77777777" w:rsidR="00563E3D" w:rsidRPr="00563E3D" w:rsidRDefault="00563E3D" w:rsidP="00563E3D">
      <w:pPr>
        <w:jc w:val="both"/>
        <w:rPr>
          <w:rFonts w:ascii="Times New Roman" w:hAnsi="Times New Roman" w:cs="Times New Roman"/>
          <w:lang w:val="es-MX"/>
        </w:rPr>
      </w:pPr>
    </w:p>
    <w:p w14:paraId="66678024" w14:textId="77777777" w:rsidR="00563E3D" w:rsidRDefault="00563E3D" w:rsidP="00563E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La historia (Historia universal en sentido cosmopolita)</w:t>
      </w:r>
    </w:p>
    <w:p w14:paraId="28CB8B0B" w14:textId="77777777" w:rsidR="00563E3D" w:rsidRPr="00563E3D" w:rsidRDefault="00563E3D" w:rsidP="00563E3D">
      <w:pPr>
        <w:pStyle w:val="ListParagraph"/>
        <w:rPr>
          <w:rFonts w:ascii="Times New Roman" w:hAnsi="Times New Roman" w:cs="Times New Roman"/>
          <w:lang w:val="es-MX"/>
        </w:rPr>
      </w:pPr>
    </w:p>
    <w:p w14:paraId="0A4F8C71" w14:textId="77777777" w:rsidR="00563E3D" w:rsidRPr="00563E3D" w:rsidRDefault="00563E3D" w:rsidP="00563E3D">
      <w:pPr>
        <w:jc w:val="both"/>
        <w:rPr>
          <w:rFonts w:ascii="Times New Roman" w:hAnsi="Times New Roman" w:cs="Times New Roman"/>
          <w:lang w:val="es-MX"/>
        </w:rPr>
      </w:pPr>
    </w:p>
    <w:p w14:paraId="2BABCD3B" w14:textId="77777777" w:rsidR="00563E3D" w:rsidRDefault="00563E3D" w:rsidP="00563E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La ilustración (¿qué es la ilustración?)</w:t>
      </w:r>
    </w:p>
    <w:p w14:paraId="39985044" w14:textId="77777777" w:rsidR="00563E3D" w:rsidRPr="00563E3D" w:rsidRDefault="00563E3D" w:rsidP="00563E3D">
      <w:pPr>
        <w:jc w:val="both"/>
        <w:rPr>
          <w:rFonts w:ascii="Times New Roman" w:hAnsi="Times New Roman" w:cs="Times New Roman"/>
          <w:lang w:val="es-MX"/>
        </w:rPr>
      </w:pPr>
    </w:p>
    <w:p w14:paraId="78ED1657" w14:textId="77777777" w:rsidR="00563E3D" w:rsidRDefault="00563E3D" w:rsidP="00563E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La paz y la guerra (Paz perpetua)</w:t>
      </w:r>
    </w:p>
    <w:p w14:paraId="4C16D90A" w14:textId="77777777" w:rsidR="00563E3D" w:rsidRPr="00563E3D" w:rsidRDefault="00563E3D" w:rsidP="00563E3D">
      <w:pPr>
        <w:pStyle w:val="ListParagraph"/>
        <w:rPr>
          <w:rFonts w:ascii="Times New Roman" w:hAnsi="Times New Roman" w:cs="Times New Roman"/>
          <w:lang w:val="es-MX"/>
        </w:rPr>
      </w:pPr>
    </w:p>
    <w:p w14:paraId="7F5DC9E2" w14:textId="77777777" w:rsidR="00563E3D" w:rsidRPr="00563E3D" w:rsidRDefault="00563E3D" w:rsidP="00563E3D">
      <w:pPr>
        <w:jc w:val="both"/>
        <w:rPr>
          <w:rFonts w:ascii="Times New Roman" w:hAnsi="Times New Roman" w:cs="Times New Roman"/>
          <w:lang w:val="es-MX"/>
        </w:rPr>
      </w:pPr>
    </w:p>
    <w:p w14:paraId="3A7EF381" w14:textId="77777777" w:rsidR="00563E3D" w:rsidRDefault="00563E3D" w:rsidP="00563E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MX"/>
        </w:rPr>
      </w:pPr>
      <w:r w:rsidRPr="00256A94">
        <w:rPr>
          <w:rFonts w:ascii="Times New Roman" w:hAnsi="Times New Roman" w:cs="Times New Roman"/>
          <w:lang w:val="es-MX"/>
        </w:rPr>
        <w:t>Derecho (Doctrina del derecho)</w:t>
      </w:r>
    </w:p>
    <w:p w14:paraId="382B8AB4" w14:textId="77777777" w:rsidR="00563E3D" w:rsidRPr="00563E3D" w:rsidRDefault="00563E3D" w:rsidP="00563E3D">
      <w:pPr>
        <w:jc w:val="both"/>
        <w:rPr>
          <w:rFonts w:ascii="Times New Roman" w:hAnsi="Times New Roman" w:cs="Times New Roman"/>
          <w:lang w:val="es-MX"/>
        </w:rPr>
      </w:pPr>
    </w:p>
    <w:p w14:paraId="552CDCF1" w14:textId="77777777" w:rsidR="00563E3D" w:rsidRDefault="00563E3D" w:rsidP="001D4A6A">
      <w:pPr>
        <w:jc w:val="both"/>
        <w:rPr>
          <w:rFonts w:ascii="Times New Roman" w:hAnsi="Times New Roman" w:cs="Times New Roman"/>
          <w:lang w:val="es-MX"/>
        </w:rPr>
      </w:pPr>
    </w:p>
    <w:sectPr w:rsidR="00563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E22B7"/>
    <w:multiLevelType w:val="hybridMultilevel"/>
    <w:tmpl w:val="A746A764"/>
    <w:lvl w:ilvl="0" w:tplc="346ED6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F341E"/>
    <w:multiLevelType w:val="hybridMultilevel"/>
    <w:tmpl w:val="86D6566E"/>
    <w:lvl w:ilvl="0" w:tplc="E31E9D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831655">
    <w:abstractNumId w:val="1"/>
  </w:num>
  <w:num w:numId="2" w16cid:durableId="930233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40"/>
    <w:rsid w:val="00130A40"/>
    <w:rsid w:val="001D4A6A"/>
    <w:rsid w:val="00256A94"/>
    <w:rsid w:val="00563E3D"/>
    <w:rsid w:val="008B78A8"/>
    <w:rsid w:val="00BC085A"/>
    <w:rsid w:val="00D9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E84B6F"/>
  <w15:chartTrackingRefBased/>
  <w15:docId w15:val="{43FA93F1-AE37-498D-89B2-4DEFC30D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A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A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A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A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A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A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A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A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A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A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A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A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482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Garcìa Alcalà</dc:creator>
  <cp:keywords/>
  <dc:description/>
  <cp:lastModifiedBy>F. Garcìa Alcalà</cp:lastModifiedBy>
  <cp:revision>5</cp:revision>
  <dcterms:created xsi:type="dcterms:W3CDTF">2025-03-10T17:30:00Z</dcterms:created>
  <dcterms:modified xsi:type="dcterms:W3CDTF">2025-03-10T19:56:00Z</dcterms:modified>
</cp:coreProperties>
</file>