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0C221" w14:textId="77777777" w:rsidR="008B6829" w:rsidRPr="00865671" w:rsidRDefault="008B6829" w:rsidP="008B6829">
      <w:pPr>
        <w:spacing w:line="360" w:lineRule="auto"/>
        <w:jc w:val="both"/>
        <w:rPr>
          <w:rFonts w:ascii="Times New Roman" w:hAnsi="Times New Roman" w:cs="Times New Roman"/>
        </w:rPr>
      </w:pPr>
      <w:r w:rsidRPr="00865671">
        <w:rPr>
          <w:rFonts w:ascii="Times New Roman" w:hAnsi="Times New Roman" w:cs="Times New Roman"/>
        </w:rPr>
        <w:t>Capítulo 2: La Libertad externa y la doctrina del derecho desde K. Flikschuh</w:t>
      </w:r>
      <w:r>
        <w:rPr>
          <w:rFonts w:ascii="Times New Roman" w:hAnsi="Times New Roman" w:cs="Times New Roman"/>
        </w:rPr>
        <w:t>: Metafísica, obligación política y cosmopolitanismo.</w:t>
      </w:r>
    </w:p>
    <w:p w14:paraId="2FC42C9E" w14:textId="77777777" w:rsidR="008B6829" w:rsidRPr="00865671" w:rsidRDefault="008B6829" w:rsidP="008B6829">
      <w:pPr>
        <w:spacing w:line="360" w:lineRule="auto"/>
        <w:jc w:val="both"/>
        <w:rPr>
          <w:rFonts w:ascii="Times New Roman" w:hAnsi="Times New Roman" w:cs="Times New Roman"/>
        </w:rPr>
      </w:pPr>
    </w:p>
    <w:p w14:paraId="13F06335" w14:textId="77777777" w:rsidR="008B6829" w:rsidRPr="00865671" w:rsidRDefault="008B6829" w:rsidP="008B6829">
      <w:pPr>
        <w:spacing w:line="360" w:lineRule="auto"/>
        <w:jc w:val="both"/>
        <w:rPr>
          <w:rFonts w:ascii="Times New Roman" w:hAnsi="Times New Roman" w:cs="Times New Roman"/>
        </w:rPr>
      </w:pPr>
      <w:r w:rsidRPr="00865671">
        <w:rPr>
          <w:rFonts w:ascii="Times New Roman" w:hAnsi="Times New Roman" w:cs="Times New Roman"/>
        </w:rPr>
        <w:t xml:space="preserve">Una </w:t>
      </w:r>
      <w:r>
        <w:rPr>
          <w:rFonts w:ascii="Times New Roman" w:hAnsi="Times New Roman" w:cs="Times New Roman"/>
        </w:rPr>
        <w:t xml:space="preserve">muy comprehensiva </w:t>
      </w:r>
      <w:r w:rsidRPr="00865671">
        <w:rPr>
          <w:rFonts w:ascii="Times New Roman" w:hAnsi="Times New Roman" w:cs="Times New Roman"/>
        </w:rPr>
        <w:t>revisi</w:t>
      </w:r>
      <w:r>
        <w:rPr>
          <w:rFonts w:ascii="Times New Roman" w:hAnsi="Times New Roman" w:cs="Times New Roman"/>
        </w:rPr>
        <w:t>ó</w:t>
      </w:r>
      <w:r w:rsidRPr="00865671">
        <w:rPr>
          <w:rFonts w:ascii="Times New Roman" w:hAnsi="Times New Roman" w:cs="Times New Roman"/>
        </w:rPr>
        <w:t xml:space="preserve">n de la doctrina del derecho de Kant está desarrollada por K. Flikschuh en su libro </w:t>
      </w:r>
      <w:r w:rsidRPr="00865671">
        <w:rPr>
          <w:rFonts w:ascii="Times New Roman" w:hAnsi="Times New Roman" w:cs="Times New Roman"/>
          <w:i/>
          <w:iCs/>
        </w:rPr>
        <w:t xml:space="preserve">Kant and modern political philosophy </w:t>
      </w:r>
      <w:r w:rsidRPr="00865671">
        <w:rPr>
          <w:rFonts w:ascii="Times New Roman" w:hAnsi="Times New Roman" w:cs="Times New Roman"/>
        </w:rPr>
        <w:t xml:space="preserve">(2000). En este texto, la autora centra el </w:t>
      </w:r>
      <w:r>
        <w:rPr>
          <w:rFonts w:ascii="Times New Roman" w:hAnsi="Times New Roman" w:cs="Times New Roman"/>
        </w:rPr>
        <w:t xml:space="preserve">corazón del </w:t>
      </w:r>
      <w:r w:rsidRPr="00865671">
        <w:rPr>
          <w:rFonts w:ascii="Times New Roman" w:hAnsi="Times New Roman" w:cs="Times New Roman"/>
        </w:rPr>
        <w:t xml:space="preserve">pensamiento político de Kant en su doctrina del derecho, en consideración paralela con diversos otros textos, que permiten una comprensión panorámica de su pensamiento como una unidad articulada. </w:t>
      </w:r>
    </w:p>
    <w:p w14:paraId="081AB41F" w14:textId="77777777" w:rsidR="008B6829" w:rsidRPr="00865671" w:rsidRDefault="008B6829" w:rsidP="008B6829">
      <w:pPr>
        <w:spacing w:line="360" w:lineRule="auto"/>
        <w:jc w:val="both"/>
        <w:rPr>
          <w:rFonts w:ascii="Times New Roman" w:hAnsi="Times New Roman" w:cs="Times New Roman"/>
        </w:rPr>
      </w:pPr>
      <w:r>
        <w:rPr>
          <w:rFonts w:ascii="Times New Roman" w:hAnsi="Times New Roman" w:cs="Times New Roman"/>
        </w:rPr>
        <w:t>S</w:t>
      </w:r>
      <w:r w:rsidRPr="00865671">
        <w:rPr>
          <w:rFonts w:ascii="Times New Roman" w:hAnsi="Times New Roman" w:cs="Times New Roman"/>
        </w:rPr>
        <w:t xml:space="preserve">u libro tiene </w:t>
      </w:r>
      <w:r>
        <w:rPr>
          <w:rFonts w:ascii="Times New Roman" w:hAnsi="Times New Roman" w:cs="Times New Roman"/>
        </w:rPr>
        <w:t>por lo menos tres</w:t>
      </w:r>
      <w:r w:rsidRPr="00865671">
        <w:rPr>
          <w:rFonts w:ascii="Times New Roman" w:hAnsi="Times New Roman" w:cs="Times New Roman"/>
        </w:rPr>
        <w:t xml:space="preserve"> grandes tesis sobre el pensamiento político de Kant. En primer lugar, que la doctrina del derecho refuerza y presupone la idea de una metafísica crítica de principios normativos para la práctica, y que ello se traduce en su propuesta de filosofía política. La autora es clara en señalar que la tendencia general hasta entonces, en los debates contemporáneos, ha sido mayormente de rechazo a la metafísica para los </w:t>
      </w:r>
      <w:r>
        <w:rPr>
          <w:rFonts w:ascii="Times New Roman" w:hAnsi="Times New Roman" w:cs="Times New Roman"/>
        </w:rPr>
        <w:t>asuntos</w:t>
      </w:r>
      <w:r w:rsidRPr="00865671">
        <w:rPr>
          <w:rFonts w:ascii="Times New Roman" w:hAnsi="Times New Roman" w:cs="Times New Roman"/>
        </w:rPr>
        <w:t xml:space="preserve"> políticos, mientras que</w:t>
      </w:r>
      <w:r>
        <w:rPr>
          <w:rFonts w:ascii="Times New Roman" w:hAnsi="Times New Roman" w:cs="Times New Roman"/>
        </w:rPr>
        <w:t>,</w:t>
      </w:r>
      <w:r w:rsidRPr="00865671">
        <w:rPr>
          <w:rFonts w:ascii="Times New Roman" w:hAnsi="Times New Roman" w:cs="Times New Roman"/>
        </w:rPr>
        <w:t xml:space="preserve"> ella busca reivindicar ese papel desde el pensamiento de Kant.</w:t>
      </w:r>
      <w:r>
        <w:rPr>
          <w:rFonts w:ascii="Times New Roman" w:hAnsi="Times New Roman" w:cs="Times New Roman"/>
        </w:rPr>
        <w:t xml:space="preserve"> Esto se encuentra dirigido principalmente en contra de la intención de alejar a Kant de conceptos metafísicos, tal como se puede apreciar en algunas obras de Habermas y Rawls. La línea que enfatiza Flikschuh, y busca rescatar este papel de la metafísica, proviene de Sellars y ha influenciado a autores como Ripstein, Forst y otros. De esta forma, Flikschuh nos recuerda que Kant no elimina la metafísica, sino que desarrolla una de perfil crítico y antidogmático, no solo siendo útil su papel para el debate práctico político, sino que es hasta indispensable e ineludible. </w:t>
      </w:r>
    </w:p>
    <w:p w14:paraId="037CCC84" w14:textId="77777777" w:rsidR="008B6829" w:rsidRDefault="008B6829" w:rsidP="008B6829">
      <w:pPr>
        <w:spacing w:line="360" w:lineRule="auto"/>
        <w:jc w:val="both"/>
        <w:rPr>
          <w:rFonts w:ascii="Times New Roman" w:hAnsi="Times New Roman" w:cs="Times New Roman"/>
        </w:rPr>
      </w:pPr>
      <w:r w:rsidRPr="00865671">
        <w:rPr>
          <w:rFonts w:ascii="Times New Roman" w:hAnsi="Times New Roman" w:cs="Times New Roman"/>
        </w:rPr>
        <w:t>En segundo lugar, según Flikschuh, de la</w:t>
      </w:r>
      <w:r>
        <w:rPr>
          <w:rFonts w:ascii="Times New Roman" w:hAnsi="Times New Roman" w:cs="Times New Roman"/>
        </w:rPr>
        <w:t xml:space="preserve"> idea de</w:t>
      </w:r>
      <w:r w:rsidRPr="00865671">
        <w:rPr>
          <w:rFonts w:ascii="Times New Roman" w:hAnsi="Times New Roman" w:cs="Times New Roman"/>
        </w:rPr>
        <w:t xml:space="preserve"> libertad externa se </w:t>
      </w:r>
      <w:r>
        <w:rPr>
          <w:rFonts w:ascii="Times New Roman" w:hAnsi="Times New Roman" w:cs="Times New Roman"/>
        </w:rPr>
        <w:t xml:space="preserve">deriva una noción </w:t>
      </w:r>
      <w:r w:rsidRPr="00865671">
        <w:rPr>
          <w:rFonts w:ascii="Times New Roman" w:hAnsi="Times New Roman" w:cs="Times New Roman"/>
        </w:rPr>
        <w:t xml:space="preserve">de </w:t>
      </w:r>
      <w:r>
        <w:rPr>
          <w:rFonts w:ascii="Times New Roman" w:hAnsi="Times New Roman" w:cs="Times New Roman"/>
        </w:rPr>
        <w:t xml:space="preserve">la </w:t>
      </w:r>
      <w:r w:rsidRPr="00865671">
        <w:rPr>
          <w:rFonts w:ascii="Times New Roman" w:hAnsi="Times New Roman" w:cs="Times New Roman"/>
        </w:rPr>
        <w:t xml:space="preserve">propiedad privada, lo cual </w:t>
      </w:r>
      <w:r>
        <w:rPr>
          <w:rFonts w:ascii="Times New Roman" w:hAnsi="Times New Roman" w:cs="Times New Roman"/>
        </w:rPr>
        <w:t xml:space="preserve">resulta </w:t>
      </w:r>
      <w:r w:rsidRPr="00865671">
        <w:rPr>
          <w:rFonts w:ascii="Times New Roman" w:hAnsi="Times New Roman" w:cs="Times New Roman"/>
        </w:rPr>
        <w:t>en una obligación política mutua en un estado civil</w:t>
      </w:r>
      <w:r>
        <w:rPr>
          <w:rFonts w:ascii="Times New Roman" w:hAnsi="Times New Roman" w:cs="Times New Roman"/>
        </w:rPr>
        <w:t xml:space="preserve">, resaltando así el carácter isométrico de la libertad jurídica. La raíz de esta obligación política recíproca radica en la idea de una voluntad unificada. </w:t>
      </w:r>
      <w:r w:rsidRPr="00865671">
        <w:rPr>
          <w:rFonts w:ascii="Times New Roman" w:hAnsi="Times New Roman" w:cs="Times New Roman"/>
        </w:rPr>
        <w:t>En este sentido,</w:t>
      </w:r>
      <w:r>
        <w:rPr>
          <w:rFonts w:ascii="Times New Roman" w:hAnsi="Times New Roman" w:cs="Times New Roman"/>
        </w:rPr>
        <w:t xml:space="preserve"> la segunda tesis del libro de Flikschuh se compone de varios elementos, en donde lo central radica en el concepto de obligación política mutua que se desprende de la libertad externa. </w:t>
      </w:r>
    </w:p>
    <w:p w14:paraId="65BE851B"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t xml:space="preserve">Esto incluye el reconocimiento por parte de la autora de los legítimos intereses económicos o de propiedad a la hora de pensar en la voluntad de la libertad externa y el contexto civil. Sin embargo, la libertad externa no se limita a los intereses económicos, sino que la obligación mutua supone una estructura deducida de la libertad, de sus alcances civiles, cuando son pensados como una voluntad unificada y en la posibilidad </w:t>
      </w:r>
      <w:r>
        <w:rPr>
          <w:rFonts w:ascii="Times New Roman" w:hAnsi="Times New Roman" w:cs="Times New Roman"/>
        </w:rPr>
        <w:lastRenderedPageBreak/>
        <w:t xml:space="preserve">de la propiedad privada, todo lo cual compete a la idea de un contrato originario y con-formador de la sociedad en cuanto civil. Para la autora, este concepto de la obligación mutua, (que se extiende al análisis de la ley permisiva y considera los alcances cosmopolitas implícitos), constituye lo principal de la doctrina del derecho de Kant y en ese sentido, de su pensamiento político. Por ello, para Flikschuh, la obligación mutua no se limita al asunto de la propiedad privada, sino que resalta el hecho de que la libertad externa requiere una institucionalización en un estado civil y se prolonga de ese modo, hasta las implicaciones que fundamentan el derecho público. La obligación mutua, por esta razón, no es otra cosa que una dimensión de la libertad externa, en cuanto está normativizada por el principio universal del derecho para una libertad recíproca. Puesto de otro modo, la libertad externa debe regularse para alcanzar un estado civil, y de ello se despliega el concepto de una obligación mutua. </w:t>
      </w:r>
    </w:p>
    <w:p w14:paraId="59055840"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t xml:space="preserve">Por lo dicho, para Flikschuh, la libertad externa representa una obligación mutua que se encuentra regulada por la idea de una voz unificada del pueblo, de acuerdo a un contrato originario y de interés republicano en cuanto forma de gobierno que se oponga a todo despotismo e instaure un estado civil. Solo en dicho horizonte sería posible una propiedad perenne y no una provisional. La fuerza de esta idea no se limita al entorno doméstico, sino que alcanza una dimensión general, que trasciende las naciones particulares. Solo podrían existir plena justicia y paz en un marco global y no limitadamente regional. Lo mismo ocurre con la propiedad privada que está implicada en el concepto de libertad externa, ya que presupone un marco jurídico y civil para poder tener garantías. </w:t>
      </w:r>
    </w:p>
    <w:p w14:paraId="3D1785F0"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t xml:space="preserve">Una tercera tesis complementaria a las anteriores supone el papel del pensamiento cosmopolita y cómo este se encuentra enraizado en toda la propuesta de su pensamiento político, que se estructura alrededor de la idea de una libertad externa, en cuanto condición jurídica y civil de cada persona, no a un nivel de naciones, sino a uno de miras de alcance mundial. Para Flikschuh, la obligación mutua que contiene la libertad externa, y que nos compele a entrar en relaciones de cooperación es en su concepción, de naturaleza esencialmente cosmopolita. Es importante enfatizar, como lo hace Flikschuh, que la naturaleza cosmopolita de la propuesta del pensamiento político de Kant, no es un agregado final, o un resultado lineal de lo anterior, sino que su propuesta tiene precisamente por base un carácter de alcance general y de interés cosmopolita. </w:t>
      </w:r>
    </w:p>
    <w:p w14:paraId="4A7A173D" w14:textId="77777777" w:rsidR="008B6829" w:rsidRPr="00865671" w:rsidRDefault="008B6829" w:rsidP="008B6829">
      <w:pPr>
        <w:spacing w:line="360" w:lineRule="auto"/>
        <w:jc w:val="both"/>
        <w:rPr>
          <w:rFonts w:ascii="Times New Roman" w:hAnsi="Times New Roman" w:cs="Times New Roman"/>
        </w:rPr>
      </w:pPr>
      <w:r>
        <w:rPr>
          <w:rFonts w:ascii="Times New Roman" w:hAnsi="Times New Roman" w:cs="Times New Roman"/>
        </w:rPr>
        <w:t xml:space="preserve">La consideración de Flikschuh en estas principales tesis supone, por lo tanto, una lectura del pensamiento político de Kant en virtud de resaltar el papel de la metafísica, del </w:t>
      </w:r>
      <w:r>
        <w:rPr>
          <w:rFonts w:ascii="Times New Roman" w:hAnsi="Times New Roman" w:cs="Times New Roman"/>
        </w:rPr>
        <w:lastRenderedPageBreak/>
        <w:t xml:space="preserve">derecho como basado en una metafísica de la libertad, de la libertad externa en cuanto una obligación mutua y del cosmopolitismo como un elemento fundamental desde un inicio. </w:t>
      </w:r>
      <w:r w:rsidRPr="00865671">
        <w:rPr>
          <w:rFonts w:ascii="Times New Roman" w:hAnsi="Times New Roman" w:cs="Times New Roman"/>
        </w:rPr>
        <w:t xml:space="preserve">En este capítulo, vamos a seguir la argumentación de Flikschuh, </w:t>
      </w:r>
      <w:r>
        <w:rPr>
          <w:rFonts w:ascii="Times New Roman" w:hAnsi="Times New Roman" w:cs="Times New Roman"/>
        </w:rPr>
        <w:t>para extraer una precisión del contexto y naturaleza del concepto de la libertad externa.</w:t>
      </w:r>
    </w:p>
    <w:p w14:paraId="48DA4AD6" w14:textId="77777777" w:rsidR="008B6829" w:rsidRDefault="008B6829" w:rsidP="008B6829">
      <w:pPr>
        <w:spacing w:line="360" w:lineRule="auto"/>
        <w:jc w:val="both"/>
        <w:rPr>
          <w:rFonts w:ascii="Times New Roman" w:hAnsi="Times New Roman" w:cs="Times New Roman"/>
        </w:rPr>
      </w:pPr>
      <w:r w:rsidRPr="00865671">
        <w:rPr>
          <w:rFonts w:ascii="Times New Roman" w:hAnsi="Times New Roman" w:cs="Times New Roman"/>
        </w:rPr>
        <w:t xml:space="preserve">Hay </w:t>
      </w:r>
      <w:r>
        <w:rPr>
          <w:rFonts w:ascii="Times New Roman" w:hAnsi="Times New Roman" w:cs="Times New Roman"/>
        </w:rPr>
        <w:t>cuatro</w:t>
      </w:r>
      <w:r w:rsidRPr="00865671">
        <w:rPr>
          <w:rFonts w:ascii="Times New Roman" w:hAnsi="Times New Roman" w:cs="Times New Roman"/>
        </w:rPr>
        <w:t xml:space="preserve"> aspectos que perfilan la lectura de la doctrina del derecho para la autora, tal y como lo señala en la introducción</w:t>
      </w:r>
      <w:r>
        <w:rPr>
          <w:rFonts w:ascii="Times New Roman" w:hAnsi="Times New Roman" w:cs="Times New Roman"/>
        </w:rPr>
        <w:t>. Ella señala sobre estas cuatro características que</w:t>
      </w:r>
      <w:r w:rsidRPr="00865671">
        <w:rPr>
          <w:rFonts w:ascii="Times New Roman" w:hAnsi="Times New Roman" w:cs="Times New Roman"/>
        </w:rPr>
        <w:t>: “La primera se refiere a la importancia de las restricciones naturales en relación a la agencia humana. La segunda es acerca de la noción de la finitud humana y la inevitable interdependencia entre sus agentes. El tercer aspecto es menos tangible y se refiere al concepto de la metafísica en el pensamiento político</w:t>
      </w:r>
      <w:r>
        <w:rPr>
          <w:rFonts w:ascii="Times New Roman" w:hAnsi="Times New Roman" w:cs="Times New Roman"/>
        </w:rPr>
        <w:t>. (…) Debo agregar un cuarto elemento con</w:t>
      </w:r>
      <w:r w:rsidRPr="00865671">
        <w:rPr>
          <w:rFonts w:ascii="Times New Roman" w:hAnsi="Times New Roman" w:cs="Times New Roman"/>
        </w:rPr>
        <w:t xml:space="preserve"> la idea de libertad</w:t>
      </w:r>
      <w:r>
        <w:rPr>
          <w:rFonts w:ascii="Times New Roman" w:hAnsi="Times New Roman" w:cs="Times New Roman"/>
        </w:rPr>
        <w:t>. Es poco sorprendente que la libertad sea</w:t>
      </w:r>
      <w:r w:rsidRPr="00865671">
        <w:rPr>
          <w:rFonts w:ascii="Times New Roman" w:hAnsi="Times New Roman" w:cs="Times New Roman"/>
        </w:rPr>
        <w:t xml:space="preserve"> central en la filosofía Política de Kant.”</w:t>
      </w:r>
      <w:r>
        <w:rPr>
          <w:rFonts w:ascii="Times New Roman" w:hAnsi="Times New Roman" w:cs="Times New Roman"/>
        </w:rPr>
        <w:t xml:space="preserve"> </w:t>
      </w:r>
      <w:r w:rsidRPr="00865671">
        <w:rPr>
          <w:rFonts w:ascii="Times New Roman" w:hAnsi="Times New Roman" w:cs="Times New Roman"/>
        </w:rPr>
        <w:t>(</w:t>
      </w:r>
      <w:bookmarkStart w:id="0" w:name="_Hlk222313910"/>
      <w:r w:rsidRPr="00865671">
        <w:rPr>
          <w:rFonts w:ascii="Times New Roman" w:hAnsi="Times New Roman" w:cs="Times New Roman"/>
        </w:rPr>
        <w:t xml:space="preserve">2000; </w:t>
      </w:r>
      <w:bookmarkEnd w:id="0"/>
      <w:r w:rsidRPr="00865671">
        <w:rPr>
          <w:rFonts w:ascii="Times New Roman" w:hAnsi="Times New Roman" w:cs="Times New Roman"/>
        </w:rPr>
        <w:t>p.2)</w:t>
      </w:r>
      <w:r>
        <w:rPr>
          <w:rFonts w:ascii="Times New Roman" w:hAnsi="Times New Roman" w:cs="Times New Roman"/>
        </w:rPr>
        <w:t xml:space="preserve"> </w:t>
      </w:r>
    </w:p>
    <w:p w14:paraId="7975DF1C"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t>Respecto a los temas centrales que ella considera en su libro, para interpretar la doctrina del derecho, es importante resaltar que deja de lado el apartado sobre el derecho público, y se centra en la primera parte de la doctrina del derecho, designada al derecho privado (referido, dentro de otras cosas, como el ámbito de la propiedad privada) y en la parte que se designa al derecho cosmopolita. Ella señala que: “</w:t>
      </w:r>
      <w:r w:rsidRPr="00865671">
        <w:rPr>
          <w:rFonts w:ascii="Times New Roman" w:hAnsi="Times New Roman" w:cs="Times New Roman"/>
        </w:rPr>
        <w:t>Mi aproximación a la doctrina del derecho es altamente selectiva. Me enfoco casi exclusivamente en las divisiones primera y segunda de la primera sección que se titula “sobre el derecho privado” y sobrepaso enteramente la primera división de la sección segunda que se titula: “sobre el derecho público” y que se refiere a la división de la autoridad gubernamental dentro de los estados. De otra mano, la división tercera de la sección segunda, que se refiere al derecho cosmopolita, es de gran importancia para la línea de interpretación buscada en este libro.</w:t>
      </w:r>
      <w:r>
        <w:rPr>
          <w:rFonts w:ascii="Times New Roman" w:hAnsi="Times New Roman" w:cs="Times New Roman"/>
        </w:rPr>
        <w:t>”</w:t>
      </w:r>
      <w:r w:rsidRPr="00865671">
        <w:rPr>
          <w:rFonts w:ascii="Times New Roman" w:hAnsi="Times New Roman" w:cs="Times New Roman"/>
        </w:rPr>
        <w:t xml:space="preserve"> (2000; p.7)</w:t>
      </w:r>
      <w:r>
        <w:rPr>
          <w:rFonts w:ascii="Times New Roman" w:hAnsi="Times New Roman" w:cs="Times New Roman"/>
        </w:rPr>
        <w:t xml:space="preserve"> </w:t>
      </w:r>
    </w:p>
    <w:p w14:paraId="39FD408A"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t xml:space="preserve">Esta puntualización define la lectura de la doctrina del derecho que hace Flikschuh y se centrará a lo largo de su libro en por lo menos dos elementos constitutivos y fundacionales para interpretar el pensamiento político de Kant. Estos elementos son la idea del deseo de propiedad privada como la raíz de un orden civil y la idea de una ley permisiva antes del estado de derecho. Estos dos aspectos apuntan al origen y razón de ser de una sociedad con leyes y en donde se despliega una libertad externa. Los elementos en que Flikschuh se enfocará representan condiciones de posibilidad para la existencia de un orden político de acuerdo a la forma de gobierno republicana que delinea Kant en la sección que se refiere a la administración del gobierno de los estados, es decir, sobre el derecho público.  </w:t>
      </w:r>
    </w:p>
    <w:p w14:paraId="43A1C247"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lastRenderedPageBreak/>
        <w:t>Sobre la recepción de la doctrina del derecho, la autora indica que: “</w:t>
      </w:r>
      <w:r w:rsidRPr="00865671">
        <w:rPr>
          <w:rFonts w:ascii="Times New Roman" w:hAnsi="Times New Roman" w:cs="Times New Roman"/>
        </w:rPr>
        <w:t>El texto originalmente publicado ha impactado a una generación de escolares de Kant no solo como oscura, sino como directamente confundida</w:t>
      </w:r>
      <w:r>
        <w:rPr>
          <w:rFonts w:ascii="Times New Roman" w:hAnsi="Times New Roman" w:cs="Times New Roman"/>
        </w:rPr>
        <w:t>. (…) L</w:t>
      </w:r>
      <w:r w:rsidRPr="00865671">
        <w:rPr>
          <w:rFonts w:ascii="Times New Roman" w:hAnsi="Times New Roman" w:cs="Times New Roman"/>
        </w:rPr>
        <w:t>a manera de argumentar de Kant les ha parecido a muchos lectores pacientes como frustrantemente indisciplinada, confundida, incluso como incoherente. La famosa tesis de la senilidad en la consecuente virtualmente completa negligencia de la doctrina del derecho tiene sus orígenes en estas distorsiones textuales y en la resultante sensación de frustración. (2000; p.8)</w:t>
      </w:r>
      <w:r>
        <w:rPr>
          <w:rFonts w:ascii="Times New Roman" w:hAnsi="Times New Roman" w:cs="Times New Roman"/>
        </w:rPr>
        <w:t xml:space="preserve"> Sin embargo, de acuerdo a B. Ludwig, ella atribuye el efecto posible de confusión a problemas editoriales, cuando señala que: “</w:t>
      </w:r>
      <w:r w:rsidRPr="00865671">
        <w:rPr>
          <w:rFonts w:ascii="Times New Roman" w:hAnsi="Times New Roman" w:cs="Times New Roman"/>
        </w:rPr>
        <w:t>Una alternativa de interpretación influyente de la doctrina del derecho fue presentada por Bernd Ludwig en 1986. De acuerdo a Ludwig, las distorsiones textuales no son un reflejo del estado mental de Kant en el tiempo en que escribió, sino que son el producto de errores editoriales en la etapa de impresión sobre las cuales Kant no tenía control.</w:t>
      </w:r>
      <w:r>
        <w:rPr>
          <w:rFonts w:ascii="Times New Roman" w:hAnsi="Times New Roman" w:cs="Times New Roman"/>
        </w:rPr>
        <w:t>”</w:t>
      </w:r>
      <w:r w:rsidRPr="00865671">
        <w:rPr>
          <w:rFonts w:ascii="Times New Roman" w:hAnsi="Times New Roman" w:cs="Times New Roman"/>
        </w:rPr>
        <w:t xml:space="preserve"> (2000; p.9)</w:t>
      </w:r>
    </w:p>
    <w:p w14:paraId="2FA6F6F5"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t>Consideradas estas ideas introductorias sobre el libro de Flikschuh, podemos pasar a analizar los primeros capítulos. En la introducción se había anticipado lo siguiente respecto al tema central del primer capítulo: “</w:t>
      </w:r>
      <w:r w:rsidRPr="00865671">
        <w:rPr>
          <w:rFonts w:ascii="Times New Roman" w:hAnsi="Times New Roman" w:cs="Times New Roman"/>
        </w:rPr>
        <w:t>Es un postulado central de este libro que la absorción del pensamiento político de Kant en el liberalismo contemporáneo es a lo mucho parcial.</w:t>
      </w:r>
      <w:r>
        <w:rPr>
          <w:rFonts w:ascii="Times New Roman" w:hAnsi="Times New Roman" w:cs="Times New Roman"/>
        </w:rPr>
        <w:t>”</w:t>
      </w:r>
      <w:r w:rsidRPr="00865671">
        <w:rPr>
          <w:rFonts w:ascii="Times New Roman" w:hAnsi="Times New Roman" w:cs="Times New Roman"/>
        </w:rPr>
        <w:t xml:space="preserve"> (2000; p.2)</w:t>
      </w:r>
      <w:r>
        <w:rPr>
          <w:rFonts w:ascii="Times New Roman" w:hAnsi="Times New Roman" w:cs="Times New Roman"/>
        </w:rPr>
        <w:t xml:space="preserve"> y había agregado en seguida que: “</w:t>
      </w:r>
      <w:r w:rsidRPr="00865671">
        <w:rPr>
          <w:rFonts w:ascii="Times New Roman" w:hAnsi="Times New Roman" w:cs="Times New Roman"/>
        </w:rPr>
        <w:t>Los escritos políticos de Kant, especialmente la doctrina del derecho, continúan siendo vistos negligentemente por los contemporáneos liberales.</w:t>
      </w:r>
      <w:r>
        <w:rPr>
          <w:rFonts w:ascii="Times New Roman" w:hAnsi="Times New Roman" w:cs="Times New Roman"/>
        </w:rPr>
        <w:t>”</w:t>
      </w:r>
      <w:r w:rsidRPr="00865671">
        <w:rPr>
          <w:rFonts w:ascii="Times New Roman" w:hAnsi="Times New Roman" w:cs="Times New Roman"/>
        </w:rPr>
        <w:t xml:space="preserve"> (2000; p.3)</w:t>
      </w:r>
    </w:p>
    <w:p w14:paraId="335CF4B0"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t>En el primer capítulo, llamado: “La metafísica kantiana en el liberalismo contemporáneo” la autora sostiene la primera tesis del libro. A diferencia de la interpretación liberal contemporánea, para Flikschuh: “</w:t>
      </w:r>
      <w:r w:rsidRPr="00865671">
        <w:rPr>
          <w:rFonts w:ascii="Times New Roman" w:hAnsi="Times New Roman" w:cs="Times New Roman"/>
        </w:rPr>
        <w:t>No solo las asunciones metafísicas son inevitables, sino que también son indispensables. En esta línea positiva de defensa</w:t>
      </w:r>
      <w:r>
        <w:rPr>
          <w:rFonts w:ascii="Times New Roman" w:hAnsi="Times New Roman" w:cs="Times New Roman"/>
        </w:rPr>
        <w:t>,</w:t>
      </w:r>
      <w:r w:rsidRPr="00865671">
        <w:rPr>
          <w:rFonts w:ascii="Times New Roman" w:hAnsi="Times New Roman" w:cs="Times New Roman"/>
        </w:rPr>
        <w:t xml:space="preserve"> </w:t>
      </w:r>
      <w:r>
        <w:rPr>
          <w:rFonts w:ascii="Times New Roman" w:hAnsi="Times New Roman" w:cs="Times New Roman"/>
        </w:rPr>
        <w:t>l</w:t>
      </w:r>
      <w:r w:rsidRPr="00865671">
        <w:rPr>
          <w:rFonts w:ascii="Times New Roman" w:hAnsi="Times New Roman" w:cs="Times New Roman"/>
        </w:rPr>
        <w:t xml:space="preserve">a metafísica facilita </w:t>
      </w:r>
      <w:r>
        <w:rPr>
          <w:rFonts w:ascii="Times New Roman" w:hAnsi="Times New Roman" w:cs="Times New Roman"/>
        </w:rPr>
        <w:t xml:space="preserve">una </w:t>
      </w:r>
      <w:r w:rsidRPr="00865671">
        <w:rPr>
          <w:rFonts w:ascii="Times New Roman" w:hAnsi="Times New Roman" w:cs="Times New Roman"/>
        </w:rPr>
        <w:t>teorización coherente acerca de, por ejemplo, el problema de la justicia. Lo hace ofreciendo un marco conceptual subyacente y normativo dentro de las restricciones sobre las cuales la teorización práctica consistente puede proceder. Este libro adopta esta línea de defensa positiva</w:t>
      </w:r>
      <w:r>
        <w:rPr>
          <w:rFonts w:ascii="Times New Roman" w:hAnsi="Times New Roman" w:cs="Times New Roman"/>
        </w:rPr>
        <w:t>.</w:t>
      </w:r>
      <w:r w:rsidRPr="00865671">
        <w:rPr>
          <w:rFonts w:ascii="Times New Roman" w:hAnsi="Times New Roman" w:cs="Times New Roman"/>
        </w:rPr>
        <w:t xml:space="preserve"> </w:t>
      </w:r>
      <w:r>
        <w:rPr>
          <w:rFonts w:ascii="Times New Roman" w:hAnsi="Times New Roman" w:cs="Times New Roman"/>
        </w:rPr>
        <w:t>U</w:t>
      </w:r>
      <w:r w:rsidRPr="00865671">
        <w:rPr>
          <w:rFonts w:ascii="Times New Roman" w:hAnsi="Times New Roman" w:cs="Times New Roman"/>
        </w:rPr>
        <w:t>na de las características que define el pensamiento político filosófico de Kant, apartado de las del liberalismo contemporáneo, es su soporte explícito hacia la metafísica.</w:t>
      </w:r>
      <w:r>
        <w:rPr>
          <w:rFonts w:ascii="Times New Roman" w:hAnsi="Times New Roman" w:cs="Times New Roman"/>
        </w:rPr>
        <w:t>”</w:t>
      </w:r>
      <w:r w:rsidRPr="00865671">
        <w:rPr>
          <w:rFonts w:ascii="Times New Roman" w:hAnsi="Times New Roman" w:cs="Times New Roman"/>
        </w:rPr>
        <w:t xml:space="preserve"> (2000; p.5)</w:t>
      </w:r>
    </w:p>
    <w:p w14:paraId="1023DC0E" w14:textId="77777777" w:rsidR="008B6829" w:rsidRDefault="008B6829" w:rsidP="008B6829">
      <w:pPr>
        <w:spacing w:line="360" w:lineRule="auto"/>
        <w:jc w:val="both"/>
        <w:rPr>
          <w:rFonts w:ascii="Times New Roman" w:hAnsi="Times New Roman" w:cs="Times New Roman"/>
        </w:rPr>
      </w:pPr>
      <w:r w:rsidRPr="00E701E6">
        <w:rPr>
          <w:rFonts w:ascii="Times New Roman" w:hAnsi="Times New Roman" w:cs="Times New Roman"/>
        </w:rPr>
        <w:t xml:space="preserve">Respecto </w:t>
      </w:r>
      <w:r>
        <w:rPr>
          <w:rFonts w:ascii="Times New Roman" w:hAnsi="Times New Roman" w:cs="Times New Roman"/>
        </w:rPr>
        <w:t>de los conceptos metafísicos que forman la base del pensamiento político de Kant, Flikschuh identifica que: “</w:t>
      </w:r>
      <w:r w:rsidRPr="00865671">
        <w:rPr>
          <w:rFonts w:ascii="Times New Roman" w:hAnsi="Times New Roman" w:cs="Times New Roman"/>
        </w:rPr>
        <w:t xml:space="preserve">La metafísica de la justicia de Kant está basada en las perspectivas de la libertad y las restricciones de la naturaleza, y su eventual reconciliación </w:t>
      </w:r>
      <w:r w:rsidRPr="00865671">
        <w:rPr>
          <w:rFonts w:ascii="Times New Roman" w:hAnsi="Times New Roman" w:cs="Times New Roman"/>
        </w:rPr>
        <w:lastRenderedPageBreak/>
        <w:t xml:space="preserve">por medio de un acto de un juicio práctico político que refleja la concepción positiva de Kant sobre la finitud humana. En otras palabras, la idea de libertad, las restricciones naturales y una concepción particular de finitud humana en relación al razonamiento político práctico informa de una subyacente estructura categórica o marco categorial en la doctrina del derecho de Kant. Es la presencia de este subyacente </w:t>
      </w:r>
      <w:r>
        <w:rPr>
          <w:rFonts w:ascii="Times New Roman" w:hAnsi="Times New Roman" w:cs="Times New Roman"/>
        </w:rPr>
        <w:t>m</w:t>
      </w:r>
      <w:r w:rsidRPr="00865671">
        <w:rPr>
          <w:rFonts w:ascii="Times New Roman" w:hAnsi="Times New Roman" w:cs="Times New Roman"/>
        </w:rPr>
        <w:t>arco categorial o encuadre metafísico, lo que da forma al pensamiento político de Kant y lo deja últimamente en una perspectiva muy diferente de aquella de los liberalistas contemporáneos.</w:t>
      </w:r>
      <w:r>
        <w:rPr>
          <w:rFonts w:ascii="Times New Roman" w:hAnsi="Times New Roman" w:cs="Times New Roman"/>
        </w:rPr>
        <w:t>”</w:t>
      </w:r>
      <w:r w:rsidRPr="00865671">
        <w:rPr>
          <w:rFonts w:ascii="Times New Roman" w:hAnsi="Times New Roman" w:cs="Times New Roman"/>
        </w:rPr>
        <w:t xml:space="preserve"> (2000; p.6)</w:t>
      </w:r>
      <w:r>
        <w:rPr>
          <w:rFonts w:ascii="Times New Roman" w:hAnsi="Times New Roman" w:cs="Times New Roman"/>
        </w:rPr>
        <w:t xml:space="preserve"> </w:t>
      </w:r>
    </w:p>
    <w:p w14:paraId="4ABDCFF0"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t>En el primer capítulo, la autora se remite a lo que S. Körner se refiere como un marco categorial. Ella señala que: “</w:t>
      </w:r>
      <w:r w:rsidRPr="00865671">
        <w:rPr>
          <w:rFonts w:ascii="Times New Roman" w:hAnsi="Times New Roman" w:cs="Times New Roman"/>
        </w:rPr>
        <w:t>Al desarrollar una noción de un marco categorial (…) espero conseguir un delineado de una posible aproximación a la metafísica de Kant. Esto proveería una estructura unificante para los argumentos exegéticos presentados en los capítulos subsecuentes. Sin anticipar mucho</w:t>
      </w:r>
      <w:r>
        <w:rPr>
          <w:rFonts w:ascii="Times New Roman" w:hAnsi="Times New Roman" w:cs="Times New Roman"/>
        </w:rPr>
        <w:t>,</w:t>
      </w:r>
      <w:r w:rsidRPr="00865671">
        <w:rPr>
          <w:rFonts w:ascii="Times New Roman" w:hAnsi="Times New Roman" w:cs="Times New Roman"/>
        </w:rPr>
        <w:t xml:space="preserve"> la idea general es estructurar el análisis de la teoría de la justicia alrededor de la relación dentro de dos conceptos centrales o ideas que informan su pensamiento filosófico como un todo. Esos son los conceptos de naturaleza de un lado y la idea de libertad por el otro. De acuerdo con Kant, la reconciliación entre la causalidad de la naturaleza y la idea de libertad humana, forman la piedra de toque de su entera filosofía crítica. Es, por lo tanto, central también para adecuar un entendimiento de su filosofía del derecho.</w:t>
      </w:r>
      <w:r>
        <w:rPr>
          <w:rFonts w:ascii="Times New Roman" w:hAnsi="Times New Roman" w:cs="Times New Roman"/>
        </w:rPr>
        <w:t>”</w:t>
      </w:r>
      <w:r w:rsidRPr="00865671">
        <w:rPr>
          <w:rFonts w:ascii="Times New Roman" w:hAnsi="Times New Roman" w:cs="Times New Roman"/>
        </w:rPr>
        <w:t xml:space="preserve"> (2000; p.13)</w:t>
      </w:r>
    </w:p>
    <w:p w14:paraId="6EDF15A2"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t>Flikschuh luego señala cómo la idea de pluralismo ha ayudado a mantener alejada la idea de metafísica de los debates sobre política. Ella escribe que: “</w:t>
      </w:r>
      <w:r w:rsidRPr="00865671">
        <w:rPr>
          <w:rFonts w:ascii="Times New Roman" w:hAnsi="Times New Roman" w:cs="Times New Roman"/>
        </w:rPr>
        <w:t>A pesar del renovado interés por la metafísica en otras ramas de la filosofía, su rechazo en la filosofía política continúa sin disminución. Dentro de los círculos liberales, el escepticismo hacia la metafísica ha tenido un renovado ímpetu a través de la tesis de Rawls sobre el hecho del pluralismo. De acuerdo a esta tesis, la prevalencia de la divergente concepción individual del bien en las sociedades liberales deja indisponible una concepción comprensiva del bien social, donde l</w:t>
      </w:r>
      <w:r>
        <w:rPr>
          <w:rFonts w:ascii="Times New Roman" w:hAnsi="Times New Roman" w:cs="Times New Roman"/>
        </w:rPr>
        <w:t xml:space="preserve">o comprensivo, </w:t>
      </w:r>
      <w:r w:rsidRPr="00865671">
        <w:rPr>
          <w:rFonts w:ascii="Times New Roman" w:hAnsi="Times New Roman" w:cs="Times New Roman"/>
        </w:rPr>
        <w:t>se considera</w:t>
      </w:r>
      <w:r>
        <w:rPr>
          <w:rFonts w:ascii="Times New Roman" w:hAnsi="Times New Roman" w:cs="Times New Roman"/>
        </w:rPr>
        <w:t>,</w:t>
      </w:r>
      <w:r w:rsidRPr="00865671">
        <w:rPr>
          <w:rFonts w:ascii="Times New Roman" w:hAnsi="Times New Roman" w:cs="Times New Roman"/>
        </w:rPr>
        <w:t xml:space="preserve"> que incluye el compromiso público a unas presuposiciones de una metafísica particular que soportan la perspectiva del bien en cuestión. Desde que, bajo las condiciones del pluralismo, no todos los individuos pueden, o efectivamente, </w:t>
      </w:r>
      <w:r>
        <w:rPr>
          <w:rFonts w:ascii="Times New Roman" w:hAnsi="Times New Roman" w:cs="Times New Roman"/>
        </w:rPr>
        <w:t>apoyan</w:t>
      </w:r>
      <w:r w:rsidRPr="00865671">
        <w:rPr>
          <w:rFonts w:ascii="Times New Roman" w:hAnsi="Times New Roman" w:cs="Times New Roman"/>
        </w:rPr>
        <w:t xml:space="preserve"> las mismas tales presuposiciones, la metafísica ha perdido su fuerza justificadora en sociedades liberales maduras. El hecho del pluralismo se ha convertido frecuentemente en una razón citada para evitar la metafísica en el pensamiento político. (2000; p.13)</w:t>
      </w:r>
      <w:r>
        <w:rPr>
          <w:rFonts w:ascii="Times New Roman" w:hAnsi="Times New Roman" w:cs="Times New Roman"/>
        </w:rPr>
        <w:t xml:space="preserve"> Como una posibilidad contraria, la autora propone que la tesis podría tener la carga </w:t>
      </w:r>
      <w:r>
        <w:rPr>
          <w:rFonts w:ascii="Times New Roman" w:hAnsi="Times New Roman" w:cs="Times New Roman"/>
        </w:rPr>
        <w:lastRenderedPageBreak/>
        <w:t xml:space="preserve">opuesta, ya que, si es cierta la tesis del pluralismo, luego habría que prestar más atención, con mayor razón, a los presupuestos metafísicos de las deliberaciones en sociedades pluralistas, por cuanto estos presupuestos representan un marco conceptual que entrama ideas y valores a manera de trasfondo, sobre el cual las personas deciden y actúan. En esta línea, para Flikschuh, el inevitable marco categorial, que toda persona racional posee, trae consigo algunos compromisos metafísicos que no se pueden restar de la naturaleza humana en sus actividades de organización social y política. </w:t>
      </w:r>
    </w:p>
    <w:p w14:paraId="7F4DD3D2"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t>Flikschuh separa varios bandos en la controversia, para analizar el impacto de Kant y resaltar la repetida negligencia de la dimensión metafísica. Ella señala a los liberales clásicos, los liberales críticos y los comunitaristas, aunque se centra en los dos primeros. La autora, de esta forma, sobre los primeros, refiere que: “</w:t>
      </w:r>
      <w:r w:rsidRPr="00865671">
        <w:rPr>
          <w:rFonts w:ascii="Times New Roman" w:hAnsi="Times New Roman" w:cs="Times New Roman"/>
        </w:rPr>
        <w:t>Dibujo una distinción entre los liberales clásicos y los liberales críticos. Por liberales clásicos me refiero a la tradición política como fue formada por la clásica teoría del contrato social, en particular por las teorías de Hobbes, Locke y Rousseau, así como también por el empirismo británico, incluyendo esos pensadores no contractualistas como Hume y John Stuart Mill. A pesar de que, en la última etapa del pensamiento de Rawls, él mismo se alineó más cerca de la tradición americana pragmatista, se mantiene como uno de los más conocidos representantes del contractualismo clásico liberalista de hoy en día.</w:t>
      </w:r>
      <w:r>
        <w:rPr>
          <w:rFonts w:ascii="Times New Roman" w:hAnsi="Times New Roman" w:cs="Times New Roman"/>
        </w:rPr>
        <w:t>”</w:t>
      </w:r>
      <w:r w:rsidRPr="00865671">
        <w:rPr>
          <w:rFonts w:ascii="Times New Roman" w:hAnsi="Times New Roman" w:cs="Times New Roman"/>
        </w:rPr>
        <w:t xml:space="preserve"> (2000; p.14)</w:t>
      </w:r>
    </w:p>
    <w:p w14:paraId="67C415C0"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t>Luego, Flikschuh, retrata a los comunitaristas como críticos de los liberales, pero no como propulsores de propuestas. Así, ella refiere que: “</w:t>
      </w:r>
      <w:r w:rsidRPr="00865671">
        <w:rPr>
          <w:rFonts w:ascii="Times New Roman" w:hAnsi="Times New Roman" w:cs="Times New Roman"/>
        </w:rPr>
        <w:t xml:space="preserve">El trasfondo intelectual del comunitarismo es más diverso. Los autores comunitaristas toman de las filosofías de Aristóteles, Hegel y el segundo Wittgenstein. </w:t>
      </w:r>
      <w:r>
        <w:rPr>
          <w:rFonts w:ascii="Times New Roman" w:hAnsi="Times New Roman" w:cs="Times New Roman"/>
        </w:rPr>
        <w:t>L</w:t>
      </w:r>
      <w:r w:rsidRPr="00865671">
        <w:rPr>
          <w:rFonts w:ascii="Times New Roman" w:hAnsi="Times New Roman" w:cs="Times New Roman"/>
        </w:rPr>
        <w:t>o que les une es una versión común en contra de la abstracción filosófica y la gran teorización. En contra de esto, los comunitaristas enfatizan la atención al detalle, la sensibilidad contextual y la apreciación de la diversidad social y cultural. En amplio sentido, los comunitaristas representan una filosofía negativa unida más por un rechazo general al pensamiento liberal que por una formulación positiva de proyecto político. Las convicciones filosóficas comunitaristas yacen más en la decisión de resistir las tentaciones de los análisis abstractos y la construcción teórica, que en el esfuerzo de ofrecer alternativas de esquemas sociales y justicia política.</w:t>
      </w:r>
      <w:r>
        <w:rPr>
          <w:rFonts w:ascii="Times New Roman" w:hAnsi="Times New Roman" w:cs="Times New Roman"/>
        </w:rPr>
        <w:t>”</w:t>
      </w:r>
      <w:r w:rsidRPr="00865671">
        <w:rPr>
          <w:rFonts w:ascii="Times New Roman" w:hAnsi="Times New Roman" w:cs="Times New Roman"/>
        </w:rPr>
        <w:t xml:space="preserve"> (2000; p.14)</w:t>
      </w:r>
    </w:p>
    <w:p w14:paraId="68834755"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t>Por último, Flikschuh señala que: “</w:t>
      </w:r>
      <w:r w:rsidRPr="00865671">
        <w:rPr>
          <w:rFonts w:ascii="Times New Roman" w:hAnsi="Times New Roman" w:cs="Times New Roman"/>
        </w:rPr>
        <w:t xml:space="preserve">Finalmente está el liberalismo crítico. A pesar de ser más influyente en la Europa continental, ofrece una contraparte interesante al liberalismo clásico. Respecto de la recepción de la metafísica kantiana, como su nombre sugiere, el </w:t>
      </w:r>
      <w:r w:rsidRPr="00865671">
        <w:rPr>
          <w:rFonts w:ascii="Times New Roman" w:hAnsi="Times New Roman" w:cs="Times New Roman"/>
        </w:rPr>
        <w:lastRenderedPageBreak/>
        <w:t>liberalismo crítico fue desarrollado desde la teoría crítica, sacando ideas de Marx, Weber, Adorno y Horkheimer, entre otros. Para ellos, el liberalismo crítico agrega la idea de estado de derecho, lo que les vincula a la filosofía política de Kant.</w:t>
      </w:r>
      <w:r>
        <w:rPr>
          <w:rFonts w:ascii="Times New Roman" w:hAnsi="Times New Roman" w:cs="Times New Roman"/>
        </w:rPr>
        <w:t>”</w:t>
      </w:r>
      <w:r w:rsidRPr="00865671">
        <w:rPr>
          <w:rFonts w:ascii="Times New Roman" w:hAnsi="Times New Roman" w:cs="Times New Roman"/>
        </w:rPr>
        <w:t xml:space="preserve"> (2000; p.15)</w:t>
      </w:r>
    </w:p>
    <w:p w14:paraId="0F5466E4"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t>En la consideración de estos tres amplios bandos, la autora considera que difícilmente se puede tomar la etiqueta como una categoría cerrada y restrictiva, por cuanto: “</w:t>
      </w:r>
      <w:r w:rsidRPr="00865671">
        <w:rPr>
          <w:rFonts w:ascii="Times New Roman" w:hAnsi="Times New Roman" w:cs="Times New Roman"/>
        </w:rPr>
        <w:t>Esta ruda clasificación de las perspectivas actuales dentro de la filosofía política no es exhaustiva. Tampoco quiere sugerir que el cruce entre ellos es no existente. De hecho, hay liberales, comunitaristas, comunitaristas liberales y liberales clásicos con simpatías por el liberalismo crítico. Las tres perspectivas comparten una preocupación por la metafísica.</w:t>
      </w:r>
      <w:r>
        <w:rPr>
          <w:rFonts w:ascii="Times New Roman" w:hAnsi="Times New Roman" w:cs="Times New Roman"/>
        </w:rPr>
        <w:t>”</w:t>
      </w:r>
      <w:r w:rsidRPr="00865671">
        <w:rPr>
          <w:rFonts w:ascii="Times New Roman" w:hAnsi="Times New Roman" w:cs="Times New Roman"/>
        </w:rPr>
        <w:t xml:space="preserve"> (2000; p.15)</w:t>
      </w:r>
      <w:r>
        <w:rPr>
          <w:rFonts w:ascii="Times New Roman" w:hAnsi="Times New Roman" w:cs="Times New Roman"/>
        </w:rPr>
        <w:t xml:space="preserve"> Para la autora, esto último es lo fundamental, por cuanto, por lo general, estos bandos conceden el despliegue de lo metafísico a nivel personal, pero no en un sentido público. </w:t>
      </w:r>
    </w:p>
    <w:p w14:paraId="33FBF898"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t>En este mismo último sentido, ella refiere que: “</w:t>
      </w:r>
      <w:r w:rsidRPr="00865671">
        <w:rPr>
          <w:rFonts w:ascii="Times New Roman" w:hAnsi="Times New Roman" w:cs="Times New Roman"/>
        </w:rPr>
        <w:t>A pesar de estos diferentes énfasis, las tres posiciones asocian la metafísica de Kant con una apelación a la perspectiva suprasensible que viene incómodamente cercana al mundo platónico de las ideas verdaderas. Todas ellas rechazan la permisibilidad de las metafísicas en el pensamiento en lo que respecta lo que involucra una apelación al mundo trascendente. La reflexión metafísica es permisible, si es que lo es del todo, solamente en una esfera privada, nunca en la esfera pública.</w:t>
      </w:r>
      <w:r>
        <w:rPr>
          <w:rFonts w:ascii="Times New Roman" w:hAnsi="Times New Roman" w:cs="Times New Roman"/>
        </w:rPr>
        <w:t>”</w:t>
      </w:r>
      <w:r w:rsidRPr="00865671">
        <w:rPr>
          <w:rFonts w:ascii="Times New Roman" w:hAnsi="Times New Roman" w:cs="Times New Roman"/>
        </w:rPr>
        <w:t xml:space="preserve"> (2000; p.20)</w:t>
      </w:r>
      <w:r>
        <w:rPr>
          <w:rFonts w:ascii="Times New Roman" w:hAnsi="Times New Roman" w:cs="Times New Roman"/>
        </w:rPr>
        <w:t xml:space="preserve"> Esto refuerza la idea que discute la autora, respecto a que la metafísica, por lo general, en las discusiones contemporáneas, ha sido relegada en todo esfuerzo teórico de filosofía política.</w:t>
      </w:r>
    </w:p>
    <w:p w14:paraId="647CA8CC"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t>Esto resulta en el corazón de la primera tesis de Flikschuh. Ella nos dirá que: “</w:t>
      </w:r>
      <w:r w:rsidRPr="00865671">
        <w:rPr>
          <w:rFonts w:ascii="Times New Roman" w:hAnsi="Times New Roman" w:cs="Times New Roman"/>
        </w:rPr>
        <w:t>Yo argumento primero que el pensamiento metafísico no puede reducirse al nivel de la mera reflexión privada. Este es mi argumento en contra de Rawls. En segundo lugar, sugiero que a pesar de que una perspectiva trascendente es indispensable para el pensamiento metafísico, esto no necesita involucrar la apelación a mundos suprasensibles. Ese es mi argumento en contra de Habermas. Salvo de paso, no me remito a la perspectiva comunitarista.</w:t>
      </w:r>
      <w:r>
        <w:rPr>
          <w:rFonts w:ascii="Times New Roman" w:hAnsi="Times New Roman" w:cs="Times New Roman"/>
        </w:rPr>
        <w:t>”</w:t>
      </w:r>
      <w:r w:rsidRPr="00865671">
        <w:rPr>
          <w:rFonts w:ascii="Times New Roman" w:hAnsi="Times New Roman" w:cs="Times New Roman"/>
        </w:rPr>
        <w:t xml:space="preserve"> (2000; p.20)</w:t>
      </w:r>
      <w:r>
        <w:rPr>
          <w:rFonts w:ascii="Times New Roman" w:hAnsi="Times New Roman" w:cs="Times New Roman"/>
        </w:rPr>
        <w:t xml:space="preserve"> En este sentido, la tesis central de la autora se encuentra dirigida a esos dos frentes, representados por Rawls y Habermas, en donde se sostiene que el papel de la metafísica en debates políticos no debería entenderse como meramente privado y que ese uso de la metafísica no tiene porqué desentenderse de la realidad como podría ocurrir en el horizonte de un idealismo extremo. Basta tener en cuenta la naturaleza de los principios que postula la razón pura práctica para poder considerar que su enfoque </w:t>
      </w:r>
      <w:r>
        <w:rPr>
          <w:rFonts w:ascii="Times New Roman" w:hAnsi="Times New Roman" w:cs="Times New Roman"/>
        </w:rPr>
        <w:lastRenderedPageBreak/>
        <w:t xml:space="preserve">es normativo y apunta a concretar algo en la realidad, que muchas veces todavía no existe en lo concreto de la práctica, pero si en la fuerza de su idea regulativa. </w:t>
      </w:r>
    </w:p>
    <w:p w14:paraId="1D648230"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t>En el panorama de los tres bandos descritos, todos parecen sostener una idea en común, a pesar de sus diferencias. Flikschuh señala que: “</w:t>
      </w:r>
      <w:r w:rsidRPr="00865671">
        <w:rPr>
          <w:rFonts w:ascii="Times New Roman" w:hAnsi="Times New Roman" w:cs="Times New Roman"/>
        </w:rPr>
        <w:t>La contención es directa, que las creencias metafísicas no son de importancia en el contexto de la justificación política.</w:t>
      </w:r>
      <w:r>
        <w:rPr>
          <w:rFonts w:ascii="Times New Roman" w:hAnsi="Times New Roman" w:cs="Times New Roman"/>
        </w:rPr>
        <w:t>”</w:t>
      </w:r>
      <w:r w:rsidRPr="00865671">
        <w:rPr>
          <w:rFonts w:ascii="Times New Roman" w:hAnsi="Times New Roman" w:cs="Times New Roman"/>
        </w:rPr>
        <w:t xml:space="preserve"> (2000; p.21)</w:t>
      </w:r>
    </w:p>
    <w:p w14:paraId="33E32A61"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t>Sin embargo, Flikschuh rescata cuatro elementos que deriva de la idea de marco categorial de Körner. Ella indica que: “</w:t>
      </w:r>
      <w:r w:rsidRPr="00865671">
        <w:rPr>
          <w:rFonts w:ascii="Times New Roman" w:hAnsi="Times New Roman" w:cs="Times New Roman"/>
        </w:rPr>
        <w:t>El marco categorial de una persona tiene una evidente orientación epistemológica, reflejando asunciones particulares acerca de la condición de la experiencia cognitiva que no puedo discutir aquí. Sin embargo, cuatro características de la exposición de Korner son útiles en el contexto presente. Número uno, la afirmación de que la metafísica de la persona se erige desde su experiencia cognitiva del mundo. Número dos, la afirmación de que el marco categorial de una persona se refiere al mundo público de su experiencia. Número tres, la afirmación de que el marco categorial debe demostrar una afirmación razonada para la validez intersubjetiva. Número cuatro, la afirmación de que el marco categorial contiene la organización de los principios, tanto teóricos como prácticos de una persona.</w:t>
      </w:r>
      <w:r>
        <w:rPr>
          <w:rFonts w:ascii="Times New Roman" w:hAnsi="Times New Roman" w:cs="Times New Roman"/>
        </w:rPr>
        <w:t>”</w:t>
      </w:r>
      <w:r w:rsidRPr="00865671">
        <w:rPr>
          <w:rFonts w:ascii="Times New Roman" w:hAnsi="Times New Roman" w:cs="Times New Roman"/>
        </w:rPr>
        <w:t xml:space="preserve"> (2000; p.33) </w:t>
      </w:r>
    </w:p>
    <w:p w14:paraId="2CDD94E5"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t>Estos cuatro elementos del marco categorial son el fundamento para interpretarle como la estructura de un trasfondo metafísico necesario e inevitable para toda persona, sin que se desentienda de la experiencia real. Flikschuh concluye que: “</w:t>
      </w:r>
      <w:r w:rsidRPr="00865671">
        <w:rPr>
          <w:rFonts w:ascii="Times New Roman" w:hAnsi="Times New Roman" w:cs="Times New Roman"/>
        </w:rPr>
        <w:t>En suma, el pensamiento metafísico, entendido en términos de un marco categorial, constituye la reconstrucción reflectiva de una persona de su experiencia cognitiva del mundo público accesible a la estructura válida intersubjetiva de la cual el marco categorial apunta a identificar y elucidar para el propósito de guiar el pensamiento y la acción.</w:t>
      </w:r>
      <w:r>
        <w:rPr>
          <w:rFonts w:ascii="Times New Roman" w:hAnsi="Times New Roman" w:cs="Times New Roman"/>
        </w:rPr>
        <w:t>”</w:t>
      </w:r>
      <w:r w:rsidRPr="00865671">
        <w:rPr>
          <w:rFonts w:ascii="Times New Roman" w:hAnsi="Times New Roman" w:cs="Times New Roman"/>
        </w:rPr>
        <w:t xml:space="preserve"> (2000; p.35)</w:t>
      </w:r>
    </w:p>
    <w:p w14:paraId="4BA5DDDF"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t>De esta forma, la autora afirma que: “</w:t>
      </w:r>
      <w:r w:rsidRPr="00865671">
        <w:rPr>
          <w:rFonts w:ascii="Times New Roman" w:hAnsi="Times New Roman" w:cs="Times New Roman"/>
        </w:rPr>
        <w:t>Ciertamente Korner explícitamente estipula que el marco categorial de una persona define su metafísica inmanente</w:t>
      </w:r>
      <w:r>
        <w:rPr>
          <w:rFonts w:ascii="Times New Roman" w:hAnsi="Times New Roman" w:cs="Times New Roman"/>
        </w:rPr>
        <w:t>.”</w:t>
      </w:r>
      <w:r w:rsidRPr="00865671">
        <w:rPr>
          <w:rFonts w:ascii="Times New Roman" w:hAnsi="Times New Roman" w:cs="Times New Roman"/>
        </w:rPr>
        <w:t xml:space="preserve"> (2000; p.36)</w:t>
      </w:r>
      <w:r>
        <w:rPr>
          <w:rFonts w:ascii="Times New Roman" w:hAnsi="Times New Roman" w:cs="Times New Roman"/>
        </w:rPr>
        <w:t xml:space="preserve"> Y precisamente, en este sentido, Flikschuh aboga por “D</w:t>
      </w:r>
      <w:r w:rsidRPr="00865671">
        <w:rPr>
          <w:rFonts w:ascii="Times New Roman" w:hAnsi="Times New Roman" w:cs="Times New Roman"/>
        </w:rPr>
        <w:t>efender la función pública de la metafísica en el pensamiento político</w:t>
      </w:r>
      <w:r>
        <w:rPr>
          <w:rFonts w:ascii="Times New Roman" w:hAnsi="Times New Roman" w:cs="Times New Roman"/>
        </w:rPr>
        <w:t>.”</w:t>
      </w:r>
      <w:r w:rsidRPr="00865671">
        <w:rPr>
          <w:rFonts w:ascii="Times New Roman" w:hAnsi="Times New Roman" w:cs="Times New Roman"/>
        </w:rPr>
        <w:t xml:space="preserve"> (2000; p.47) </w:t>
      </w:r>
    </w:p>
    <w:p w14:paraId="353D9532"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t>El uso de la metafísica en la reflexión política, entendido de esta manera, no se desentiende del resto del sistema crítico del pensamiento de Kant. Flikschuh, en esta línea, estipula que: “</w:t>
      </w:r>
      <w:r w:rsidRPr="00865671">
        <w:rPr>
          <w:rFonts w:ascii="Times New Roman" w:hAnsi="Times New Roman" w:cs="Times New Roman"/>
        </w:rPr>
        <w:t xml:space="preserve">La metafísica inmanente de Kant - la organización e integración de sus </w:t>
      </w:r>
      <w:r w:rsidRPr="00865671">
        <w:rPr>
          <w:rFonts w:ascii="Times New Roman" w:hAnsi="Times New Roman" w:cs="Times New Roman"/>
        </w:rPr>
        <w:lastRenderedPageBreak/>
        <w:t>supremos principios teóricos y prácticos - está articulada en términos de su doctrina filosófica de idealismo trascendental.</w:t>
      </w:r>
      <w:r>
        <w:rPr>
          <w:rFonts w:ascii="Times New Roman" w:hAnsi="Times New Roman" w:cs="Times New Roman"/>
        </w:rPr>
        <w:t>”</w:t>
      </w:r>
      <w:r w:rsidRPr="00865671">
        <w:rPr>
          <w:rFonts w:ascii="Times New Roman" w:hAnsi="Times New Roman" w:cs="Times New Roman"/>
        </w:rPr>
        <w:t xml:space="preserve"> (2000; p.48) </w:t>
      </w:r>
    </w:p>
    <w:p w14:paraId="16916932"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t xml:space="preserve">Flikschuh señala el encuadre de la doctrina del derecho, como parte de los esfuerzos de la razón práctica, en el escenario del contraste entre las leyes naturales y las leyes de la libertad. Este tema es desarrollado por Kant en la CRP en la tercera antinomia de la razón, en donde se confronta la idea racional de causalidad con la idea de libertad. Esta antigua controversia entre determinismo y libertad es resuelta de tal modo, que resulta fundamental para el ámbito del pensamiento político. Este tema se encuentra desarrollado más precisamente en el siguiente capítulo del libro de Flikschuh. </w:t>
      </w:r>
    </w:p>
    <w:p w14:paraId="637D6852"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t>En el sentido en que Flikschuh rescata la solución de Kant al problema del libre albedrío, en el marco de su filosofía trascendental o crítica, es que ella establece una perspectiva para pensar en la libertad externa. Así, la autora señala que: “</w:t>
      </w:r>
      <w:r w:rsidRPr="00865671">
        <w:rPr>
          <w:rFonts w:ascii="Times New Roman" w:hAnsi="Times New Roman" w:cs="Times New Roman"/>
        </w:rPr>
        <w:t>La doctrina del derecho apunta a reconciliar, desde la perspectiva de agencia política, el concepto de causalidad, con la idea de libertad, al especificar las condiciones necesarias para la posibilidad de una libertad legal o jurídica, para cada cual, dentro de las constricciones de la realidad empírica.</w:t>
      </w:r>
      <w:r>
        <w:rPr>
          <w:rFonts w:ascii="Times New Roman" w:hAnsi="Times New Roman" w:cs="Times New Roman"/>
        </w:rPr>
        <w:t>”</w:t>
      </w:r>
      <w:r w:rsidRPr="00865671">
        <w:rPr>
          <w:rFonts w:ascii="Times New Roman" w:hAnsi="Times New Roman" w:cs="Times New Roman"/>
        </w:rPr>
        <w:t xml:space="preserve"> (2000; p.48)</w:t>
      </w:r>
    </w:p>
    <w:p w14:paraId="5D1804BA"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t>El primer capítulo del libro de Flikschuh concluye habiendo establecido la tesis de la importancia de la metafísica para la reflexión política, y abriendo paso a los elementos que constituyen los pilares de la metafísica particular que soporta el pensamiento político de Kant. En este sentido, ella refiere que: “</w:t>
      </w:r>
      <w:r w:rsidRPr="00865671">
        <w:rPr>
          <w:rFonts w:ascii="Times New Roman" w:hAnsi="Times New Roman" w:cs="Times New Roman"/>
        </w:rPr>
        <w:t>La reconciliación entre la causalidad y la libertad en la doctrina del derecho puede ser concedida solo en términos prácticos, y esto presupone un reconocimiento de la finitud del conocimiento humano. En los siguientes capítulos, el tratamiento del concepto de causalidad, la idea de libertad y la noción de finitud humana se consideran como tres categorías centrales metafísicas que dan forma a la aproximación de Kant al problema del derecho en su doctrina.</w:t>
      </w:r>
      <w:r>
        <w:rPr>
          <w:rFonts w:ascii="Times New Roman" w:hAnsi="Times New Roman" w:cs="Times New Roman"/>
        </w:rPr>
        <w:t>”</w:t>
      </w:r>
      <w:r w:rsidRPr="00865671">
        <w:rPr>
          <w:rFonts w:ascii="Times New Roman" w:hAnsi="Times New Roman" w:cs="Times New Roman"/>
        </w:rPr>
        <w:t xml:space="preserve"> (2000; p.48)</w:t>
      </w:r>
    </w:p>
    <w:p w14:paraId="7D7A45D5" w14:textId="77777777" w:rsidR="008B6829" w:rsidRPr="00865671" w:rsidRDefault="008B6829" w:rsidP="008B6829">
      <w:pPr>
        <w:spacing w:line="360" w:lineRule="auto"/>
        <w:jc w:val="both"/>
        <w:rPr>
          <w:rFonts w:ascii="Times New Roman" w:hAnsi="Times New Roman" w:cs="Times New Roman"/>
        </w:rPr>
      </w:pPr>
      <w:r>
        <w:rPr>
          <w:rFonts w:ascii="Times New Roman" w:hAnsi="Times New Roman" w:cs="Times New Roman"/>
        </w:rPr>
        <w:t xml:space="preserve">El segundo capítulo se titula: “La metafísica de la libertad como una idea de la razón” y caracteriza al ámbito práctico en general, pero específicamente al concepto de libertad, como una idea que toma de modelo el tipo de leyes que existen en la naturaleza, por lo que su poder normativo se formula con la atribución de ser algo semejante-a-la-ley. (Flikschuh usa el término </w:t>
      </w:r>
      <w:r w:rsidRPr="00714EC9">
        <w:rPr>
          <w:rFonts w:ascii="Times New Roman" w:hAnsi="Times New Roman" w:cs="Times New Roman"/>
          <w:i/>
          <w:iCs/>
        </w:rPr>
        <w:t>lawlikeness</w:t>
      </w:r>
      <w:r>
        <w:rPr>
          <w:rFonts w:ascii="Times New Roman" w:hAnsi="Times New Roman" w:cs="Times New Roman"/>
        </w:rPr>
        <w:t xml:space="preserve">). Además, la autora enfatiza el hecho de que la idea de libertad es una idea “compartida”. </w:t>
      </w:r>
    </w:p>
    <w:p w14:paraId="56D5FCA8"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lastRenderedPageBreak/>
        <w:t>Flikschuh ofrecerá dos definiciones de libertad ofrecidas en el pensamiento moral de Kant, para luego ubicar su postura en el tradicional debate sobre la voluntad libre. Ella señala que: “</w:t>
      </w:r>
      <w:r w:rsidRPr="00865671">
        <w:rPr>
          <w:rFonts w:ascii="Times New Roman" w:hAnsi="Times New Roman" w:cs="Times New Roman"/>
        </w:rPr>
        <w:t xml:space="preserve">La caracterización de Kant de la libertad como una idea de la razón constituye </w:t>
      </w:r>
      <w:r>
        <w:rPr>
          <w:rFonts w:ascii="Times New Roman" w:hAnsi="Times New Roman" w:cs="Times New Roman"/>
        </w:rPr>
        <w:t>el</w:t>
      </w:r>
      <w:r w:rsidRPr="00865671">
        <w:rPr>
          <w:rFonts w:ascii="Times New Roman" w:hAnsi="Times New Roman" w:cs="Times New Roman"/>
        </w:rPr>
        <w:t xml:space="preserve"> más contencioso aspecto de su filosofía moral. Su distinción entre la concepción negativa y positiva de la libertad es bien conocida. Mientras la concepción negativa define a la libertad como la independencia de un ser racional de las determinaciones de la causalidad de la naturaleza, la concepción positiva se refiere a su capacidad de actuar desde principios de la sola razón pura práctica. Kant se refiere a menudo a la concepción negativa como la idea trascendental de la libertad, y a la concepción positiva como la libertad práctica o moral.</w:t>
      </w:r>
      <w:r>
        <w:rPr>
          <w:rFonts w:ascii="Times New Roman" w:hAnsi="Times New Roman" w:cs="Times New Roman"/>
        </w:rPr>
        <w:t>”</w:t>
      </w:r>
      <w:r w:rsidRPr="00865671">
        <w:rPr>
          <w:rFonts w:ascii="Times New Roman" w:hAnsi="Times New Roman" w:cs="Times New Roman"/>
        </w:rPr>
        <w:t xml:space="preserve"> (2000; p.50)</w:t>
      </w:r>
    </w:p>
    <w:p w14:paraId="6A4A91AB"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t>Flikschuh buscará definir la postura de Kant respecto a la libertad, pensada desde su contexto y en virtud de un debate tradicional. Ella señala que: “</w:t>
      </w:r>
      <w:r w:rsidRPr="00865671">
        <w:rPr>
          <w:rFonts w:ascii="Times New Roman" w:hAnsi="Times New Roman" w:cs="Times New Roman"/>
        </w:rPr>
        <w:t>El problema de la libertad en Kant no ha sido ignorado del todo, pero ha tendido a ocupar un lugar separado desde el que ha sido abordado como una versión del clásico debate entre voluntad libre y determinismo.</w:t>
      </w:r>
      <w:r>
        <w:rPr>
          <w:rFonts w:ascii="Times New Roman" w:hAnsi="Times New Roman" w:cs="Times New Roman"/>
        </w:rPr>
        <w:t>”</w:t>
      </w:r>
      <w:r w:rsidRPr="00865671">
        <w:rPr>
          <w:rFonts w:ascii="Times New Roman" w:hAnsi="Times New Roman" w:cs="Times New Roman"/>
        </w:rPr>
        <w:t xml:space="preserve"> (2000; p.51)</w:t>
      </w:r>
      <w:r>
        <w:rPr>
          <w:rFonts w:ascii="Times New Roman" w:hAnsi="Times New Roman" w:cs="Times New Roman"/>
        </w:rPr>
        <w:t xml:space="preserve"> Esta controversia, en Kant, se puede pensar bajo la consideración de que el ser humano parece pertenecer a dos ámbitos al mismo tiempo, a la causalidad natural y a la libertad moral. Flikschuh defiende una lectura que no hace de Kant un compatibilista, ni un incompatibilista, sino algo distinto. </w:t>
      </w:r>
    </w:p>
    <w:p w14:paraId="49C348C1"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t xml:space="preserve">En el contexto del debate, los llamados deterministas fuertes sostienen que todo está determinado y no existe la libertad. Los deterministas suaves, o compatibilistas sostienen que al mismo tiempo es cierto que todo esté determinado y que, además, esto es compatible con que tengamos libertad. Los incompatibilistas no creen que ambas cosas puedan ser verdad a la vez, por lo que pueden inclinarse, por lo general, o bien, hacia los deterministas fuertes, o bien, se pueden entender como libertarios no deterministas. </w:t>
      </w:r>
      <w:r w:rsidRPr="00481966">
        <w:rPr>
          <w:rFonts w:ascii="Times New Roman" w:hAnsi="Times New Roman" w:cs="Times New Roman"/>
        </w:rPr>
        <w:t>Flikschuh señala que: “Las limitaciones de la distinción entre compatibilistas e incompatibilistas sacada rutinariamente del debate de la voluntad libre ha sido señalada por Allen Wood, por ejemplo, al enfatizar el interés de Kant por reconciliar libertad con causalidad</w:t>
      </w:r>
      <w:r>
        <w:rPr>
          <w:rFonts w:ascii="Times New Roman" w:hAnsi="Times New Roman" w:cs="Times New Roman"/>
        </w:rPr>
        <w:t>.</w:t>
      </w:r>
      <w:r w:rsidRPr="00481966">
        <w:rPr>
          <w:rFonts w:ascii="Times New Roman" w:hAnsi="Times New Roman" w:cs="Times New Roman"/>
        </w:rPr>
        <w:t xml:space="preserve"> Wood por lo tanto cuestiona la amplia caracterización de Kant como un incompatibilista.</w:t>
      </w:r>
      <w:r>
        <w:rPr>
          <w:rFonts w:ascii="Times New Roman" w:hAnsi="Times New Roman" w:cs="Times New Roman"/>
        </w:rPr>
        <w:t>”</w:t>
      </w:r>
      <w:r w:rsidRPr="00481966">
        <w:rPr>
          <w:rFonts w:ascii="Times New Roman" w:hAnsi="Times New Roman" w:cs="Times New Roman"/>
        </w:rPr>
        <w:t xml:space="preserve"> (2000; p.51)</w:t>
      </w:r>
      <w:r>
        <w:rPr>
          <w:rFonts w:ascii="Times New Roman" w:hAnsi="Times New Roman" w:cs="Times New Roman"/>
        </w:rPr>
        <w:t xml:space="preserve"> </w:t>
      </w:r>
    </w:p>
    <w:p w14:paraId="63CAE2B6"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t xml:space="preserve">La lectura de Flikschuh, siguiendo a Wood, supone que Kant no es un incompatibilista, ya que el ángulo desde que se interpreta la idea de libertad, es en cuanto se trata de una idea compartida de la razón, de forma que oriente la práctica normativamente de manera intersubjetiva. De este modo, la distinción entre los bandos del determinismo fuerte y la </w:t>
      </w:r>
      <w:r>
        <w:rPr>
          <w:rFonts w:ascii="Times New Roman" w:hAnsi="Times New Roman" w:cs="Times New Roman"/>
        </w:rPr>
        <w:lastRenderedPageBreak/>
        <w:t>defensa radical de la voluntad libre, queda enmarcada por otras reglas de juego que Kant no necesariamente adscribe, a la hora de pensar en la libertad. Así, para alejarse de la lógica del debate entre deterministas y defensores de la voluntad libre, Flikschuh enmarca las ideas de Kant en otro registro distinto al de la metafísica tradicional o dogmática. Ella indica que: “</w:t>
      </w:r>
      <w:r w:rsidRPr="00865671">
        <w:rPr>
          <w:rFonts w:ascii="Times New Roman" w:hAnsi="Times New Roman" w:cs="Times New Roman"/>
        </w:rPr>
        <w:t>Para Kant, la resolución del conflicto entre libertad y naturaleza presupone</w:t>
      </w:r>
      <w:r>
        <w:rPr>
          <w:rFonts w:ascii="Times New Roman" w:hAnsi="Times New Roman" w:cs="Times New Roman"/>
        </w:rPr>
        <w:t xml:space="preserve"> </w:t>
      </w:r>
      <w:r w:rsidRPr="00865671">
        <w:rPr>
          <w:rFonts w:ascii="Times New Roman" w:hAnsi="Times New Roman" w:cs="Times New Roman"/>
        </w:rPr>
        <w:t>la doctrina del idealismo trascendental.</w:t>
      </w:r>
      <w:r>
        <w:rPr>
          <w:rFonts w:ascii="Times New Roman" w:hAnsi="Times New Roman" w:cs="Times New Roman"/>
        </w:rPr>
        <w:t>”</w:t>
      </w:r>
      <w:r w:rsidRPr="00865671">
        <w:rPr>
          <w:rFonts w:ascii="Times New Roman" w:hAnsi="Times New Roman" w:cs="Times New Roman"/>
        </w:rPr>
        <w:t xml:space="preserve"> (2000; p.53)</w:t>
      </w:r>
      <w:r>
        <w:rPr>
          <w:rFonts w:ascii="Times New Roman" w:hAnsi="Times New Roman" w:cs="Times New Roman"/>
        </w:rPr>
        <w:t xml:space="preserve"> </w:t>
      </w:r>
    </w:p>
    <w:p w14:paraId="79684EB5"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t xml:space="preserve">Debemos tener en cuenta que Kant intenta poner bajo escrutinio el papel de la metafísica tradicional y los límites del conocimiento en la CRP. Bajo su interpretación de la epistemología, con el giro copernicano que realiza, es posible distinguir una metafísica dogmática de una metafísica crítica. La primera puede entenderse como trascendente y la segunda como trascendental. La libertad considerada como asediada por el concepto de determinismo mecanicista, de esta forma, queda en el campo de la metafísica dogmática, mientras que la perspectiva de Kant de una metafísica crítica queda enmarcada en la lógica de su idealismo trascendental, que es el núcleo de su filosofía crítica y supone para el ser humano una doble pertenencia a ámbitos de lógicas distintas: un mundo material determinado y un mundo moral de libertad de la voluntad, entendida como autonomía. </w:t>
      </w:r>
    </w:p>
    <w:p w14:paraId="31A079DB"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t xml:space="preserve">Es importante tener en mente la distinción que hace Kant entre razón teórica y razón práctica. La primera tiene una función constitutiva del objeto de experiencia o fenómeno, mientras que la segunda tiene una función regulativa para la acción. En el contexto del pensamiento crítico de Kant, la libertad es una idea regulativa que produce la razón práctica. </w:t>
      </w:r>
    </w:p>
    <w:p w14:paraId="746F8306"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t>Flikschuh habrá de girar su atención hacia la tercera antinomia de la razón para poder interpretar las ideas de Kant como incongruentes con el marco del problema del determinismo. Ella señala lo siguiente: “</w:t>
      </w:r>
      <w:r w:rsidRPr="00865671">
        <w:rPr>
          <w:rFonts w:ascii="Times New Roman" w:hAnsi="Times New Roman" w:cs="Times New Roman"/>
        </w:rPr>
        <w:t>He sugerido que la distinción tradicional entre compatibilistas e incompatibilistas no es la más apropiada para abordar el conflicto entre libertad y naturaleza en la tercera antinomia. La teoría de Kant no es ninguna, ni incompatibilista, ni compatibilista.</w:t>
      </w:r>
      <w:r>
        <w:rPr>
          <w:rFonts w:ascii="Times New Roman" w:hAnsi="Times New Roman" w:cs="Times New Roman"/>
        </w:rPr>
        <w:t>”</w:t>
      </w:r>
      <w:r w:rsidRPr="00865671">
        <w:rPr>
          <w:rFonts w:ascii="Times New Roman" w:hAnsi="Times New Roman" w:cs="Times New Roman"/>
        </w:rPr>
        <w:t xml:space="preserve"> (2000; p.54)</w:t>
      </w:r>
    </w:p>
    <w:p w14:paraId="75026D6B"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t>Kant define a las antinomias como las contradicciones inevitables en que incurre la razón consigo misma cuando trata de ir más allá de la experiencia posible para conocer las supuestas realidades últimas. Flikschuh señala al respecto que: “</w:t>
      </w:r>
      <w:r w:rsidRPr="00865671">
        <w:rPr>
          <w:rFonts w:ascii="Times New Roman" w:hAnsi="Times New Roman" w:cs="Times New Roman"/>
        </w:rPr>
        <w:t>Kant define una antinomia como un conflicto de la razón. Más específicamente, es un conflicto de la razón consigo misma.</w:t>
      </w:r>
      <w:r>
        <w:rPr>
          <w:rFonts w:ascii="Times New Roman" w:hAnsi="Times New Roman" w:cs="Times New Roman"/>
        </w:rPr>
        <w:t>”</w:t>
      </w:r>
      <w:r w:rsidRPr="00865671">
        <w:rPr>
          <w:rFonts w:ascii="Times New Roman" w:hAnsi="Times New Roman" w:cs="Times New Roman"/>
        </w:rPr>
        <w:t xml:space="preserve"> (2000; p.58)</w:t>
      </w:r>
      <w:r>
        <w:rPr>
          <w:rFonts w:ascii="Times New Roman" w:hAnsi="Times New Roman" w:cs="Times New Roman"/>
        </w:rPr>
        <w:t xml:space="preserve"> Al analizar la contraposición entre causalidad natural y la </w:t>
      </w:r>
      <w:r>
        <w:rPr>
          <w:rFonts w:ascii="Times New Roman" w:hAnsi="Times New Roman" w:cs="Times New Roman"/>
        </w:rPr>
        <w:lastRenderedPageBreak/>
        <w:t xml:space="preserve">libertad moral en la tercera antinomia, podemos considerar la distinción entre fenómeno y noúmeno. En el nivel fenoménico, lo constituido como un objeto de experiencia se encuentra bajo las leyes de la causalidad natural, por lo que es un ámbito determinista y sin libertad. En el campo nouménico, sin embargo, más allá de la experiencia posible, la razón puede pensar en la libertad como algo que tiene una causalidad en sí misma y es propia de los seres racionales. La libertad moral no contradice el mundo determinado, porque se encuentra en otro ámbito distinto del de los fenómenos de leyes naturales. </w:t>
      </w:r>
    </w:p>
    <w:p w14:paraId="792CA5F7"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t xml:space="preserve">Así, de acuerdo a Kant, estamos determinados en el mundo sensible, pero somos libres en el mundo inteligible. Por ello, la libertad no puede demostrarse por la experiencia, sino que es un principio regulativo que postula la razón práctica como necesario para la responsabilidad de la agencia moral. En este panorama es que Flikschuh interpreta a Kant como un pensador que no es precisamente, ni un incompatibilista, ni un compatibilista. </w:t>
      </w:r>
    </w:p>
    <w:p w14:paraId="40E7FDED"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t>Ella señala que: “</w:t>
      </w:r>
      <w:r w:rsidRPr="00865671">
        <w:rPr>
          <w:rFonts w:ascii="Times New Roman" w:hAnsi="Times New Roman" w:cs="Times New Roman"/>
        </w:rPr>
        <w:t>Kant efectivamente sostiene que el determinismo es verdadero en relación a la causalidad de los eventos de la naturaleza, pero esto excluye las acciones humanas de la clase de eventos naturales. Esto le permite argumentar que, en contraste a los eventos naturales, las acciones humanas son libremente determinadas. (…) Wood adecuadamente señala que la inquietud de Kant por reconciliar libertad y causalidad nos debería precaver de adscribirle como un incompatibilista dualista. Al mismo tiempo, sería un error concluir que Kant es un compatibilista. (2000; p.54)</w:t>
      </w:r>
      <w:r>
        <w:rPr>
          <w:rFonts w:ascii="Times New Roman" w:hAnsi="Times New Roman" w:cs="Times New Roman"/>
        </w:rPr>
        <w:t xml:space="preserve"> Y por lo anteriormente discutido, ella concluye que: “</w:t>
      </w:r>
      <w:r w:rsidRPr="00865671">
        <w:rPr>
          <w:rFonts w:ascii="Times New Roman" w:hAnsi="Times New Roman" w:cs="Times New Roman"/>
        </w:rPr>
        <w:t xml:space="preserve">Si Kant no es un incompatibilista, tampoco es un compatibilista. Como Wood lo expresa, la búsqueda de Kant por una tercera alternativa le hace un “incompatibilista compatibilista”, o lo que yo llamo un no-compatibilista. (2000; p.54) </w:t>
      </w:r>
    </w:p>
    <w:p w14:paraId="1F05370E" w14:textId="77777777" w:rsidR="008B6829" w:rsidRPr="00865671" w:rsidRDefault="008B6829" w:rsidP="008B6829">
      <w:pPr>
        <w:spacing w:line="360" w:lineRule="auto"/>
        <w:jc w:val="both"/>
        <w:rPr>
          <w:rFonts w:ascii="Times New Roman" w:hAnsi="Times New Roman" w:cs="Times New Roman"/>
        </w:rPr>
      </w:pPr>
      <w:r>
        <w:rPr>
          <w:rFonts w:ascii="Times New Roman" w:hAnsi="Times New Roman" w:cs="Times New Roman"/>
        </w:rPr>
        <w:t>Flikschuh indica que Kant:</w:t>
      </w:r>
      <w:r w:rsidRPr="00865671">
        <w:rPr>
          <w:rFonts w:ascii="Times New Roman" w:hAnsi="Times New Roman" w:cs="Times New Roman"/>
        </w:rPr>
        <w:t xml:space="preserve"> </w:t>
      </w:r>
      <w:r>
        <w:rPr>
          <w:rFonts w:ascii="Times New Roman" w:hAnsi="Times New Roman" w:cs="Times New Roman"/>
        </w:rPr>
        <w:t>“U</w:t>
      </w:r>
      <w:r w:rsidRPr="00865671">
        <w:rPr>
          <w:rFonts w:ascii="Times New Roman" w:hAnsi="Times New Roman" w:cs="Times New Roman"/>
        </w:rPr>
        <w:t>sa las antinomias en orden para defender su doctrina filosófica del idealismo trascendental como la única solución posible para estos, de otro modo intratables, conflictos de la razón.</w:t>
      </w:r>
      <w:r>
        <w:rPr>
          <w:rFonts w:ascii="Times New Roman" w:hAnsi="Times New Roman" w:cs="Times New Roman"/>
        </w:rPr>
        <w:t>”</w:t>
      </w:r>
      <w:r w:rsidRPr="00865671">
        <w:rPr>
          <w:rFonts w:ascii="Times New Roman" w:hAnsi="Times New Roman" w:cs="Times New Roman"/>
        </w:rPr>
        <w:t xml:space="preserve"> (2000; p.58) </w:t>
      </w:r>
      <w:r>
        <w:rPr>
          <w:rFonts w:ascii="Times New Roman" w:hAnsi="Times New Roman" w:cs="Times New Roman"/>
        </w:rPr>
        <w:t>Y, rescatando de Hume la idea que supone que nosotros le adjudicamos causalidad a la naturaleza, y no la sacamos de ella, la autora agrega que: “</w:t>
      </w:r>
      <w:r w:rsidRPr="00865671">
        <w:rPr>
          <w:rFonts w:ascii="Times New Roman" w:hAnsi="Times New Roman" w:cs="Times New Roman"/>
        </w:rPr>
        <w:t>Como veremos, parte de la respuesta a este acertijo yace en la concepción de causalidad de Kant como una categoría de la cognición que los sujetos humanos traen a la naturaleza, en lugar de descubrir relaciones causales en la naturaleza.</w:t>
      </w:r>
      <w:r>
        <w:rPr>
          <w:rFonts w:ascii="Times New Roman" w:hAnsi="Times New Roman" w:cs="Times New Roman"/>
        </w:rPr>
        <w:t>”</w:t>
      </w:r>
      <w:r w:rsidRPr="00865671">
        <w:rPr>
          <w:rFonts w:ascii="Times New Roman" w:hAnsi="Times New Roman" w:cs="Times New Roman"/>
        </w:rPr>
        <w:t xml:space="preserve"> (2000; p.62)</w:t>
      </w:r>
      <w:r>
        <w:rPr>
          <w:rFonts w:ascii="Times New Roman" w:hAnsi="Times New Roman" w:cs="Times New Roman"/>
        </w:rPr>
        <w:t xml:space="preserve"> Más adelante insistirá en que: “</w:t>
      </w:r>
      <w:r w:rsidRPr="00865671">
        <w:rPr>
          <w:rFonts w:ascii="Times New Roman" w:hAnsi="Times New Roman" w:cs="Times New Roman"/>
        </w:rPr>
        <w:t>El problema de muchas objeciones es que ignoran la importancia de la comprensión de Kant de la causalidad como un concepto epistemológico o categoría que nosotros traemos a la naturaleza.</w:t>
      </w:r>
      <w:r>
        <w:rPr>
          <w:rFonts w:ascii="Times New Roman" w:hAnsi="Times New Roman" w:cs="Times New Roman"/>
        </w:rPr>
        <w:t>”</w:t>
      </w:r>
      <w:r w:rsidRPr="00865671">
        <w:rPr>
          <w:rFonts w:ascii="Times New Roman" w:hAnsi="Times New Roman" w:cs="Times New Roman"/>
        </w:rPr>
        <w:t xml:space="preserve"> (2000; p.64)</w:t>
      </w:r>
    </w:p>
    <w:p w14:paraId="261DD247"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lastRenderedPageBreak/>
        <w:t>La autora indica que: “</w:t>
      </w:r>
      <w:r w:rsidRPr="00865671">
        <w:rPr>
          <w:rFonts w:ascii="Times New Roman" w:hAnsi="Times New Roman" w:cs="Times New Roman"/>
        </w:rPr>
        <w:t>La inquietud de Kant en la tercera antinomia es hacer espacio a la libertad dentro de un panorama determinista del mundo. Hacerle espacio a la libertad se percibe como alentado por la preocupación de rescatar nociones familiares de responsabilidad moral y culpabilidad moral de la invasión sobre ellas de la ciencia newtoniana.</w:t>
      </w:r>
      <w:r>
        <w:rPr>
          <w:rFonts w:ascii="Times New Roman" w:hAnsi="Times New Roman" w:cs="Times New Roman"/>
        </w:rPr>
        <w:t>”</w:t>
      </w:r>
      <w:r w:rsidRPr="00865671">
        <w:rPr>
          <w:rFonts w:ascii="Times New Roman" w:hAnsi="Times New Roman" w:cs="Times New Roman"/>
        </w:rPr>
        <w:t xml:space="preserve"> (2000; p.64)</w:t>
      </w:r>
    </w:p>
    <w:p w14:paraId="6118BE7D" w14:textId="77777777" w:rsidR="008B6829" w:rsidRPr="00865671" w:rsidRDefault="008B6829" w:rsidP="008B6829">
      <w:pPr>
        <w:spacing w:line="360" w:lineRule="auto"/>
        <w:jc w:val="both"/>
        <w:rPr>
          <w:rFonts w:ascii="Times New Roman" w:hAnsi="Times New Roman" w:cs="Times New Roman"/>
        </w:rPr>
      </w:pPr>
      <w:r>
        <w:rPr>
          <w:rFonts w:ascii="Times New Roman" w:hAnsi="Times New Roman" w:cs="Times New Roman"/>
        </w:rPr>
        <w:t>En este marco que engloba lo propuesto por Kant, la libertad humana se entiende de un modo muy preciso, y de esta forma: “</w:t>
      </w:r>
      <w:r w:rsidRPr="00865671">
        <w:rPr>
          <w:rFonts w:ascii="Times New Roman" w:hAnsi="Times New Roman" w:cs="Times New Roman"/>
        </w:rPr>
        <w:t>Lo que califica a los actos humanos como libres no es una paralela causalidad de la libertad en el tiempo y el espacio, sino el empíricamente inobservable momento espontáneo de racionalidad deliberativa expresado en la consciencia de uno mismo como enmarcador de proyectos y metas que preceden la subsecuente causalidad de acción en el espacio y el tiempo.</w:t>
      </w:r>
      <w:r>
        <w:rPr>
          <w:rFonts w:ascii="Times New Roman" w:hAnsi="Times New Roman" w:cs="Times New Roman"/>
        </w:rPr>
        <w:t>”</w:t>
      </w:r>
      <w:r w:rsidRPr="00865671">
        <w:rPr>
          <w:rFonts w:ascii="Times New Roman" w:hAnsi="Times New Roman" w:cs="Times New Roman"/>
        </w:rPr>
        <w:t xml:space="preserve"> (2000; p.73)</w:t>
      </w:r>
      <w:r>
        <w:rPr>
          <w:rFonts w:ascii="Times New Roman" w:hAnsi="Times New Roman" w:cs="Times New Roman"/>
        </w:rPr>
        <w:t xml:space="preserve"> Y es precisamente en este sentido, que ella defiende: “</w:t>
      </w:r>
      <w:r w:rsidRPr="00865671">
        <w:rPr>
          <w:rFonts w:ascii="Times New Roman" w:hAnsi="Times New Roman" w:cs="Times New Roman"/>
        </w:rPr>
        <w:t>El concepto de Kant de la libertad como algo semejante a la ley, en cuanto idea de la razón.</w:t>
      </w:r>
      <w:r>
        <w:rPr>
          <w:rFonts w:ascii="Times New Roman" w:hAnsi="Times New Roman" w:cs="Times New Roman"/>
        </w:rPr>
        <w:t>”</w:t>
      </w:r>
      <w:r w:rsidRPr="00865671">
        <w:rPr>
          <w:rFonts w:ascii="Times New Roman" w:hAnsi="Times New Roman" w:cs="Times New Roman"/>
        </w:rPr>
        <w:t xml:space="preserve"> </w:t>
      </w:r>
      <w:r>
        <w:rPr>
          <w:rFonts w:ascii="Times New Roman" w:hAnsi="Times New Roman" w:cs="Times New Roman"/>
        </w:rPr>
        <w:t>(2000; p.74)</w:t>
      </w:r>
    </w:p>
    <w:p w14:paraId="0D50B34E"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t>El concepto de semejanza a la ley será fundamental para Flikschuh, en cuanto: “La</w:t>
      </w:r>
      <w:r w:rsidRPr="00865671">
        <w:rPr>
          <w:rFonts w:ascii="Times New Roman" w:hAnsi="Times New Roman" w:cs="Times New Roman"/>
        </w:rPr>
        <w:t xml:space="preserve"> ley, siempre indica, para Kant, validez objetiva y autoridad universal.</w:t>
      </w:r>
      <w:r>
        <w:rPr>
          <w:rFonts w:ascii="Times New Roman" w:hAnsi="Times New Roman" w:cs="Times New Roman"/>
        </w:rPr>
        <w:t>”</w:t>
      </w:r>
      <w:r w:rsidRPr="00865671">
        <w:rPr>
          <w:rFonts w:ascii="Times New Roman" w:hAnsi="Times New Roman" w:cs="Times New Roman"/>
        </w:rPr>
        <w:t xml:space="preserve"> (2000; p.75)</w:t>
      </w:r>
      <w:r>
        <w:rPr>
          <w:rFonts w:ascii="Times New Roman" w:hAnsi="Times New Roman" w:cs="Times New Roman"/>
        </w:rPr>
        <w:t xml:space="preserve"> Ella habrá de proponer las leyes de la libertad como unas que toman de un modelo a las ciencias. En este horizonte, ella afirma que: “</w:t>
      </w:r>
      <w:r w:rsidRPr="00865671">
        <w:rPr>
          <w:rFonts w:ascii="Times New Roman" w:hAnsi="Times New Roman" w:cs="Times New Roman"/>
        </w:rPr>
        <w:t>Tal como las leyes de la causalidad gobiernan nuestro ordenamiento sistemático de los eventos en la naturaleza, así las leyes de la razón, en su capacidad práctica, regulan las acciones libremente determinadas de los agentes humanos.</w:t>
      </w:r>
      <w:r>
        <w:rPr>
          <w:rFonts w:ascii="Times New Roman" w:hAnsi="Times New Roman" w:cs="Times New Roman"/>
        </w:rPr>
        <w:t>”</w:t>
      </w:r>
      <w:r w:rsidRPr="00865671">
        <w:rPr>
          <w:rFonts w:ascii="Times New Roman" w:hAnsi="Times New Roman" w:cs="Times New Roman"/>
        </w:rPr>
        <w:t xml:space="preserve"> (2000; p.75)</w:t>
      </w:r>
    </w:p>
    <w:p w14:paraId="6BFB6E68"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t>Flikschuh señala la importancia del concepto de finitud humana para reconciliar a las leyes naturales y a la libertad. Ella refiere que: “</w:t>
      </w:r>
      <w:r w:rsidRPr="00865671">
        <w:rPr>
          <w:rFonts w:ascii="Times New Roman" w:hAnsi="Times New Roman" w:cs="Times New Roman"/>
        </w:rPr>
        <w:t>Kant propone un cambio, de un centro de la metafísica especulativa hacia una metafísica práctica de la libertad. (…) La solución práctica de Kant</w:t>
      </w:r>
      <w:r>
        <w:rPr>
          <w:rFonts w:ascii="Times New Roman" w:hAnsi="Times New Roman" w:cs="Times New Roman"/>
        </w:rPr>
        <w:t>,</w:t>
      </w:r>
      <w:r w:rsidRPr="00865671">
        <w:rPr>
          <w:rFonts w:ascii="Times New Roman" w:hAnsi="Times New Roman" w:cs="Times New Roman"/>
        </w:rPr>
        <w:t xml:space="preserve"> sin embargo</w:t>
      </w:r>
      <w:r>
        <w:rPr>
          <w:rFonts w:ascii="Times New Roman" w:hAnsi="Times New Roman" w:cs="Times New Roman"/>
        </w:rPr>
        <w:t>,</w:t>
      </w:r>
      <w:r w:rsidRPr="00865671">
        <w:rPr>
          <w:rFonts w:ascii="Times New Roman" w:hAnsi="Times New Roman" w:cs="Times New Roman"/>
        </w:rPr>
        <w:t xml:space="preserve"> se mantiene como una concepción metafísica de la libertad. Para considerar esto, considérese la forma en que la noción humana de finitud media entre la causalidad y la idea de libertad. (2000; p.76)</w:t>
      </w:r>
      <w:r>
        <w:rPr>
          <w:rFonts w:ascii="Times New Roman" w:hAnsi="Times New Roman" w:cs="Times New Roman"/>
        </w:rPr>
        <w:t xml:space="preserve"> En esta línea, ella refiere que: “</w:t>
      </w:r>
      <w:r w:rsidRPr="00865671">
        <w:rPr>
          <w:rFonts w:ascii="Times New Roman" w:hAnsi="Times New Roman" w:cs="Times New Roman"/>
        </w:rPr>
        <w:t>La no disponibilidad de conocimiento último o certeza absoluta crea un espacio para la idea de libertad en su capacidad práctica. La tesis de Kant de la primacía de la razón práctica constituye una respuesta constructiva al reconocimiento de los límites del entendimiento humano.</w:t>
      </w:r>
      <w:r>
        <w:rPr>
          <w:rFonts w:ascii="Times New Roman" w:hAnsi="Times New Roman" w:cs="Times New Roman"/>
        </w:rPr>
        <w:t>”</w:t>
      </w:r>
      <w:r w:rsidRPr="00865671">
        <w:rPr>
          <w:rFonts w:ascii="Times New Roman" w:hAnsi="Times New Roman" w:cs="Times New Roman"/>
        </w:rPr>
        <w:t xml:space="preserve"> (2000; p.77)</w:t>
      </w:r>
    </w:p>
    <w:p w14:paraId="27C77907"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t>Tomando distancia del debate sobre el determinismo, Flikschuh precisa que: “</w:t>
      </w:r>
      <w:r w:rsidRPr="00865671">
        <w:rPr>
          <w:rFonts w:ascii="Times New Roman" w:hAnsi="Times New Roman" w:cs="Times New Roman"/>
        </w:rPr>
        <w:t xml:space="preserve">Esto no equivale a decir que libertad y naturaleza se oponen. (…) El objetivo de la tercera </w:t>
      </w:r>
      <w:r w:rsidRPr="00865671">
        <w:rPr>
          <w:rFonts w:ascii="Times New Roman" w:hAnsi="Times New Roman" w:cs="Times New Roman"/>
        </w:rPr>
        <w:lastRenderedPageBreak/>
        <w:t>antinomia no es yuxtaponer libertad y naturaleza, o ponerlas una en contra de la otra, sino reconciliarlas.</w:t>
      </w:r>
      <w:r>
        <w:rPr>
          <w:rFonts w:ascii="Times New Roman" w:hAnsi="Times New Roman" w:cs="Times New Roman"/>
        </w:rPr>
        <w:t>”</w:t>
      </w:r>
      <w:r w:rsidRPr="00865671">
        <w:rPr>
          <w:rFonts w:ascii="Times New Roman" w:hAnsi="Times New Roman" w:cs="Times New Roman"/>
        </w:rPr>
        <w:t xml:space="preserve"> (2000; p.77)</w:t>
      </w:r>
    </w:p>
    <w:p w14:paraId="2A7AD517"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t>La necesaria reconciliación supone pensar en la naturaleza de los registros en que ambas instancias de lo humano se desenvuelven. Mientras el mundo sensible encuentra leyes naturales, el mundo inteligible toma el modelo de principios semejantes-a-la-ley para guiarse. Ella puntualiza que: “</w:t>
      </w:r>
      <w:r w:rsidRPr="00865671">
        <w:rPr>
          <w:rFonts w:ascii="Times New Roman" w:hAnsi="Times New Roman" w:cs="Times New Roman"/>
        </w:rPr>
        <w:t>Es la noción de ´semejante</w:t>
      </w:r>
      <w:r>
        <w:rPr>
          <w:rFonts w:ascii="Times New Roman" w:hAnsi="Times New Roman" w:cs="Times New Roman"/>
        </w:rPr>
        <w:t>-</w:t>
      </w:r>
      <w:r w:rsidRPr="00865671">
        <w:rPr>
          <w:rFonts w:ascii="Times New Roman" w:hAnsi="Times New Roman" w:cs="Times New Roman"/>
        </w:rPr>
        <w:t>a</w:t>
      </w:r>
      <w:r>
        <w:rPr>
          <w:rFonts w:ascii="Times New Roman" w:hAnsi="Times New Roman" w:cs="Times New Roman"/>
        </w:rPr>
        <w:t>-</w:t>
      </w:r>
      <w:r w:rsidRPr="00865671">
        <w:rPr>
          <w:rFonts w:ascii="Times New Roman" w:hAnsi="Times New Roman" w:cs="Times New Roman"/>
        </w:rPr>
        <w:t>la</w:t>
      </w:r>
      <w:r>
        <w:rPr>
          <w:rFonts w:ascii="Times New Roman" w:hAnsi="Times New Roman" w:cs="Times New Roman"/>
        </w:rPr>
        <w:t>-</w:t>
      </w:r>
      <w:r w:rsidRPr="00865671">
        <w:rPr>
          <w:rFonts w:ascii="Times New Roman" w:hAnsi="Times New Roman" w:cs="Times New Roman"/>
        </w:rPr>
        <w:t xml:space="preserve">ley´ lo que distingue libertad y naturaleza. (…) En la </w:t>
      </w:r>
      <w:r w:rsidRPr="00865671">
        <w:rPr>
          <w:rFonts w:ascii="Times New Roman" w:hAnsi="Times New Roman" w:cs="Times New Roman"/>
          <w:i/>
          <w:iCs/>
        </w:rPr>
        <w:t>Fundamentación</w:t>
      </w:r>
      <w:r w:rsidRPr="00865671">
        <w:rPr>
          <w:rFonts w:ascii="Times New Roman" w:hAnsi="Times New Roman" w:cs="Times New Roman"/>
        </w:rPr>
        <w:t>, Kant se refiere a las leyes naturales como un tipo o modelo para las leyes o principios de la razón pura práctica.</w:t>
      </w:r>
      <w:r>
        <w:rPr>
          <w:rFonts w:ascii="Times New Roman" w:hAnsi="Times New Roman" w:cs="Times New Roman"/>
        </w:rPr>
        <w:t>”</w:t>
      </w:r>
      <w:r w:rsidRPr="00865671">
        <w:rPr>
          <w:rFonts w:ascii="Times New Roman" w:hAnsi="Times New Roman" w:cs="Times New Roman"/>
        </w:rPr>
        <w:t xml:space="preserve"> (2000; p.77)</w:t>
      </w:r>
    </w:p>
    <w:p w14:paraId="454D9B23"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t>Flikschuh realizará un paralelo entre el ámbito natural y el de la libertad, en donde las leyes, o algo semejante a ellas, parecen cumplir el papel de hacernos inteligibles los fenómenos de cada ámbito, el natural y el moral. Ella señala que: “</w:t>
      </w:r>
      <w:r w:rsidRPr="00865671">
        <w:rPr>
          <w:rFonts w:ascii="Times New Roman" w:hAnsi="Times New Roman" w:cs="Times New Roman"/>
        </w:rPr>
        <w:t>Para ser inteligible, la deliberación acerca de la acción debe seguir ciertas reglas o principios. Acá la causalidad de la naturaleza provee un modelo o tipo de la causalidad de la razón. Tal y como la ocurrencia de eventos particulares naturales podrían parecer ininteligibles en la ausencia de leyes causales que permiten que la ocurrencia sea explicable, así también, las acciones de los individuos se verían como ininteligibles con la ausencia de razones para las acciones que pueden ser proferidas en justificación de tales acciones y lo que les deja como inteligibles para nosotros y otros.</w:t>
      </w:r>
      <w:r>
        <w:rPr>
          <w:rFonts w:ascii="Times New Roman" w:hAnsi="Times New Roman" w:cs="Times New Roman"/>
        </w:rPr>
        <w:t>”</w:t>
      </w:r>
      <w:r w:rsidRPr="00865671">
        <w:rPr>
          <w:rFonts w:ascii="Times New Roman" w:hAnsi="Times New Roman" w:cs="Times New Roman"/>
        </w:rPr>
        <w:t xml:space="preserve"> (2000; p.78)</w:t>
      </w:r>
      <w:r>
        <w:rPr>
          <w:rFonts w:ascii="Times New Roman" w:hAnsi="Times New Roman" w:cs="Times New Roman"/>
        </w:rPr>
        <w:t xml:space="preserve"> Esto relaciona los actos de la libertad exterior con las máximas o principios que gobiernan los actos razonados, y, por lo tanto, libres.</w:t>
      </w:r>
    </w:p>
    <w:p w14:paraId="4D456801"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t>La diferencia entre las leyes naturales y las leyes morales de la libertad también reside en el carácter de su certeza o solidez. En las leyes naturales solemos encontrar el arquetipo de axiomas universales o generales, pero en el caso de la libertad, las leyes que son apenas aspirantes a esa exactitud, tienen como su origen el reconocimiento de la limitación humana para la experimentación y el entendimiento. En este sentido, Flikschuh apunta que: “</w:t>
      </w:r>
      <w:r w:rsidRPr="00865671">
        <w:rPr>
          <w:rFonts w:ascii="Times New Roman" w:hAnsi="Times New Roman" w:cs="Times New Roman"/>
        </w:rPr>
        <w:t>El reconocimiento de las constricciones de la naturaleza debe formar parte integral de la deliberación de los agentes acerca de sus actos.</w:t>
      </w:r>
      <w:r>
        <w:rPr>
          <w:rFonts w:ascii="Times New Roman" w:hAnsi="Times New Roman" w:cs="Times New Roman"/>
        </w:rPr>
        <w:t>”</w:t>
      </w:r>
      <w:r w:rsidRPr="00865671">
        <w:rPr>
          <w:rFonts w:ascii="Times New Roman" w:hAnsi="Times New Roman" w:cs="Times New Roman"/>
        </w:rPr>
        <w:t xml:space="preserve"> (2000; p.78)</w:t>
      </w:r>
      <w:r>
        <w:rPr>
          <w:rFonts w:ascii="Times New Roman" w:hAnsi="Times New Roman" w:cs="Times New Roman"/>
        </w:rPr>
        <w:t xml:space="preserve"> Y luego agrega que: “</w:t>
      </w:r>
      <w:r w:rsidRPr="00865671">
        <w:rPr>
          <w:rFonts w:ascii="Times New Roman" w:hAnsi="Times New Roman" w:cs="Times New Roman"/>
        </w:rPr>
        <w:t xml:space="preserve">El conocer las constricciones de la naturaleza en relación a los actos propios es simplemente tomar esas </w:t>
      </w:r>
      <w:r>
        <w:rPr>
          <w:rFonts w:ascii="Times New Roman" w:hAnsi="Times New Roman" w:cs="Times New Roman"/>
        </w:rPr>
        <w:t>limitaciones</w:t>
      </w:r>
      <w:r w:rsidRPr="00865671">
        <w:rPr>
          <w:rFonts w:ascii="Times New Roman" w:hAnsi="Times New Roman" w:cs="Times New Roman"/>
        </w:rPr>
        <w:t xml:space="preserve"> en cuenta en las deliberaciones prácticas de uno mismo.</w:t>
      </w:r>
      <w:r>
        <w:rPr>
          <w:rFonts w:ascii="Times New Roman" w:hAnsi="Times New Roman" w:cs="Times New Roman"/>
        </w:rPr>
        <w:t>”</w:t>
      </w:r>
      <w:r w:rsidRPr="00865671">
        <w:rPr>
          <w:rFonts w:ascii="Times New Roman" w:hAnsi="Times New Roman" w:cs="Times New Roman"/>
        </w:rPr>
        <w:t xml:space="preserve"> (2000; p.79)</w:t>
      </w:r>
      <w:r>
        <w:rPr>
          <w:rFonts w:ascii="Times New Roman" w:hAnsi="Times New Roman" w:cs="Times New Roman"/>
        </w:rPr>
        <w:t xml:space="preserve"> Es por esta razón que la autora señalaba el papel de los límites humanos del entendimiento a la hora de reconciliar a las leyes naturales con la libertad. Este elemento de limitación humana que se busca reconciliar, se convierte en la base de su consideración de la libertad, en lugar de tener un fundamento dogmático. </w:t>
      </w:r>
    </w:p>
    <w:p w14:paraId="7AB3C37B"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lastRenderedPageBreak/>
        <w:t>Para concluir este segundo capítulo, sobre la metafísica de la libertad en cuanto una idea compartida de la razón, ella asienta su concepto de algo semejante-a-la-ley. Flikschuh señala que: “</w:t>
      </w:r>
      <w:r w:rsidRPr="00865671">
        <w:rPr>
          <w:rFonts w:ascii="Times New Roman" w:hAnsi="Times New Roman" w:cs="Times New Roman"/>
        </w:rPr>
        <w:t xml:space="preserve">Estos </w:t>
      </w:r>
      <w:r>
        <w:rPr>
          <w:rFonts w:ascii="Times New Roman" w:hAnsi="Times New Roman" w:cs="Times New Roman"/>
        </w:rPr>
        <w:t xml:space="preserve">dos </w:t>
      </w:r>
      <w:r w:rsidRPr="00865671">
        <w:rPr>
          <w:rFonts w:ascii="Times New Roman" w:hAnsi="Times New Roman" w:cs="Times New Roman"/>
        </w:rPr>
        <w:t>aspectos</w:t>
      </w:r>
      <w:r>
        <w:rPr>
          <w:rFonts w:ascii="Times New Roman" w:hAnsi="Times New Roman" w:cs="Times New Roman"/>
        </w:rPr>
        <w:t>:</w:t>
      </w:r>
      <w:r w:rsidRPr="00865671">
        <w:rPr>
          <w:rFonts w:ascii="Times New Roman" w:hAnsi="Times New Roman" w:cs="Times New Roman"/>
        </w:rPr>
        <w:t xml:space="preserve"> </w:t>
      </w:r>
      <w:r>
        <w:rPr>
          <w:rFonts w:ascii="Times New Roman" w:hAnsi="Times New Roman" w:cs="Times New Roman"/>
        </w:rPr>
        <w:t>la</w:t>
      </w:r>
      <w:r w:rsidRPr="00865671">
        <w:rPr>
          <w:rFonts w:ascii="Times New Roman" w:hAnsi="Times New Roman" w:cs="Times New Roman"/>
        </w:rPr>
        <w:t xml:space="preserve"> semejanza</w:t>
      </w:r>
      <w:r>
        <w:rPr>
          <w:rFonts w:ascii="Times New Roman" w:hAnsi="Times New Roman" w:cs="Times New Roman"/>
        </w:rPr>
        <w:t>-</w:t>
      </w:r>
      <w:r w:rsidRPr="00865671">
        <w:rPr>
          <w:rFonts w:ascii="Times New Roman" w:hAnsi="Times New Roman" w:cs="Times New Roman"/>
        </w:rPr>
        <w:t>a</w:t>
      </w:r>
      <w:r>
        <w:rPr>
          <w:rFonts w:ascii="Times New Roman" w:hAnsi="Times New Roman" w:cs="Times New Roman"/>
        </w:rPr>
        <w:t>-</w:t>
      </w:r>
      <w:r w:rsidRPr="00865671">
        <w:rPr>
          <w:rFonts w:ascii="Times New Roman" w:hAnsi="Times New Roman" w:cs="Times New Roman"/>
        </w:rPr>
        <w:t>la</w:t>
      </w:r>
      <w:r>
        <w:rPr>
          <w:rFonts w:ascii="Times New Roman" w:hAnsi="Times New Roman" w:cs="Times New Roman"/>
        </w:rPr>
        <w:t>-</w:t>
      </w:r>
      <w:r w:rsidRPr="00865671">
        <w:rPr>
          <w:rFonts w:ascii="Times New Roman" w:hAnsi="Times New Roman" w:cs="Times New Roman"/>
        </w:rPr>
        <w:t>ley de la libertad práctica</w:t>
      </w:r>
      <w:r>
        <w:rPr>
          <w:rFonts w:ascii="Times New Roman" w:hAnsi="Times New Roman" w:cs="Times New Roman"/>
        </w:rPr>
        <w:t xml:space="preserve"> y</w:t>
      </w:r>
      <w:r w:rsidRPr="00865671">
        <w:rPr>
          <w:rFonts w:ascii="Times New Roman" w:hAnsi="Times New Roman" w:cs="Times New Roman"/>
        </w:rPr>
        <w:t xml:space="preserve"> la capacidad humana de enmarcar un concepto de un posible futuro gobernado por leyes que es conocedor de sus constricciones naturales en la agencia humana</w:t>
      </w:r>
      <w:r>
        <w:rPr>
          <w:rFonts w:ascii="Times New Roman" w:hAnsi="Times New Roman" w:cs="Times New Roman"/>
        </w:rPr>
        <w:t>,</w:t>
      </w:r>
      <w:r w:rsidRPr="00865671">
        <w:rPr>
          <w:rFonts w:ascii="Times New Roman" w:hAnsi="Times New Roman" w:cs="Times New Roman"/>
        </w:rPr>
        <w:t xml:space="preserve"> sin encontrarse determinados por los mismos, son cruciales para la concepción de Kant sobre libertad política en la doctrina del derecho. (2000; p.79)</w:t>
      </w:r>
      <w:r>
        <w:rPr>
          <w:rFonts w:ascii="Times New Roman" w:hAnsi="Times New Roman" w:cs="Times New Roman"/>
        </w:rPr>
        <w:t xml:space="preserve"> En términos de S. Körner, Flikschuh había referido que estos elementos representan el marco categorial que fundamenta el pensamiento político de Kant. </w:t>
      </w:r>
    </w:p>
    <w:p w14:paraId="5D5F2CB5"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t>La autora adelantará la importancia del carácter intrínsecamente cosmopolita de su propuesta filosófico-política. Flikschuh, así, indica que: “</w:t>
      </w:r>
      <w:r w:rsidRPr="00865671">
        <w:rPr>
          <w:rFonts w:ascii="Times New Roman" w:hAnsi="Times New Roman" w:cs="Times New Roman"/>
        </w:rPr>
        <w:t>Más generalmente, la idea de libertad como una idea compartida de la razón y la tarea de la humanidad en amplio sentido, es crucial para el concepto cosmopolita del derecho, o de justicia política en Kant, en donde la libertad de ninguno se encuentra plenamente alcanzada hasta que la libertad de todos haya sido asegurada a nivel global.</w:t>
      </w:r>
      <w:r>
        <w:rPr>
          <w:rFonts w:ascii="Times New Roman" w:hAnsi="Times New Roman" w:cs="Times New Roman"/>
        </w:rPr>
        <w:t>”</w:t>
      </w:r>
      <w:r w:rsidRPr="00865671">
        <w:rPr>
          <w:rFonts w:ascii="Times New Roman" w:hAnsi="Times New Roman" w:cs="Times New Roman"/>
        </w:rPr>
        <w:t xml:space="preserve"> (2000; p.79)</w:t>
      </w:r>
      <w:r>
        <w:rPr>
          <w:rFonts w:ascii="Times New Roman" w:hAnsi="Times New Roman" w:cs="Times New Roman"/>
        </w:rPr>
        <w:t xml:space="preserve"> </w:t>
      </w:r>
    </w:p>
    <w:p w14:paraId="274312AB"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t>Ella concluye el capítulo refiriendo que: “</w:t>
      </w:r>
      <w:r w:rsidRPr="00865671">
        <w:rPr>
          <w:rFonts w:ascii="Times New Roman" w:hAnsi="Times New Roman" w:cs="Times New Roman"/>
        </w:rPr>
        <w:t>Es en parte por estas diferentes implicaciones, al nivel de la práctica política, sobre una concepción metafísica de la libertad en Kant, en cuanto una idea compartida de la razón, que uno debería cuidarse de la asimilación bajo el modelo de corte más individualista de la convencional teoría liberal.</w:t>
      </w:r>
      <w:r>
        <w:rPr>
          <w:rFonts w:ascii="Times New Roman" w:hAnsi="Times New Roman" w:cs="Times New Roman"/>
        </w:rPr>
        <w:t>”</w:t>
      </w:r>
      <w:r w:rsidRPr="00865671">
        <w:rPr>
          <w:rFonts w:ascii="Times New Roman" w:hAnsi="Times New Roman" w:cs="Times New Roman"/>
        </w:rPr>
        <w:t xml:space="preserve"> (2000; p.79)</w:t>
      </w:r>
      <w:r>
        <w:rPr>
          <w:rFonts w:ascii="Times New Roman" w:hAnsi="Times New Roman" w:cs="Times New Roman"/>
        </w:rPr>
        <w:t xml:space="preserve"> Esto permite considerar un tipo de libertad que no es meramente interior o personal, sino en una libertad que fuera compartida, de influencia recíproca y que establece mutuas relaciones. Esta relación es igual de necesaria para el aspecto doméstico de las relaciones internas entre los componentes de un pueblo y su administración, así como en el ámbito regional y mundial, en el contacto internacional. Cabe mencionar que la libertad política referida, que se modela de acuerdo a una idea semejante-a-la-ley, es la libertad externa o jurídica. </w:t>
      </w:r>
    </w:p>
    <w:p w14:paraId="532FE7B6" w14:textId="77777777" w:rsidR="008B6829" w:rsidRPr="004A60D1" w:rsidRDefault="008B6829" w:rsidP="008B6829">
      <w:pPr>
        <w:spacing w:line="360" w:lineRule="auto"/>
        <w:jc w:val="both"/>
        <w:rPr>
          <w:rFonts w:ascii="Times New Roman" w:hAnsi="Times New Roman" w:cs="Times New Roman"/>
        </w:rPr>
      </w:pPr>
      <w:r w:rsidRPr="004A60D1">
        <w:rPr>
          <w:rFonts w:ascii="Times New Roman" w:hAnsi="Times New Roman" w:cs="Times New Roman"/>
        </w:rPr>
        <w:t>El tercer capítulo del libro de Flikschuh se titula: “La moralidad de la libertad externa” y contiene dos elementos relacionados que habremos de tener en cuenta. En primer lugar, ella ubicará lo que interpreta como el corazón de la doctrina del derecho hacia el final del capítulo</w:t>
      </w:r>
      <w:r>
        <w:rPr>
          <w:rFonts w:ascii="Times New Roman" w:hAnsi="Times New Roman" w:cs="Times New Roman"/>
        </w:rPr>
        <w:t>, en virtud de la necesidad de entrar en relaciones de garantías con otros</w:t>
      </w:r>
      <w:r w:rsidRPr="004A60D1">
        <w:rPr>
          <w:rFonts w:ascii="Times New Roman" w:hAnsi="Times New Roman" w:cs="Times New Roman"/>
        </w:rPr>
        <w:t xml:space="preserve">. En segundo lugar, podemos atender a su desarrollo e interpretación de la idea de libertad externa, de acuerdo a cómo se irá perfilando hacia el concepto de obligación política mutua. </w:t>
      </w:r>
    </w:p>
    <w:p w14:paraId="6FD916CB"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lastRenderedPageBreak/>
        <w:t xml:space="preserve">Estos dos temas centrales del capítulo convergen en virtud del reconocimiento de los intereses de los agentes, que, como un ejemplo posible, puede seguirse de sus intereses económicos y de propiedad. Esto conlleva a la necesidad de ingresar en relaciones civiles que ofrezcan garantías para todos, y, por lo tanto, conduce a la noción de un contrato originario. El ejemplo de los intereses económicos no agota las dimensiones del asunto, ya que, en general, Flikschuh apunta a establecer la necesidad de la institucionalización civico-jurídica en general, de los alcances de la libertad externa. Es por ello que los temas de la propiedad y el derecho privado articulan la idea de una obligación política recíproca con el fundamento de un contrato civil originario que plasme la voluntad unificada de cualquier población. </w:t>
      </w:r>
    </w:p>
    <w:p w14:paraId="764C563D"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t>Ella recapitula su argumentación, refiriendo que: “</w:t>
      </w:r>
      <w:r w:rsidRPr="00865671">
        <w:rPr>
          <w:rFonts w:ascii="Times New Roman" w:hAnsi="Times New Roman" w:cs="Times New Roman"/>
        </w:rPr>
        <w:t>El capítulo anterior enfatizó lo semejante-a-la-ley de la metafísica kantiana de la libertad como una idea de la razón pura práctica, enfocándose en dos aspectos de esta semejanza ante la ley. El primero se refiere a la analogía entre las leyes de causalidad de una mano y las leyes de la libertad de otra y en un sentido más extendido, la relación entre la finitud humana y la idea de libertad, como está indicado en el cambio de una perspectiva cosmológica a una antropocéntrica. En la tercera antinomia la idea de libertad práctica se erige en conexión con el reconocimiento de los seres humanos de sus limitados acercamientos al conocimiento.</w:t>
      </w:r>
      <w:r>
        <w:rPr>
          <w:rFonts w:ascii="Times New Roman" w:hAnsi="Times New Roman" w:cs="Times New Roman"/>
        </w:rPr>
        <w:t>”</w:t>
      </w:r>
      <w:r w:rsidRPr="00865671">
        <w:rPr>
          <w:rFonts w:ascii="Times New Roman" w:hAnsi="Times New Roman" w:cs="Times New Roman"/>
        </w:rPr>
        <w:t xml:space="preserve"> (2000; p.80)</w:t>
      </w:r>
    </w:p>
    <w:p w14:paraId="699562F6"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t>Flikschuh a continuación indica la distinción entre libertad trascendental y libertad práctica que se encuentra en Kant. La libertad trascendental supone esa autonomía e independencia de la voluntad de las restricciones sensibles naturales, que no puede ser demostrada empíricamente, en cuanto proviene de la razón práctica y representa un postulado necesario normativo. La libertad práctica, por otro lado, supone la capacidad de la voluntad para determinarse de acuerdo a la ley moral. Esta sería una libertad efectiva, que presupone como fundamento a la libertad trascendental. Por ello, para Flikschuh, la libertad trascendental es una condición de posibilidad para el despliegue de la libertad práctica. Ella señala que: “</w:t>
      </w:r>
      <w:r w:rsidRPr="00865671">
        <w:rPr>
          <w:rFonts w:ascii="Times New Roman" w:hAnsi="Times New Roman" w:cs="Times New Roman"/>
        </w:rPr>
        <w:t xml:space="preserve">La pregunta por la libertad puede ser respondida solamente desde una perspectiva práctica, no desde una perspectiva especulativa, trascendente: la razón práctica pura debe darse a sí misma un orden de ideas de sí misma. (…) No se sigue que Kant ofrezca una concepción de libertad exclusivamente inmanente. En varios modos, la característica más interesante de su postura es la contención de que la perspectiva inmanente de la libertad práctica presupone una perspectiva trascendente, </w:t>
      </w:r>
      <w:r w:rsidRPr="00865671">
        <w:rPr>
          <w:rFonts w:ascii="Times New Roman" w:hAnsi="Times New Roman" w:cs="Times New Roman"/>
        </w:rPr>
        <w:lastRenderedPageBreak/>
        <w:t>aunque sea como una idea negativa. Como hemos visto, Kant no solo distingue entre la libertad trascendental y la libertad práctica, también insiste en que la inteligibilidad de la razón práctica depende de la posibilidad de la libertad trascendental. Aunque nosotros no podemos conocer qué cosa es la voluntad en independencia de la causalidad de la naturaleza, debemos asumir la posibilidad de tal independencia por propósitos prácticos.</w:t>
      </w:r>
      <w:r>
        <w:rPr>
          <w:rFonts w:ascii="Times New Roman" w:hAnsi="Times New Roman" w:cs="Times New Roman"/>
        </w:rPr>
        <w:t>”</w:t>
      </w:r>
      <w:r w:rsidRPr="00865671">
        <w:rPr>
          <w:rFonts w:ascii="Times New Roman" w:hAnsi="Times New Roman" w:cs="Times New Roman"/>
        </w:rPr>
        <w:t xml:space="preserve"> (2000; p.81)</w:t>
      </w:r>
    </w:p>
    <w:p w14:paraId="23025A80" w14:textId="77777777" w:rsidR="008B6829" w:rsidRPr="00C708C7" w:rsidRDefault="008B6829" w:rsidP="008B6829">
      <w:pPr>
        <w:spacing w:line="360" w:lineRule="auto"/>
        <w:jc w:val="both"/>
        <w:rPr>
          <w:rFonts w:ascii="Times New Roman" w:hAnsi="Times New Roman" w:cs="Times New Roman"/>
        </w:rPr>
      </w:pPr>
      <w:r>
        <w:rPr>
          <w:rFonts w:ascii="Times New Roman" w:hAnsi="Times New Roman" w:cs="Times New Roman"/>
        </w:rPr>
        <w:t>La</w:t>
      </w:r>
      <w:r w:rsidRPr="00C708C7">
        <w:rPr>
          <w:rFonts w:ascii="Times New Roman" w:hAnsi="Times New Roman" w:cs="Times New Roman"/>
        </w:rPr>
        <w:t xml:space="preserve"> necesidad de una libertad trascendental como presupuesto para una libertad práctica </w:t>
      </w:r>
      <w:r>
        <w:rPr>
          <w:rFonts w:ascii="Times New Roman" w:hAnsi="Times New Roman" w:cs="Times New Roman"/>
        </w:rPr>
        <w:t>es importante</w:t>
      </w:r>
      <w:r w:rsidRPr="00C708C7">
        <w:rPr>
          <w:rFonts w:ascii="Times New Roman" w:hAnsi="Times New Roman" w:cs="Times New Roman"/>
        </w:rPr>
        <w:t xml:space="preserve">, debido a que refuerza la idea de un arbitrio que se norma por principios o máximas, y </w:t>
      </w:r>
      <w:r>
        <w:rPr>
          <w:rFonts w:ascii="Times New Roman" w:hAnsi="Times New Roman" w:cs="Times New Roman"/>
        </w:rPr>
        <w:t>es consciente de sus límites.</w:t>
      </w:r>
      <w:r w:rsidRPr="00C708C7">
        <w:rPr>
          <w:rFonts w:ascii="Times New Roman" w:hAnsi="Times New Roman" w:cs="Times New Roman"/>
        </w:rPr>
        <w:t xml:space="preserve"> Flikschuh, en este sentido, señala que: “Mi afirmación es que, desde que la libertad práctica presupone la idea trascendental de libertad, una voluntad libre no puede ser arbitraria o una voluntad sin leyes. (2000; p.81)</w:t>
      </w:r>
      <w:r>
        <w:rPr>
          <w:rFonts w:ascii="Times New Roman" w:hAnsi="Times New Roman" w:cs="Times New Roman"/>
        </w:rPr>
        <w:t xml:space="preserve"> Esto equivale a pensar en la libertad como un despliegue de las facultades racionales de modo intersubjetivo, y en este sentido, en cuanto una idea compartida de la razón, la libertad tiene una dimensión exterior, cuya inteligibilidad se permite en virtud de las máximas y razones que los agentes se formulan como algo semejante-a-la-ley para sí mismos y para otros. En cuanto la voluntad se dirige por máximas semejantes a las leyes naturales, es que se entiende su autonomía, y, por lo tanto, su libertad.  </w:t>
      </w:r>
    </w:p>
    <w:p w14:paraId="2C569FE4" w14:textId="77777777" w:rsidR="008B6829" w:rsidRDefault="008B6829" w:rsidP="008B6829">
      <w:pPr>
        <w:spacing w:line="360" w:lineRule="auto"/>
        <w:jc w:val="both"/>
        <w:rPr>
          <w:rFonts w:ascii="Times New Roman" w:hAnsi="Times New Roman" w:cs="Times New Roman"/>
        </w:rPr>
      </w:pPr>
      <w:r w:rsidRPr="000800A8">
        <w:rPr>
          <w:rFonts w:ascii="Times New Roman" w:hAnsi="Times New Roman" w:cs="Times New Roman"/>
        </w:rPr>
        <w:t>El tercer capítulo del libro, de acuerdo a Flikschuh, se centra en el: “aspecto de la libertad como algo semejante</w:t>
      </w:r>
      <w:r>
        <w:rPr>
          <w:rFonts w:ascii="Times New Roman" w:hAnsi="Times New Roman" w:cs="Times New Roman"/>
        </w:rPr>
        <w:t>-</w:t>
      </w:r>
      <w:r w:rsidRPr="000800A8">
        <w:rPr>
          <w:rFonts w:ascii="Times New Roman" w:hAnsi="Times New Roman" w:cs="Times New Roman"/>
        </w:rPr>
        <w:t>a</w:t>
      </w:r>
      <w:r>
        <w:rPr>
          <w:rFonts w:ascii="Times New Roman" w:hAnsi="Times New Roman" w:cs="Times New Roman"/>
        </w:rPr>
        <w:t>-</w:t>
      </w:r>
      <w:r w:rsidRPr="000800A8">
        <w:rPr>
          <w:rFonts w:ascii="Times New Roman" w:hAnsi="Times New Roman" w:cs="Times New Roman"/>
        </w:rPr>
        <w:t>la</w:t>
      </w:r>
      <w:r>
        <w:rPr>
          <w:rFonts w:ascii="Times New Roman" w:hAnsi="Times New Roman" w:cs="Times New Roman"/>
        </w:rPr>
        <w:t>-</w:t>
      </w:r>
      <w:r w:rsidRPr="000800A8">
        <w:rPr>
          <w:rFonts w:ascii="Times New Roman" w:hAnsi="Times New Roman" w:cs="Times New Roman"/>
        </w:rPr>
        <w:t>ley. Este es el tratamiento de Kant sobre la libertad en cuanto a una idea compartida de la razón. Como se ha mencionado antes, para Kant, la ley siempre implica una validez universal y una autoridad general.” (2000; p.82)</w:t>
      </w:r>
      <w:r>
        <w:rPr>
          <w:rFonts w:ascii="Times New Roman" w:hAnsi="Times New Roman" w:cs="Times New Roman"/>
        </w:rPr>
        <w:t xml:space="preserve"> </w:t>
      </w:r>
    </w:p>
    <w:p w14:paraId="1240BAEF"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t>Al ser la razón un elemento legislativo, y el ser humano poseerla, se espera de los seres racionales que puedan darse a sí mismos leyes. Flikschuh señala que: “</w:t>
      </w:r>
      <w:r w:rsidRPr="00865671">
        <w:rPr>
          <w:rFonts w:ascii="Times New Roman" w:hAnsi="Times New Roman" w:cs="Times New Roman"/>
        </w:rPr>
        <w:t>La libertad negativa trascendental define la independencia de la voluntad de un sujeto de la determinación causal. La libertad positiva práctica se refiere a la capacidad de la voluntad para determinarse a sí misma de acuerdo a principios de la razón pura práctica. La libertad positiva presupone a la libertad negativa, en</w:t>
      </w:r>
      <w:r>
        <w:rPr>
          <w:rFonts w:ascii="Times New Roman" w:hAnsi="Times New Roman" w:cs="Times New Roman"/>
        </w:rPr>
        <w:t xml:space="preserve"> el sentido en</w:t>
      </w:r>
      <w:r w:rsidRPr="00865671">
        <w:rPr>
          <w:rFonts w:ascii="Times New Roman" w:hAnsi="Times New Roman" w:cs="Times New Roman"/>
        </w:rPr>
        <w:t xml:space="preserve"> que solamente un ser que se asuma que tenga la capacidad de tener una voluntad independiente de la causalidad de la naturaleza, puede asumirse que tenga la consecuente capacidad para auto-legislarse de acuerdo a las leyes de la libertad.</w:t>
      </w:r>
      <w:r>
        <w:rPr>
          <w:rFonts w:ascii="Times New Roman" w:hAnsi="Times New Roman" w:cs="Times New Roman"/>
        </w:rPr>
        <w:t>”</w:t>
      </w:r>
      <w:r w:rsidRPr="00865671">
        <w:rPr>
          <w:rFonts w:ascii="Times New Roman" w:hAnsi="Times New Roman" w:cs="Times New Roman"/>
        </w:rPr>
        <w:t xml:space="preserve"> (2000; p.86)</w:t>
      </w:r>
    </w:p>
    <w:p w14:paraId="585012C7"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t xml:space="preserve">El eje de la libertad, en esta lectura, es distinto al que la metafísica dogmática tradicional ha frecuentemente utilizado para abordar la controversia del determinismo. Si bien la </w:t>
      </w:r>
      <w:r>
        <w:rPr>
          <w:rFonts w:ascii="Times New Roman" w:hAnsi="Times New Roman" w:cs="Times New Roman"/>
        </w:rPr>
        <w:lastRenderedPageBreak/>
        <w:t>libertad es personal, las razones que guían esa libertad, y las máximas que articulan su justificación, pertenecen a un ámbito compartido e interdependiente. De esta forma, Flikschuh descarta que la lectura kantiana de los liberales acierte al englobar un concepto de libertad personal de corte individualista, cuando el núcleo de la propuesta de Kant sobre la libertad, en cuanto concepto metafísico, supone más bien, el punto de encuentro compartido y de mutua influencia entre las personas. Este alcance permite que, lejos de entender la libertad como algo exclusivamente individual, en realidad, es un fundamento para pensar el encuentro a un nivel mucho más extenso, como lo es el hecho de constatar un mundo limitado y compartido. En este mismo horizonte, la autora plantea que: “</w:t>
      </w:r>
      <w:r w:rsidRPr="00865671">
        <w:rPr>
          <w:rFonts w:ascii="Times New Roman" w:hAnsi="Times New Roman" w:cs="Times New Roman"/>
        </w:rPr>
        <w:t>La subsunción de la libertad política de Kant bajo el liberalismo clásico desde una perspectiva individualista le quita mucho de lo que es distintivo acerca de su filosofía política, especialmente en lo que tiene que ver con el cosmopolitanismo.</w:t>
      </w:r>
      <w:r>
        <w:rPr>
          <w:rFonts w:ascii="Times New Roman" w:hAnsi="Times New Roman" w:cs="Times New Roman"/>
        </w:rPr>
        <w:t>”</w:t>
      </w:r>
      <w:r w:rsidRPr="00865671">
        <w:rPr>
          <w:rFonts w:ascii="Times New Roman" w:hAnsi="Times New Roman" w:cs="Times New Roman"/>
        </w:rPr>
        <w:t xml:space="preserve"> (2000; p.83)</w:t>
      </w:r>
    </w:p>
    <w:p w14:paraId="12ED3FBA"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t>Sobre esta última idea</w:t>
      </w:r>
      <w:r w:rsidRPr="00D87726">
        <w:rPr>
          <w:rFonts w:ascii="Times New Roman" w:hAnsi="Times New Roman" w:cs="Times New Roman"/>
        </w:rPr>
        <w:t xml:space="preserve">, Flikschuh aclara </w:t>
      </w:r>
      <w:r>
        <w:rPr>
          <w:rFonts w:ascii="Times New Roman" w:hAnsi="Times New Roman" w:cs="Times New Roman"/>
        </w:rPr>
        <w:t>respecto de</w:t>
      </w:r>
      <w:r w:rsidRPr="00D87726">
        <w:rPr>
          <w:rFonts w:ascii="Times New Roman" w:hAnsi="Times New Roman" w:cs="Times New Roman"/>
        </w:rPr>
        <w:t xml:space="preserve"> la tercera parte de su libro que: “El principal objetivo de este capítulo es argumentar en contra de esta perspectiva, de acuerdo con la cual</w:t>
      </w:r>
      <w:r>
        <w:rPr>
          <w:rFonts w:ascii="Times New Roman" w:hAnsi="Times New Roman" w:cs="Times New Roman"/>
        </w:rPr>
        <w:t>,</w:t>
      </w:r>
      <w:r w:rsidRPr="00D87726">
        <w:rPr>
          <w:rFonts w:ascii="Times New Roman" w:hAnsi="Times New Roman" w:cs="Times New Roman"/>
        </w:rPr>
        <w:t xml:space="preserve"> la concepción de libertad política de Kant</w:t>
      </w:r>
      <w:r>
        <w:rPr>
          <w:rFonts w:ascii="Times New Roman" w:hAnsi="Times New Roman" w:cs="Times New Roman"/>
        </w:rPr>
        <w:t>,</w:t>
      </w:r>
      <w:r w:rsidRPr="00D87726">
        <w:rPr>
          <w:rFonts w:ascii="Times New Roman" w:hAnsi="Times New Roman" w:cs="Times New Roman"/>
        </w:rPr>
        <w:t xml:space="preserve"> cae fuera de los límites de su propia perspectiva general de agencia moral.” (2000; p.83) </w:t>
      </w:r>
      <w:r>
        <w:rPr>
          <w:rFonts w:ascii="Times New Roman" w:hAnsi="Times New Roman" w:cs="Times New Roman"/>
        </w:rPr>
        <w:t>En esto radica la moralidad de la libertad externa que Flikschuh anunciaba en el título del tercer capítulo.</w:t>
      </w:r>
    </w:p>
    <w:p w14:paraId="32B27779"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t>En este sentido, cabe considerar la relación que se establece entre la libertad interna y la libertad externa. Si bien la libertad interna es moral, y la externa jurídica, para Kant, ambas representan esferas complementarias de la semejanza-a-la-legalidad de la moralidad. Flikschuh señala que el campo de la libertad externa es la ley y la política, mientras que el lugar de la libertad interna es la ética. Ella indica que: “</w:t>
      </w:r>
      <w:r w:rsidRPr="00865671">
        <w:rPr>
          <w:rFonts w:ascii="Times New Roman" w:hAnsi="Times New Roman" w:cs="Times New Roman"/>
        </w:rPr>
        <w:t>La ley (política) y la ética, designadas por Kant como las esferas de la libertad externa y la libertad interna respectivamente</w:t>
      </w:r>
      <w:r>
        <w:rPr>
          <w:rFonts w:ascii="Times New Roman" w:hAnsi="Times New Roman" w:cs="Times New Roman"/>
        </w:rPr>
        <w:t>,</w:t>
      </w:r>
      <w:r w:rsidRPr="00865671">
        <w:rPr>
          <w:rFonts w:ascii="Times New Roman" w:hAnsi="Times New Roman" w:cs="Times New Roman"/>
        </w:rPr>
        <w:t xml:space="preserve"> </w:t>
      </w:r>
      <w:r>
        <w:rPr>
          <w:rFonts w:ascii="Times New Roman" w:hAnsi="Times New Roman" w:cs="Times New Roman"/>
        </w:rPr>
        <w:t>f</w:t>
      </w:r>
      <w:r w:rsidRPr="00865671">
        <w:rPr>
          <w:rFonts w:ascii="Times New Roman" w:hAnsi="Times New Roman" w:cs="Times New Roman"/>
        </w:rPr>
        <w:t>orman dos distintas, pero iguales ramas de la moralidad. Eso significa que la noción de semejanza-con-la-ley es indispensable para una concepción kantiana de libertad externa, así como lo es para su perspectiva de la libertad interna.</w:t>
      </w:r>
      <w:r>
        <w:rPr>
          <w:rFonts w:ascii="Times New Roman" w:hAnsi="Times New Roman" w:cs="Times New Roman"/>
        </w:rPr>
        <w:t>”</w:t>
      </w:r>
      <w:r w:rsidRPr="00865671">
        <w:rPr>
          <w:rFonts w:ascii="Times New Roman" w:hAnsi="Times New Roman" w:cs="Times New Roman"/>
        </w:rPr>
        <w:t xml:space="preserve"> (2000; p.83)</w:t>
      </w:r>
      <w:r>
        <w:rPr>
          <w:rFonts w:ascii="Times New Roman" w:hAnsi="Times New Roman" w:cs="Times New Roman"/>
        </w:rPr>
        <w:t xml:space="preserve"> </w:t>
      </w:r>
    </w:p>
    <w:p w14:paraId="039E1994"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t>Kant, cuando desarrolla la relación entre las facultades del alma y las leyes de la libertad interna, introduce un concepto que será igual de importante para la libertad externa. Se trata del papel que cumple el deseo en las resoluciones del arbitrio. Flikschuh indica sobre este punto que: “</w:t>
      </w:r>
      <w:r w:rsidRPr="00865671">
        <w:rPr>
          <w:rFonts w:ascii="Times New Roman" w:hAnsi="Times New Roman" w:cs="Times New Roman"/>
        </w:rPr>
        <w:t>En la doctrina del derecho</w:t>
      </w:r>
      <w:r>
        <w:rPr>
          <w:rFonts w:ascii="Times New Roman" w:hAnsi="Times New Roman" w:cs="Times New Roman"/>
        </w:rPr>
        <w:t>,</w:t>
      </w:r>
      <w:r w:rsidRPr="00865671">
        <w:rPr>
          <w:rFonts w:ascii="Times New Roman" w:hAnsi="Times New Roman" w:cs="Times New Roman"/>
        </w:rPr>
        <w:t xml:space="preserve"> Kant explícitamente reconoce el role legítimo de los deseos de los individuos en relación con la libertad externa. Y lo hace por una buena razón. El concepto de libertad externa juega un rol central en la justificación de Kant de los derechos individuales de propiedad y en su deducción de las obligaciones de </w:t>
      </w:r>
      <w:r w:rsidRPr="00865671">
        <w:rPr>
          <w:rFonts w:ascii="Times New Roman" w:hAnsi="Times New Roman" w:cs="Times New Roman"/>
        </w:rPr>
        <w:lastRenderedPageBreak/>
        <w:t>justicia en que incurren los individuos como una consecuencia de sus reclamos a la propiedad. Los reclamos a la propiedad se refieren a los deseos individuales por objetos materiales de su elección.</w:t>
      </w:r>
      <w:r>
        <w:rPr>
          <w:rFonts w:ascii="Times New Roman" w:hAnsi="Times New Roman" w:cs="Times New Roman"/>
        </w:rPr>
        <w:t>”</w:t>
      </w:r>
      <w:r w:rsidRPr="00865671">
        <w:rPr>
          <w:rFonts w:ascii="Times New Roman" w:hAnsi="Times New Roman" w:cs="Times New Roman"/>
        </w:rPr>
        <w:t xml:space="preserve"> (2000; p.84)</w:t>
      </w:r>
      <w:r>
        <w:rPr>
          <w:rFonts w:ascii="Times New Roman" w:hAnsi="Times New Roman" w:cs="Times New Roman"/>
        </w:rPr>
        <w:t xml:space="preserve"> De esta forma, Flikschuh asocia la libertad externa a la propiedad privada, por medio de las obligaciones que se auto imponen los individuos unos a otros, en la lógica de un contrato originario de una sociedad civil. Desde que nos conviene a todos tener las garantías implícitas en la propiedad privada, se puede decir que la idea de contrato originario responde a esta exigencia de la libertad externa de las personas, como una idea compartida de la razón.</w:t>
      </w:r>
    </w:p>
    <w:p w14:paraId="6347F437"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t>La interpretación de Flikschuh supone la relación entre el deseo y el uso de la razón, en la concreción de los actos libres. De esta forma, ella señala que: “</w:t>
      </w:r>
      <w:r w:rsidRPr="00865671">
        <w:rPr>
          <w:rFonts w:ascii="Times New Roman" w:hAnsi="Times New Roman" w:cs="Times New Roman"/>
        </w:rPr>
        <w:t>Yo le atribuyo a Kant la perspectiva de que, solamente en cuanto tienen la capacidad de razonar, es que los seres racionales finitos tienen capacidad para formar deseos. En lo que respecta a la capacidad para desear, se presupone la habilidad de un ser para razonar, los deseos de una criatura racional son susceptibles a las constricciones de la razón en general. Son, por lo tanto, también susceptibles, al menos por implicación, a las constricciones de la razón pura práctica, por ejemplo, a las leyes de la libertad.</w:t>
      </w:r>
      <w:r>
        <w:rPr>
          <w:rFonts w:ascii="Times New Roman" w:hAnsi="Times New Roman" w:cs="Times New Roman"/>
        </w:rPr>
        <w:t>”</w:t>
      </w:r>
      <w:r w:rsidRPr="00865671">
        <w:rPr>
          <w:rFonts w:ascii="Times New Roman" w:hAnsi="Times New Roman" w:cs="Times New Roman"/>
        </w:rPr>
        <w:t xml:space="preserve"> (2000; p.84)</w:t>
      </w:r>
      <w:r>
        <w:rPr>
          <w:rFonts w:ascii="Times New Roman" w:hAnsi="Times New Roman" w:cs="Times New Roman"/>
        </w:rPr>
        <w:t xml:space="preserve"> </w:t>
      </w:r>
    </w:p>
    <w:p w14:paraId="5A70DDB0"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t>Flikschuh agrega, en esta interpretación suya, a la relación de los conceptos de libertad y razón, el elemento del deseo. Para Kant, las elecciones razonadas son libres; para Flikschuh la formulación de deseos presupone a la razón en su facultad para producir representaciones. En este sentido, la consecución de actos impulsados por la formulación racional de los deseos, queda enmarcada por las leyes de la libertad. La autora defiende una interpretación de la libertad externa que albergue dos motivos complementarios. Ella indica que: “</w:t>
      </w:r>
      <w:r w:rsidRPr="00865671">
        <w:rPr>
          <w:rFonts w:ascii="Times New Roman" w:hAnsi="Times New Roman" w:cs="Times New Roman"/>
        </w:rPr>
        <w:t>Es posible una concepción de la libertad externa que soporte ambas, el deseo legítimo de los individuos por objetos materiales de su elección, y que considere la formación y persecución de tales deseos como sujetos a las constricciones de las leyes de la libertad.</w:t>
      </w:r>
      <w:r>
        <w:rPr>
          <w:rFonts w:ascii="Times New Roman" w:hAnsi="Times New Roman" w:cs="Times New Roman"/>
        </w:rPr>
        <w:t>”</w:t>
      </w:r>
      <w:r w:rsidRPr="00865671">
        <w:rPr>
          <w:rFonts w:ascii="Times New Roman" w:hAnsi="Times New Roman" w:cs="Times New Roman"/>
        </w:rPr>
        <w:t xml:space="preserve"> (2000; p.85)</w:t>
      </w:r>
      <w:r>
        <w:rPr>
          <w:rFonts w:ascii="Times New Roman" w:hAnsi="Times New Roman" w:cs="Times New Roman"/>
        </w:rPr>
        <w:t xml:space="preserve"> </w:t>
      </w:r>
    </w:p>
    <w:p w14:paraId="36F57E82"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t xml:space="preserve">La libertad externa, en el enfoque de Flikschuh, asimismo, se asocia a una consideración sobre el modo en que se entiende la libertad antes y después de una sociedad civil. En la tradición del contractualismo, tanto en Hobbes, como Locke y Kant, en el estado natural existe una libertad sin marco legal. Con el aparecimiento de la sociedad civil, la libertad tiene un despliegue distinto al natural. </w:t>
      </w:r>
    </w:p>
    <w:p w14:paraId="03030557"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lastRenderedPageBreak/>
        <w:t>Se podría decir que, en el caso de Hobbes, la libertad como derecho legítimo existe sólo con la instauración de un Leviathan. Esto contrasta con la perspectiva de Locke, para quien la libertad se posee como un derecho previo a la condición civil, de forma que es el estado el encargado de proteger este derecho innato. Esta misma postura es la que comparte Kant, para quien solo existe un derecho innato y fundamental en la humanidad, el de la libertad. Así, Flikschuh señala que: “</w:t>
      </w:r>
      <w:r w:rsidRPr="00865671">
        <w:rPr>
          <w:rFonts w:ascii="Times New Roman" w:hAnsi="Times New Roman" w:cs="Times New Roman"/>
        </w:rPr>
        <w:t>La novedosa concepción de libertad externa se deriva de las referencias de Kant de un derecho innato a la libertad de cada uno. En la introducción de la doctrina del derecho</w:t>
      </w:r>
      <w:r>
        <w:rPr>
          <w:rFonts w:ascii="Times New Roman" w:hAnsi="Times New Roman" w:cs="Times New Roman"/>
        </w:rPr>
        <w:t>,</w:t>
      </w:r>
      <w:r w:rsidRPr="00865671">
        <w:rPr>
          <w:rFonts w:ascii="Times New Roman" w:hAnsi="Times New Roman" w:cs="Times New Roman"/>
        </w:rPr>
        <w:t xml:space="preserve"> el derecho innato a la libertad que cada individuo posee meramente en virtud de su humanidad comprende la igualdad innata de los sujetos, su independencia de la voluntad arbitraria de otro y su derecho a la interacción libre con otros</w:t>
      </w:r>
      <w:r>
        <w:rPr>
          <w:rFonts w:ascii="Times New Roman" w:hAnsi="Times New Roman" w:cs="Times New Roman"/>
        </w:rPr>
        <w:t>,</w:t>
      </w:r>
      <w:r w:rsidRPr="00865671">
        <w:rPr>
          <w:rFonts w:ascii="Times New Roman" w:hAnsi="Times New Roman" w:cs="Times New Roman"/>
        </w:rPr>
        <w:t xml:space="preserve"> bajo </w:t>
      </w:r>
      <w:r>
        <w:rPr>
          <w:rFonts w:ascii="Times New Roman" w:hAnsi="Times New Roman" w:cs="Times New Roman"/>
        </w:rPr>
        <w:t>igualdad de condiciones</w:t>
      </w:r>
      <w:r w:rsidRPr="00865671">
        <w:rPr>
          <w:rFonts w:ascii="Times New Roman" w:hAnsi="Times New Roman" w:cs="Times New Roman"/>
        </w:rPr>
        <w:t>.</w:t>
      </w:r>
      <w:r>
        <w:rPr>
          <w:rFonts w:ascii="Times New Roman" w:hAnsi="Times New Roman" w:cs="Times New Roman"/>
        </w:rPr>
        <w:t>”</w:t>
      </w:r>
      <w:r w:rsidRPr="00865671">
        <w:rPr>
          <w:rFonts w:ascii="Times New Roman" w:hAnsi="Times New Roman" w:cs="Times New Roman"/>
        </w:rPr>
        <w:t xml:space="preserve"> (2000; p.88)</w:t>
      </w:r>
    </w:p>
    <w:p w14:paraId="25F0925B"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t>La autora hace la precisión de la relación que tiene la idea de una libertad externa con el concepto y principio general del derecho, que pone los límites de toda libertad, en la libertad de los otros. Así, ella señala que: “E</w:t>
      </w:r>
      <w:r w:rsidRPr="00865671">
        <w:rPr>
          <w:rFonts w:ascii="Times New Roman" w:hAnsi="Times New Roman" w:cs="Times New Roman"/>
        </w:rPr>
        <w:t>sta definición preliminar de la libertad externa como afirmando los derechos individuales de libertad de elección y acción, se encuentra substanciada en la subsecuente definición de Kant del concepto del derecho, que regula la forma de las relaciones externas entre agentes, en virtud de sus elecciones.</w:t>
      </w:r>
      <w:r>
        <w:rPr>
          <w:rFonts w:ascii="Times New Roman" w:hAnsi="Times New Roman" w:cs="Times New Roman"/>
        </w:rPr>
        <w:t>”</w:t>
      </w:r>
      <w:r w:rsidRPr="00865671">
        <w:rPr>
          <w:rFonts w:ascii="Times New Roman" w:hAnsi="Times New Roman" w:cs="Times New Roman"/>
        </w:rPr>
        <w:t xml:space="preserve"> (2000; p.88)</w:t>
      </w:r>
      <w:r>
        <w:rPr>
          <w:rFonts w:ascii="Times New Roman" w:hAnsi="Times New Roman" w:cs="Times New Roman"/>
        </w:rPr>
        <w:t xml:space="preserve"> Debemos tener en cuenta que, para Kant, desde la doctrina del derecho, la idea de un derecho como ciencia supone el marco normativo para todas las relaciones externas y prácticas de las personas unas con otras, en el contexto en que sus actos y elecciones tienen efectos de influencia mutua. En este sentido, cabe recordar que, para Kant, es justa toda acción que permita la coexistencia de todas las libertades, de acuerdo a una ley universal. En palabras de Flikschuh: “</w:t>
      </w:r>
      <w:r w:rsidRPr="00865671">
        <w:rPr>
          <w:rFonts w:ascii="Times New Roman" w:hAnsi="Times New Roman" w:cs="Times New Roman"/>
        </w:rPr>
        <w:t>Todo lo que requiere el principio universal del derecho es que la ejecución en acto de la máxima de un agente no violente las condiciones externas de las elecciones de otro.</w:t>
      </w:r>
      <w:r>
        <w:rPr>
          <w:rFonts w:ascii="Times New Roman" w:hAnsi="Times New Roman" w:cs="Times New Roman"/>
        </w:rPr>
        <w:t>”</w:t>
      </w:r>
      <w:r w:rsidRPr="00865671">
        <w:rPr>
          <w:rFonts w:ascii="Times New Roman" w:hAnsi="Times New Roman" w:cs="Times New Roman"/>
        </w:rPr>
        <w:t xml:space="preserve"> (2000; p.89)</w:t>
      </w:r>
    </w:p>
    <w:p w14:paraId="192B65EF"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t>Es de suma importancia considerar en dónde yace la soberanía y solidez de la ley, en su sentido interno, y externo. Ambas pueden ser pensadas autónomamente por cualquiera, pero las leyes externas pueden hacerse cumplir por la fuerza legal. Esto no equivale a decir que cualquiera puede convertir sus deseos de interés personal en una ley universal, sino que precisamente, el carácter y autoridad de una ley, proviene de su validez incondicionada e impersonal, en lugar de estar especificada contingentemente. En este sentido, Flikschuh refiere que: “</w:t>
      </w:r>
      <w:r w:rsidRPr="00865671">
        <w:rPr>
          <w:rFonts w:ascii="Times New Roman" w:hAnsi="Times New Roman" w:cs="Times New Roman"/>
        </w:rPr>
        <w:t xml:space="preserve">Kant distingue entre ley y ética en términos de sus respectivas esferas de competencia moral. Desde que todas las leyes de la libertad son </w:t>
      </w:r>
      <w:r w:rsidRPr="00865671">
        <w:rPr>
          <w:rFonts w:ascii="Times New Roman" w:hAnsi="Times New Roman" w:cs="Times New Roman"/>
        </w:rPr>
        <w:lastRenderedPageBreak/>
        <w:t>leyes de auto-legislación moral, las leyes jurídicas pueden ser auto-legisladas, aunque en contraste con las leyes éticas, estas también pueden hacerse cumplir externamente. Por ello, el campo normativo de las leyes jurídicas de la libertad yace en la capacidad para auto-legistación de los sujetos, no en una apelación a sus propios intereses prudenciales.</w:t>
      </w:r>
      <w:r>
        <w:rPr>
          <w:rFonts w:ascii="Times New Roman" w:hAnsi="Times New Roman" w:cs="Times New Roman"/>
        </w:rPr>
        <w:t>”</w:t>
      </w:r>
      <w:r w:rsidRPr="00865671">
        <w:rPr>
          <w:rFonts w:ascii="Times New Roman" w:hAnsi="Times New Roman" w:cs="Times New Roman"/>
        </w:rPr>
        <w:t xml:space="preserve"> (2000; p.91)</w:t>
      </w:r>
      <w:r>
        <w:rPr>
          <w:rFonts w:ascii="Times New Roman" w:hAnsi="Times New Roman" w:cs="Times New Roman"/>
        </w:rPr>
        <w:t xml:space="preserve"> Por esto último, es que se puede considerar que la ley exterior no responde al deseo privado de nadie, sino que se establece en la línea de la autonomía de la razón compartida. </w:t>
      </w:r>
    </w:p>
    <w:p w14:paraId="30F24722"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t>De acuerdo con esta postura, según Flikschuh, se encuentra C. Koorsgard. Según nuestra autora: “</w:t>
      </w:r>
      <w:r w:rsidRPr="00865671">
        <w:rPr>
          <w:rFonts w:ascii="Times New Roman" w:hAnsi="Times New Roman" w:cs="Times New Roman"/>
        </w:rPr>
        <w:t>Koorsgard, rechaza lecturas de la doctrina del derecho que hacen que el propio interés sea central a la justificación normativa del principio universal del derecho.</w:t>
      </w:r>
      <w:r>
        <w:rPr>
          <w:rFonts w:ascii="Times New Roman" w:hAnsi="Times New Roman" w:cs="Times New Roman"/>
        </w:rPr>
        <w:t>”</w:t>
      </w:r>
      <w:r w:rsidRPr="00865671">
        <w:rPr>
          <w:rFonts w:ascii="Times New Roman" w:hAnsi="Times New Roman" w:cs="Times New Roman"/>
        </w:rPr>
        <w:t xml:space="preserve"> (2000; p.95)</w:t>
      </w:r>
      <w:r>
        <w:rPr>
          <w:rFonts w:ascii="Times New Roman" w:hAnsi="Times New Roman" w:cs="Times New Roman"/>
        </w:rPr>
        <w:t xml:space="preserve"> El corazón de la doctrina del derecho, tiene en realidad, un interés público y general de acuerdo al marco de la razón compartida. </w:t>
      </w:r>
    </w:p>
    <w:p w14:paraId="599FBDDD"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t>Mientras la idea de libertad exterior se despliega hacia los sentidos de una libertad jurídica, civil y política, mediante los respectivos conceptos del principio general del derecho, la co-legislación y el consentimiento ante la ley, Flikschuh se centra en el punto en que se relaciona la formación de deseos con la libertad, para poder tener en mente el papel que tienen los intereses económicos en esta relación indicada. Ella nos dice lo siguiente: “</w:t>
      </w:r>
      <w:r w:rsidRPr="00865671">
        <w:rPr>
          <w:rFonts w:ascii="Times New Roman" w:hAnsi="Times New Roman" w:cs="Times New Roman"/>
        </w:rPr>
        <w:t>Voy a restringir mis observaciones a la concepción de los deseos y formación de los deseos de Kant en cuanto pertenecen a la perspectiva de la libertad externa. Por lo tanto, habré de ocuparme solo con la función económica del deseo y voy a dejar a un lado su rol en la ética. Mi preocupación principal es argumentar que al menos en la doctrina del derecho, las observaciones de Kant sobre la capacidad de los sujetos para desear apuntan hacia una concepción de las elecciones basadas en los deseos que es capaz de alcanzar los requerimientos de una voluntad y elección autónoma.</w:t>
      </w:r>
      <w:r>
        <w:rPr>
          <w:rFonts w:ascii="Times New Roman" w:hAnsi="Times New Roman" w:cs="Times New Roman"/>
        </w:rPr>
        <w:t>”</w:t>
      </w:r>
      <w:r w:rsidRPr="00865671">
        <w:rPr>
          <w:rFonts w:ascii="Times New Roman" w:hAnsi="Times New Roman" w:cs="Times New Roman"/>
        </w:rPr>
        <w:t xml:space="preserve"> (2000; p.99)</w:t>
      </w:r>
      <w:r>
        <w:rPr>
          <w:rFonts w:ascii="Times New Roman" w:hAnsi="Times New Roman" w:cs="Times New Roman"/>
        </w:rPr>
        <w:t xml:space="preserve"> Lo que surge como efecto, de acuerdo a esta lectura que centra el énfasis en los intereses económicos de la libertad, es el panorama de una necesidad de un horizonte civil que admita, garantice y proteja la propiedad privada perentoria. Para la autora, este es el núcleo principal de la doctrina del derecho. Desde que es necesario regular institucionalmente a la libertad externa, con la instauración de un estado civil, luego de la libertad externa se desprende una conminación recíproca para atender a lo que se convierte en una obligación política mutua. </w:t>
      </w:r>
    </w:p>
    <w:p w14:paraId="6043B14F"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t>Finalmente, la autora concluye este tercer capítulo de su libro del siguiente modo: “</w:t>
      </w:r>
      <w:r w:rsidRPr="00865671">
        <w:rPr>
          <w:rFonts w:ascii="Times New Roman" w:hAnsi="Times New Roman" w:cs="Times New Roman"/>
        </w:rPr>
        <w:t xml:space="preserve">El objetivo de este capítulo ha sido esbozar una posible interpretación de la libertad externa </w:t>
      </w:r>
      <w:r w:rsidRPr="00865671">
        <w:rPr>
          <w:rFonts w:ascii="Times New Roman" w:hAnsi="Times New Roman" w:cs="Times New Roman"/>
        </w:rPr>
        <w:lastRenderedPageBreak/>
        <w:t>como basada en elecciones y actos autónomos sin reducirlo al concepto de la libertad interna de Kant. Este objetivo fue motivado por la necesidad de reconocer el distintivo y legítimo rol de los deseos económicos en relación a la agencia política mientras se resiste la conclusión de que la agencia política debe, por lo tanto, basarse en el propio interés prudencial</w:t>
      </w:r>
      <w:r>
        <w:rPr>
          <w:rFonts w:ascii="Times New Roman" w:hAnsi="Times New Roman" w:cs="Times New Roman"/>
        </w:rPr>
        <w:t>”</w:t>
      </w:r>
      <w:r w:rsidRPr="00865671">
        <w:rPr>
          <w:rFonts w:ascii="Times New Roman" w:hAnsi="Times New Roman" w:cs="Times New Roman"/>
        </w:rPr>
        <w:t>. (2000; p.110)</w:t>
      </w:r>
      <w:r>
        <w:rPr>
          <w:rFonts w:ascii="Times New Roman" w:hAnsi="Times New Roman" w:cs="Times New Roman"/>
        </w:rPr>
        <w:t xml:space="preserve"> Flikschuh agrega que: “</w:t>
      </w:r>
      <w:r w:rsidRPr="00865671">
        <w:rPr>
          <w:rFonts w:ascii="Times New Roman" w:hAnsi="Times New Roman" w:cs="Times New Roman"/>
        </w:rPr>
        <w:t>Desde que el deseo económico es inevitablemente orientado a objetos, entonces es imposible para los agentes abstraer las consideraciones materiales en sus elecciones y acciones económicas.</w:t>
      </w:r>
      <w:r>
        <w:rPr>
          <w:rFonts w:ascii="Times New Roman" w:hAnsi="Times New Roman" w:cs="Times New Roman"/>
        </w:rPr>
        <w:t>”</w:t>
      </w:r>
      <w:r w:rsidRPr="00865671">
        <w:rPr>
          <w:rFonts w:ascii="Times New Roman" w:hAnsi="Times New Roman" w:cs="Times New Roman"/>
        </w:rPr>
        <w:t xml:space="preserve"> (2000; p.111)</w:t>
      </w:r>
      <w:r>
        <w:rPr>
          <w:rFonts w:ascii="Times New Roman" w:hAnsi="Times New Roman" w:cs="Times New Roman"/>
        </w:rPr>
        <w:t xml:space="preserve"> Luego, finaliza diciendo que: “</w:t>
      </w:r>
      <w:r w:rsidRPr="00865671">
        <w:rPr>
          <w:rFonts w:ascii="Times New Roman" w:hAnsi="Times New Roman" w:cs="Times New Roman"/>
        </w:rPr>
        <w:t>Esto nos lleva al corazón de la doctrina del derecho, es decir, a la justificación de Kant de los derechos a la propiedad individual y de su resultante obligación de justicia de los unos con los otros.</w:t>
      </w:r>
      <w:r>
        <w:rPr>
          <w:rFonts w:ascii="Times New Roman" w:hAnsi="Times New Roman" w:cs="Times New Roman"/>
        </w:rPr>
        <w:t>”</w:t>
      </w:r>
      <w:r w:rsidRPr="00865671">
        <w:rPr>
          <w:rFonts w:ascii="Times New Roman" w:hAnsi="Times New Roman" w:cs="Times New Roman"/>
        </w:rPr>
        <w:t xml:space="preserve"> (2000; p.112)</w:t>
      </w:r>
      <w:r>
        <w:rPr>
          <w:rFonts w:ascii="Times New Roman" w:hAnsi="Times New Roman" w:cs="Times New Roman"/>
        </w:rPr>
        <w:t xml:space="preserve"> En este sentido, para Flikschuh, la libertad externa entendida como una obligación política mutua representa el centro de la doctrina del derecho y da pie a los contenidos del derecho público que han sido dejados de lado, pero que parten del derecho privado, en reconocimiento al derecho innato de la humanidad, es decir, en nombre de su libertad, lo que se extiende hacia su independencia e igualdad.</w:t>
      </w:r>
    </w:p>
    <w:p w14:paraId="1FF5FE5D"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t xml:space="preserve">La libertad externa, por lo revisado, se inscribe en el marco de la metafísica de la libertad como una idea compartida de la razón y tiene un carácter semejante-a-la-ley. Desde que se encuentra regulada por las leyes de la libertad y la razón en general, presupone la facultad para auto-legislar del agente en la formulación de deseos. Considerando que la libertad externa es un ejercicio práctico, no puede desentenderse de intereses prácticos tales como los económicos, y por ello, la aspiración a una propiedad que sea perentoria y amparada por la ley, exige de todos, una obligación política mutua que queda materializada en el contrato originario de cualquier sociedad civil. La tesis de Flikschuh asocia la libertad externa a esta obligación recíproca de carácter político, fundándose en los intereses legítimos de los individuos para desarrollar un tipo de libertad compartida que encuentra un límite personal en la libertad exterior ajena. </w:t>
      </w:r>
    </w:p>
    <w:p w14:paraId="3B2C0762"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t>Flikschuh se habrá de preguntar retrospectivamente cómo se implanta un horizonte civil, ya que, si son la ley y la propiedad privada lo que se busca establecer, se presupone que no se puede valer de estos medios y nociones para instaurarse, pues, en la idea de un estado natural, estos conceptos no se encuentran presentes. Por ello, la ley, al menos en un principio, y por única vez, debe ser instaurado por un tipo de fuerza. Esto permite a la autora desarrollar la idea kantiana de una ley permisiva (</w:t>
      </w:r>
      <w:r w:rsidRPr="00A44839">
        <w:rPr>
          <w:rFonts w:ascii="Times New Roman" w:hAnsi="Times New Roman" w:cs="Times New Roman"/>
          <w:i/>
          <w:iCs/>
        </w:rPr>
        <w:t>lex permissiva</w:t>
      </w:r>
      <w:r>
        <w:rPr>
          <w:rFonts w:ascii="Times New Roman" w:hAnsi="Times New Roman" w:cs="Times New Roman"/>
        </w:rPr>
        <w:t xml:space="preserve">) a la hora de pensar en el problema de la propiedad en el transcurso de un orden natural a uno legal. </w:t>
      </w:r>
    </w:p>
    <w:p w14:paraId="23240D06"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lastRenderedPageBreak/>
        <w:t xml:space="preserve">La noción de obligación política mutua supone, para la autora que: “mis obligaciones de justicia hacia ti se siguen como un corolario directo de mi ejercicio de la libertad de elección y acción.” (2000; p.142) Y luego agrega que: “Este reconocimiento de los agentes sobre los deberes de justicia imponen restricciones en sus reclamos de la libertad, lo que hace posible la construcción práctica del concepto del derecho en la forma de una sociedad civil.” (2000; p.143) De esta manera, la idea de obligación política recíproca se deriva del concepto de la libertad jurídica, de acuerdo al principio universal del derecho y a la apelación al único derecho innato que poseemos: la libertad. </w:t>
      </w:r>
    </w:p>
    <w:p w14:paraId="39147187"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t xml:space="preserve">Estos elementos, desarrollados en este capítulo, por igual, quedan subsumidos por una lectura general del pensamiento político de Kant, que se orienta al estado de relaciones internacionales de acuerdo al derecho cosmopolita. Como se ha mencionado antes, la naturaleza cosmopolita del pensamiento político de Kant no es una parte final ni una conclusión, sino que forma parte del mismo desde su concepción. En este sentido, la idea de libertad externa y su implícita demanda de obligaciones recíprocas tienen un carácter universal, en el sentido normativo de las ideas prácticas de la razón.  </w:t>
      </w:r>
    </w:p>
    <w:p w14:paraId="6054136B" w14:textId="77777777" w:rsidR="008B6829" w:rsidRDefault="008B6829" w:rsidP="008B6829">
      <w:pPr>
        <w:spacing w:line="360" w:lineRule="auto"/>
        <w:jc w:val="both"/>
        <w:rPr>
          <w:rFonts w:ascii="Times New Roman" w:hAnsi="Times New Roman" w:cs="Times New Roman"/>
        </w:rPr>
      </w:pPr>
      <w:r>
        <w:rPr>
          <w:rFonts w:ascii="Times New Roman" w:hAnsi="Times New Roman" w:cs="Times New Roman"/>
        </w:rPr>
        <w:t>Este capítulo ha buscado esbozar las tesis principales del libro de Flikschuh en su lectura de la doctrina del derecho. En primer lugar, se ha señalado la importancia de la metafísica para las discusiones de reflexión política. En segundo lugar, se ha establecido tanto la relevancia de los intereses económicos y de propiedad legítima en la libertad externa, así como el alcance cosmopolita de toda la propuesta del pensamiento filosófico y político de Kant. Esto conlleva a la idea de propiedad como un medio ejemplificador para enfatizar la necesidad de instaurar institucionalidad en el ejercicio de la libertad externa en el marco de la construcción de un estado civil basado en el derecho y principios básicos como la libertad, la igualdad y la independencia. Por todo lo dicho, se puede concluir que el análisis de Flikschuh asocia la libertad externa con el concepto de una obligación política mutua, tal y cómo se ha desarrollado a lo largo de este apartado.</w:t>
      </w:r>
    </w:p>
    <w:p w14:paraId="1E781A63" w14:textId="77777777" w:rsidR="008B6829" w:rsidRDefault="008B6829"/>
    <w:sectPr w:rsidR="008B682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829"/>
    <w:rsid w:val="00194447"/>
    <w:rsid w:val="008B682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4D3E8"/>
  <w15:chartTrackingRefBased/>
  <w15:docId w15:val="{219CE761-96ED-48FF-AFFA-BC6FEF133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829"/>
  </w:style>
  <w:style w:type="paragraph" w:styleId="Heading1">
    <w:name w:val="heading 1"/>
    <w:basedOn w:val="Normal"/>
    <w:next w:val="Normal"/>
    <w:link w:val="Heading1Char"/>
    <w:uiPriority w:val="9"/>
    <w:qFormat/>
    <w:rsid w:val="008B68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68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68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68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68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68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8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8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8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8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68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68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68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68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68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8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8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829"/>
    <w:rPr>
      <w:rFonts w:eastAsiaTheme="majorEastAsia" w:cstheme="majorBidi"/>
      <w:color w:val="272727" w:themeColor="text1" w:themeTint="D8"/>
    </w:rPr>
  </w:style>
  <w:style w:type="paragraph" w:styleId="Title">
    <w:name w:val="Title"/>
    <w:basedOn w:val="Normal"/>
    <w:next w:val="Normal"/>
    <w:link w:val="TitleChar"/>
    <w:uiPriority w:val="10"/>
    <w:qFormat/>
    <w:rsid w:val="008B68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8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8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8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829"/>
    <w:pPr>
      <w:spacing w:before="160"/>
      <w:jc w:val="center"/>
    </w:pPr>
    <w:rPr>
      <w:i/>
      <w:iCs/>
      <w:color w:val="404040" w:themeColor="text1" w:themeTint="BF"/>
    </w:rPr>
  </w:style>
  <w:style w:type="character" w:customStyle="1" w:styleId="QuoteChar">
    <w:name w:val="Quote Char"/>
    <w:basedOn w:val="DefaultParagraphFont"/>
    <w:link w:val="Quote"/>
    <w:uiPriority w:val="29"/>
    <w:rsid w:val="008B6829"/>
    <w:rPr>
      <w:i/>
      <w:iCs/>
      <w:color w:val="404040" w:themeColor="text1" w:themeTint="BF"/>
    </w:rPr>
  </w:style>
  <w:style w:type="paragraph" w:styleId="ListParagraph">
    <w:name w:val="List Paragraph"/>
    <w:basedOn w:val="Normal"/>
    <w:uiPriority w:val="34"/>
    <w:qFormat/>
    <w:rsid w:val="008B6829"/>
    <w:pPr>
      <w:ind w:left="720"/>
      <w:contextualSpacing/>
    </w:pPr>
  </w:style>
  <w:style w:type="character" w:styleId="IntenseEmphasis">
    <w:name w:val="Intense Emphasis"/>
    <w:basedOn w:val="DefaultParagraphFont"/>
    <w:uiPriority w:val="21"/>
    <w:qFormat/>
    <w:rsid w:val="008B6829"/>
    <w:rPr>
      <w:i/>
      <w:iCs/>
      <w:color w:val="2F5496" w:themeColor="accent1" w:themeShade="BF"/>
    </w:rPr>
  </w:style>
  <w:style w:type="paragraph" w:styleId="IntenseQuote">
    <w:name w:val="Intense Quote"/>
    <w:basedOn w:val="Normal"/>
    <w:next w:val="Normal"/>
    <w:link w:val="IntenseQuoteChar"/>
    <w:uiPriority w:val="30"/>
    <w:qFormat/>
    <w:rsid w:val="008B68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6829"/>
    <w:rPr>
      <w:i/>
      <w:iCs/>
      <w:color w:val="2F5496" w:themeColor="accent1" w:themeShade="BF"/>
    </w:rPr>
  </w:style>
  <w:style w:type="character" w:styleId="IntenseReference">
    <w:name w:val="Intense Reference"/>
    <w:basedOn w:val="DefaultParagraphFont"/>
    <w:uiPriority w:val="32"/>
    <w:qFormat/>
    <w:rsid w:val="008B68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9573</Words>
  <Characters>52656</Characters>
  <Application>Microsoft Office Word</Application>
  <DocSecurity>0</DocSecurity>
  <Lines>438</Lines>
  <Paragraphs>124</Paragraphs>
  <ScaleCrop>false</ScaleCrop>
  <Company/>
  <LinksUpToDate>false</LinksUpToDate>
  <CharactersWithSpaces>62105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 Garcìa Alcalà</dc:creator>
  <cp:keywords/>
  <dc:description/>
  <cp:lastModifiedBy>F. Garcìa Alcalà</cp:lastModifiedBy>
  <cp:revision>1</cp:revision>
  <dcterms:created xsi:type="dcterms:W3CDTF">2026-04-28T22:45:00Z</dcterms:created>
  <dcterms:modified xsi:type="dcterms:W3CDTF">2026-04-28T22:45:00Z</dcterms:modified>
</cp:coreProperties>
</file>