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EAB7D" w14:textId="77777777" w:rsidR="00362780" w:rsidRPr="006C46E2" w:rsidRDefault="00362780" w:rsidP="00362780">
      <w:pPr>
        <w:spacing w:line="360" w:lineRule="auto"/>
        <w:jc w:val="both"/>
        <w:rPr>
          <w:rFonts w:ascii="Times New Roman" w:hAnsi="Times New Roman" w:cs="Times New Roman"/>
        </w:rPr>
      </w:pPr>
      <w:r>
        <w:rPr>
          <w:rFonts w:ascii="Times New Roman" w:hAnsi="Times New Roman" w:cs="Times New Roman"/>
        </w:rPr>
        <w:t>Capítulo 3: La doctrina del derecho y la libertad exterior desde A. Ripstein</w:t>
      </w:r>
    </w:p>
    <w:p w14:paraId="5CB58B43" w14:textId="77777777" w:rsidR="00362780" w:rsidRDefault="00362780" w:rsidP="00362780">
      <w:pPr>
        <w:spacing w:line="360" w:lineRule="auto"/>
        <w:jc w:val="both"/>
        <w:rPr>
          <w:rFonts w:ascii="Times New Roman" w:hAnsi="Times New Roman" w:cs="Times New Roman"/>
          <w:lang w:val="es-MX"/>
        </w:rPr>
      </w:pPr>
    </w:p>
    <w:p w14:paraId="3BAC73AA" w14:textId="560747EF" w:rsidR="00362780" w:rsidRDefault="00362780"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Una revisión bastante completa y aguda de la doctrina del derecho de Kant se puede encontrar en el libro de A. Ripstein titulado </w:t>
      </w:r>
      <w:r>
        <w:rPr>
          <w:rFonts w:ascii="Times New Roman" w:hAnsi="Times New Roman" w:cs="Times New Roman"/>
          <w:i/>
          <w:iCs/>
          <w:lang w:val="es-MX"/>
        </w:rPr>
        <w:t xml:space="preserve">Force and Freedom: </w:t>
      </w:r>
      <w:proofErr w:type="spellStart"/>
      <w:r>
        <w:rPr>
          <w:rFonts w:ascii="Times New Roman" w:hAnsi="Times New Roman" w:cs="Times New Roman"/>
          <w:i/>
          <w:iCs/>
          <w:lang w:val="es-MX"/>
        </w:rPr>
        <w:t>Kant’s</w:t>
      </w:r>
      <w:proofErr w:type="spellEnd"/>
      <w:r>
        <w:rPr>
          <w:rFonts w:ascii="Times New Roman" w:hAnsi="Times New Roman" w:cs="Times New Roman"/>
          <w:i/>
          <w:iCs/>
          <w:lang w:val="es-MX"/>
        </w:rPr>
        <w:t xml:space="preserve"> legal and </w:t>
      </w:r>
      <w:proofErr w:type="spellStart"/>
      <w:r>
        <w:rPr>
          <w:rFonts w:ascii="Times New Roman" w:hAnsi="Times New Roman" w:cs="Times New Roman"/>
          <w:i/>
          <w:iCs/>
          <w:lang w:val="es-MX"/>
        </w:rPr>
        <w:t>political</w:t>
      </w:r>
      <w:proofErr w:type="spellEnd"/>
      <w:r>
        <w:rPr>
          <w:rFonts w:ascii="Times New Roman" w:hAnsi="Times New Roman" w:cs="Times New Roman"/>
          <w:i/>
          <w:iCs/>
          <w:lang w:val="es-MX"/>
        </w:rPr>
        <w:t xml:space="preserve"> </w:t>
      </w:r>
      <w:proofErr w:type="spellStart"/>
      <w:r>
        <w:rPr>
          <w:rFonts w:ascii="Times New Roman" w:hAnsi="Times New Roman" w:cs="Times New Roman"/>
          <w:i/>
          <w:iCs/>
          <w:lang w:val="es-MX"/>
        </w:rPr>
        <w:t>philosophy</w:t>
      </w:r>
      <w:proofErr w:type="spellEnd"/>
      <w:r>
        <w:rPr>
          <w:rFonts w:ascii="Times New Roman" w:hAnsi="Times New Roman" w:cs="Times New Roman"/>
          <w:i/>
          <w:iCs/>
          <w:lang w:val="es-MX"/>
        </w:rPr>
        <w:t xml:space="preserve"> </w:t>
      </w:r>
      <w:r w:rsidRPr="00524EB8">
        <w:rPr>
          <w:rFonts w:ascii="Times New Roman" w:hAnsi="Times New Roman" w:cs="Times New Roman"/>
          <w:lang w:val="es-MX"/>
        </w:rPr>
        <w:t>(</w:t>
      </w:r>
      <w:r>
        <w:rPr>
          <w:rFonts w:ascii="Times New Roman" w:hAnsi="Times New Roman" w:cs="Times New Roman"/>
          <w:lang w:val="es-MX"/>
        </w:rPr>
        <w:t>2009</w:t>
      </w:r>
      <w:r w:rsidRPr="00524EB8">
        <w:rPr>
          <w:rFonts w:ascii="Times New Roman" w:hAnsi="Times New Roman" w:cs="Times New Roman"/>
          <w:lang w:val="es-MX"/>
        </w:rPr>
        <w:t>)</w:t>
      </w:r>
      <w:r>
        <w:rPr>
          <w:rFonts w:ascii="Times New Roman" w:hAnsi="Times New Roman" w:cs="Times New Roman"/>
          <w:lang w:val="es-MX"/>
        </w:rPr>
        <w:t>, en donde se ofrece una visión sistemática y organizada de los principios y contenidos principales del pensamiento político</w:t>
      </w:r>
      <w:r w:rsidR="008322A8">
        <w:rPr>
          <w:rFonts w:ascii="Times New Roman" w:hAnsi="Times New Roman" w:cs="Times New Roman"/>
          <w:lang w:val="es-MX"/>
        </w:rPr>
        <w:t xml:space="preserve"> y jurídico</w:t>
      </w:r>
      <w:r>
        <w:rPr>
          <w:rFonts w:ascii="Times New Roman" w:hAnsi="Times New Roman" w:cs="Times New Roman"/>
          <w:lang w:val="es-MX"/>
        </w:rPr>
        <w:t xml:space="preserve"> de Kant.</w:t>
      </w:r>
    </w:p>
    <w:p w14:paraId="61DE10EE" w14:textId="3D1E74B2" w:rsidR="00362780" w:rsidRDefault="00362780"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Es importante tener en cuenta que A. Ripstein subscribe la idea de K. Flikschuh, cuando ella refiere la relevancia de la dimensión metafísica en el pensamiento político de Kant. De esta forma, se resalta la fuerza normativa que representa la idea de libertad externa en virtud de estar relacionada a las ideas </w:t>
      </w:r>
      <w:r w:rsidR="008322A8">
        <w:rPr>
          <w:rFonts w:ascii="Times New Roman" w:hAnsi="Times New Roman" w:cs="Times New Roman"/>
          <w:lang w:val="es-MX"/>
        </w:rPr>
        <w:t xml:space="preserve">de </w:t>
      </w:r>
      <w:r>
        <w:rPr>
          <w:rFonts w:ascii="Times New Roman" w:hAnsi="Times New Roman" w:cs="Times New Roman"/>
          <w:lang w:val="es-MX"/>
        </w:rPr>
        <w:t>soberanía, de una condición innata, de equidad y finalmente, relacionada al concepto de la fuerza</w:t>
      </w:r>
      <w:r w:rsidR="008322A8">
        <w:rPr>
          <w:rFonts w:ascii="Times New Roman" w:hAnsi="Times New Roman" w:cs="Times New Roman"/>
          <w:lang w:val="es-MX"/>
        </w:rPr>
        <w:t xml:space="preserve"> en un uso legítimo</w:t>
      </w:r>
      <w:r>
        <w:rPr>
          <w:rFonts w:ascii="Times New Roman" w:hAnsi="Times New Roman" w:cs="Times New Roman"/>
          <w:lang w:val="es-MX"/>
        </w:rPr>
        <w:t xml:space="preserve">. </w:t>
      </w:r>
    </w:p>
    <w:p w14:paraId="26FC40B9" w14:textId="77777777" w:rsidR="008322A8" w:rsidRDefault="00362780" w:rsidP="00362780">
      <w:pPr>
        <w:spacing w:line="360" w:lineRule="auto"/>
        <w:jc w:val="both"/>
        <w:rPr>
          <w:rFonts w:ascii="Times New Roman" w:hAnsi="Times New Roman" w:cs="Times New Roman"/>
          <w:lang w:val="es-MX"/>
        </w:rPr>
      </w:pPr>
      <w:r>
        <w:rPr>
          <w:rFonts w:ascii="Times New Roman" w:hAnsi="Times New Roman" w:cs="Times New Roman"/>
          <w:lang w:val="es-MX"/>
        </w:rPr>
        <w:t>Se puede interpretar, en el primer sentido, la idea de libertad externa en cuanto soberanía, por cuanto Ripstein habrá de hacer constante énfasis en la idea del derecho como un sistema de principios que posibilita pensar en la persona como señor, o dueño, de sí mismo.</w:t>
      </w:r>
      <w:r w:rsidR="008322A8">
        <w:rPr>
          <w:rFonts w:ascii="Times New Roman" w:hAnsi="Times New Roman" w:cs="Times New Roman"/>
          <w:lang w:val="es-MX"/>
        </w:rPr>
        <w:t xml:space="preserve"> </w:t>
      </w:r>
    </w:p>
    <w:p w14:paraId="6A86081B" w14:textId="671DFB39" w:rsidR="00362780" w:rsidRDefault="008322A8" w:rsidP="00362780">
      <w:pPr>
        <w:spacing w:line="360" w:lineRule="auto"/>
        <w:jc w:val="both"/>
        <w:rPr>
          <w:rFonts w:ascii="Times New Roman" w:hAnsi="Times New Roman" w:cs="Times New Roman"/>
          <w:lang w:val="es-MX"/>
        </w:rPr>
      </w:pPr>
      <w:r>
        <w:rPr>
          <w:rFonts w:ascii="Times New Roman" w:hAnsi="Times New Roman" w:cs="Times New Roman"/>
          <w:lang w:val="es-MX"/>
        </w:rPr>
        <w:t>Este tipo de independencia soberana se funda en un tipo de libertad que prexiste en el estado natural, y que se busca preservar</w:t>
      </w:r>
      <w:r w:rsidR="00115159">
        <w:rPr>
          <w:rFonts w:ascii="Times New Roman" w:hAnsi="Times New Roman" w:cs="Times New Roman"/>
          <w:lang w:val="es-MX"/>
        </w:rPr>
        <w:t xml:space="preserve"> de forma modificada</w:t>
      </w:r>
      <w:r>
        <w:rPr>
          <w:rFonts w:ascii="Times New Roman" w:hAnsi="Times New Roman" w:cs="Times New Roman"/>
          <w:lang w:val="es-MX"/>
        </w:rPr>
        <w:t xml:space="preserve"> en el estado civil. En esta misma línea, e</w:t>
      </w:r>
      <w:r w:rsidR="00362780">
        <w:rPr>
          <w:rFonts w:ascii="Times New Roman" w:hAnsi="Times New Roman" w:cs="Times New Roman"/>
          <w:lang w:val="es-MX"/>
        </w:rPr>
        <w:t>n un segundo sentido, se puede pensar la libertad externa en cuanto se deriva de un derecho básico e innato de la humanidad que se posee antes de la condición jurídica misma como tal.</w:t>
      </w:r>
      <w:r>
        <w:rPr>
          <w:rFonts w:ascii="Times New Roman" w:hAnsi="Times New Roman" w:cs="Times New Roman"/>
          <w:lang w:val="es-MX"/>
        </w:rPr>
        <w:t xml:space="preserve"> </w:t>
      </w:r>
    </w:p>
    <w:p w14:paraId="32F1DE6F" w14:textId="2F22B05C" w:rsidR="00362780" w:rsidRDefault="00362780" w:rsidP="00362780">
      <w:pPr>
        <w:spacing w:line="360" w:lineRule="auto"/>
        <w:jc w:val="both"/>
        <w:rPr>
          <w:rFonts w:ascii="Times New Roman" w:hAnsi="Times New Roman" w:cs="Times New Roman"/>
          <w:lang w:val="es-MX"/>
        </w:rPr>
      </w:pPr>
      <w:r>
        <w:rPr>
          <w:rFonts w:ascii="Times New Roman" w:hAnsi="Times New Roman" w:cs="Times New Roman"/>
          <w:lang w:val="es-MX"/>
        </w:rPr>
        <w:t>En un posible tercer sentido, la libertad externa se piensa como bajo el marco de una condición de equidad, en donde todos, estando bajo la coacción de la ley pública, se encuentran en reciprocidad de los límites de sus actos.</w:t>
      </w:r>
      <w:r w:rsidR="00C86FC1">
        <w:rPr>
          <w:rFonts w:ascii="Times New Roman" w:hAnsi="Times New Roman" w:cs="Times New Roman"/>
          <w:lang w:val="es-MX"/>
        </w:rPr>
        <w:t xml:space="preserve"> La condición de equidad respecto de la</w:t>
      </w:r>
      <w:r w:rsidR="00E977A8">
        <w:rPr>
          <w:rFonts w:ascii="Times New Roman" w:hAnsi="Times New Roman" w:cs="Times New Roman"/>
          <w:lang w:val="es-MX"/>
        </w:rPr>
        <w:t xml:space="preserve"> libertad y las</w:t>
      </w:r>
      <w:r w:rsidR="00C86FC1">
        <w:rPr>
          <w:rFonts w:ascii="Times New Roman" w:hAnsi="Times New Roman" w:cs="Times New Roman"/>
          <w:lang w:val="es-MX"/>
        </w:rPr>
        <w:t xml:space="preserve"> leyes se amplía a la igualdad de oportunidades</w:t>
      </w:r>
      <w:r w:rsidR="00E977A8">
        <w:rPr>
          <w:rFonts w:ascii="Times New Roman" w:hAnsi="Times New Roman" w:cs="Times New Roman"/>
          <w:lang w:val="es-MX"/>
        </w:rPr>
        <w:t>. Sumado a ello,</w:t>
      </w:r>
      <w:r w:rsidR="00C86FC1">
        <w:rPr>
          <w:rFonts w:ascii="Times New Roman" w:hAnsi="Times New Roman" w:cs="Times New Roman"/>
          <w:lang w:val="es-MX"/>
        </w:rPr>
        <w:t xml:space="preserve"> y desde el contexto</w:t>
      </w:r>
      <w:r w:rsidR="00E977A8">
        <w:rPr>
          <w:rFonts w:ascii="Times New Roman" w:hAnsi="Times New Roman" w:cs="Times New Roman"/>
          <w:lang w:val="es-MX"/>
        </w:rPr>
        <w:t xml:space="preserve"> de Kant, supone </w:t>
      </w:r>
      <w:r w:rsidR="00C86FC1">
        <w:rPr>
          <w:rFonts w:ascii="Times New Roman" w:hAnsi="Times New Roman" w:cs="Times New Roman"/>
          <w:lang w:val="es-MX"/>
        </w:rPr>
        <w:t>una crítica a la nobleza y a los cargos hereditarios.</w:t>
      </w:r>
    </w:p>
    <w:p w14:paraId="03EF0E03" w14:textId="474E6A00" w:rsidR="00362780" w:rsidRDefault="00362780"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De </w:t>
      </w:r>
      <w:r w:rsidR="00C86FC1">
        <w:rPr>
          <w:rFonts w:ascii="Times New Roman" w:hAnsi="Times New Roman" w:cs="Times New Roman"/>
          <w:lang w:val="es-MX"/>
        </w:rPr>
        <w:t xml:space="preserve">la libertad entendida como </w:t>
      </w:r>
      <w:r w:rsidR="00115159">
        <w:rPr>
          <w:rFonts w:ascii="Times New Roman" w:hAnsi="Times New Roman" w:cs="Times New Roman"/>
          <w:lang w:val="es-MX"/>
        </w:rPr>
        <w:t xml:space="preserve">inscrita </w:t>
      </w:r>
      <w:r w:rsidR="00C86FC1">
        <w:rPr>
          <w:rFonts w:ascii="Times New Roman" w:hAnsi="Times New Roman" w:cs="Times New Roman"/>
          <w:lang w:val="es-MX"/>
        </w:rPr>
        <w:t xml:space="preserve">en un marco de relaciones con límites recíprocos, </w:t>
      </w:r>
      <w:r>
        <w:rPr>
          <w:rFonts w:ascii="Times New Roman" w:hAnsi="Times New Roman" w:cs="Times New Roman"/>
          <w:lang w:val="es-MX"/>
        </w:rPr>
        <w:t>se desprende un posible cuarto sentido de interpretar a la libertad externa</w:t>
      </w:r>
      <w:r w:rsidR="00115159">
        <w:rPr>
          <w:rFonts w:ascii="Times New Roman" w:hAnsi="Times New Roman" w:cs="Times New Roman"/>
          <w:lang w:val="es-MX"/>
        </w:rPr>
        <w:t xml:space="preserve"> en</w:t>
      </w:r>
      <w:r>
        <w:rPr>
          <w:rFonts w:ascii="Times New Roman" w:hAnsi="Times New Roman" w:cs="Times New Roman"/>
          <w:lang w:val="es-MX"/>
        </w:rPr>
        <w:t xml:space="preserve"> cuanto representa el uso de la fuerza por parte del estado para poder ejercer la coacción civil a la libertad jurídica, de forma que se posibilite la libertad de todos los demás.</w:t>
      </w:r>
      <w:r w:rsidR="00115159">
        <w:rPr>
          <w:rFonts w:ascii="Times New Roman" w:hAnsi="Times New Roman" w:cs="Times New Roman"/>
          <w:lang w:val="es-MX"/>
        </w:rPr>
        <w:t xml:space="preserve"> Este sería un uso legítimo que se distingue del uso de la fuerza en un estado natural, o el uso de la fuerza en una tiranía o despotismo. </w:t>
      </w:r>
    </w:p>
    <w:p w14:paraId="04F939B9" w14:textId="77777777" w:rsidR="00362780" w:rsidRDefault="00362780" w:rsidP="00362780">
      <w:pPr>
        <w:spacing w:line="360" w:lineRule="auto"/>
        <w:jc w:val="both"/>
        <w:rPr>
          <w:rFonts w:ascii="Times New Roman" w:hAnsi="Times New Roman" w:cs="Times New Roman"/>
          <w:lang w:val="es-MX"/>
        </w:rPr>
      </w:pPr>
      <w:r>
        <w:rPr>
          <w:rFonts w:ascii="Times New Roman" w:hAnsi="Times New Roman" w:cs="Times New Roman"/>
          <w:lang w:val="es-MX"/>
        </w:rPr>
        <w:lastRenderedPageBreak/>
        <w:t xml:space="preserve">El tránsito de estas posibles dimensiones de la libertad externa, pasan por la revisión ordenada de la doctrina del derecho de Kant. Ripstein comienza por establecer el sentido de la libertad en cuanto derecho innato, y prosigue a definir el marco del derecho privado. Luego de analizar tres defectos del estado natural, propondrá las bases de lo que corresponde al derecho público, enfocándose en el sentido del uso de la fuerza, en virtud de su función asociada a la idea de libertad. Del mismo modo que Flikschuh, Ripstein también habrá de notar la implicancia de la idea de lo cosmopolita desde los fundamentos mismos de la doctrina del derecho de Kant. </w:t>
      </w:r>
    </w:p>
    <w:p w14:paraId="68281D43" w14:textId="77777777" w:rsidR="00362780" w:rsidRDefault="00362780"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Ripstein plantea que la libertad se convierte en un principio rector del derecho, ya que éste se plantea normativamente como una idea de la razón práctica con la finalidad de garantizar una libertad exterior o recíproca. En este sentido, se demarca la autonomía del derecho frente a la moral, ya que no depende de virtudes internas, sino de reglas para la conducta externa y que pueden ser coercibles por el horizonte civil, de acuerdo a una voluntad unificada. </w:t>
      </w:r>
    </w:p>
    <w:p w14:paraId="65F76FE0" w14:textId="066D1D98" w:rsidR="00362780" w:rsidRDefault="00362780"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En este sentido, el estado y su legitimidad se fundamentan </w:t>
      </w:r>
      <w:r w:rsidR="00115159">
        <w:rPr>
          <w:rFonts w:ascii="Times New Roman" w:hAnsi="Times New Roman" w:cs="Times New Roman"/>
          <w:lang w:val="es-MX"/>
        </w:rPr>
        <w:t xml:space="preserve">en parte por </w:t>
      </w:r>
      <w:r>
        <w:rPr>
          <w:rFonts w:ascii="Times New Roman" w:hAnsi="Times New Roman" w:cs="Times New Roman"/>
          <w:lang w:val="es-MX"/>
        </w:rPr>
        <w:t xml:space="preserve">la exhortación de salir del estado de naturaleza para poder asegurar los derechos que permitan una libertad recíproca de la que se derivan tanto la propiedad privada, como la idea de contrato y a la condición civil como tal. Un estado civil, de esta forma, garantiza los derechos innatos sublimados en el derecho privado, público y cosmopolita mediante instituciones jurídicas que representan la materialización de principios normativos orientados por las ideas de libertad y justicia. </w:t>
      </w:r>
    </w:p>
    <w:p w14:paraId="608BCABA" w14:textId="52A5E067" w:rsidR="00362780" w:rsidRDefault="00362780"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Por lo dicho, </w:t>
      </w:r>
      <w:r w:rsidR="00115159">
        <w:rPr>
          <w:rFonts w:ascii="Times New Roman" w:hAnsi="Times New Roman" w:cs="Times New Roman"/>
          <w:lang w:val="es-MX"/>
        </w:rPr>
        <w:t xml:space="preserve">se puede decir que </w:t>
      </w:r>
      <w:r>
        <w:rPr>
          <w:rFonts w:ascii="Times New Roman" w:hAnsi="Times New Roman" w:cs="Times New Roman"/>
          <w:lang w:val="es-MX"/>
        </w:rPr>
        <w:t>Ripstein</w:t>
      </w:r>
      <w:r w:rsidR="00115159">
        <w:rPr>
          <w:rFonts w:ascii="Times New Roman" w:hAnsi="Times New Roman" w:cs="Times New Roman"/>
          <w:lang w:val="es-MX"/>
        </w:rPr>
        <w:t xml:space="preserve"> asocia una serie de dimensiones de la libertad externa a distintos ámbitos del pensamiento de Kant. Como se ha enumerado, esto puede </w:t>
      </w:r>
      <w:r w:rsidR="005138EF">
        <w:rPr>
          <w:rFonts w:ascii="Times New Roman" w:hAnsi="Times New Roman" w:cs="Times New Roman"/>
          <w:lang w:val="es-MX"/>
        </w:rPr>
        <w:t xml:space="preserve">ilustrarse con las ideas de independencia en cuanto soberanía para ser señor de uno mismo, la equidad de las leyes y las oportunidades, el uso de la fuerza legítimo y la cualidad innata de la libertad que termina convirtiéndose, en el contexto de una sociedad civil, en la libertad externa o jurídica. </w:t>
      </w:r>
    </w:p>
    <w:p w14:paraId="4C5BA0A4" w14:textId="77777777" w:rsidR="00B159D5" w:rsidRDefault="00B159D5" w:rsidP="00362780">
      <w:pPr>
        <w:spacing w:line="360" w:lineRule="auto"/>
        <w:jc w:val="both"/>
        <w:rPr>
          <w:rFonts w:ascii="Times New Roman" w:hAnsi="Times New Roman" w:cs="Times New Roman"/>
          <w:lang w:val="es-MX"/>
        </w:rPr>
      </w:pPr>
    </w:p>
    <w:p w14:paraId="54EBCF50" w14:textId="24FE56FB" w:rsidR="00B159D5" w:rsidRPr="00B159D5" w:rsidRDefault="00B159D5" w:rsidP="00362780">
      <w:pPr>
        <w:spacing w:line="360" w:lineRule="auto"/>
        <w:jc w:val="both"/>
        <w:rPr>
          <w:rFonts w:ascii="Times New Roman" w:hAnsi="Times New Roman" w:cs="Times New Roman"/>
          <w:color w:val="EE0000"/>
          <w:lang w:val="es-MX"/>
        </w:rPr>
      </w:pPr>
      <w:r w:rsidRPr="00B159D5">
        <w:rPr>
          <w:rFonts w:ascii="Times New Roman" w:hAnsi="Times New Roman" w:cs="Times New Roman"/>
          <w:color w:val="EE0000"/>
          <w:lang w:val="es-MX"/>
        </w:rPr>
        <w:t xml:space="preserve">En este capítulo buscaremos presentar un panorama del libro de Ripstein, para poder extraer las nociones mencionadas que componen el concepto de libertad externa. </w:t>
      </w:r>
    </w:p>
    <w:p w14:paraId="42146F4B" w14:textId="33EF8A0C" w:rsidR="00B159D5" w:rsidRDefault="00B159D5" w:rsidP="00362780">
      <w:pPr>
        <w:spacing w:line="360" w:lineRule="auto"/>
        <w:jc w:val="both"/>
        <w:rPr>
          <w:rFonts w:ascii="Times New Roman" w:hAnsi="Times New Roman" w:cs="Times New Roman"/>
          <w:lang w:val="es-MX"/>
        </w:rPr>
      </w:pPr>
      <w:r>
        <w:rPr>
          <w:rFonts w:ascii="Times New Roman" w:hAnsi="Times New Roman" w:cs="Times New Roman"/>
          <w:lang w:val="es-MX"/>
        </w:rPr>
        <w:lastRenderedPageBreak/>
        <w:t>El primer capítulo nos presenta un panorama de los contenidos del libro</w:t>
      </w:r>
      <w:r w:rsidR="009A0879">
        <w:rPr>
          <w:rFonts w:ascii="Times New Roman" w:hAnsi="Times New Roman" w:cs="Times New Roman"/>
          <w:lang w:val="es-MX"/>
        </w:rPr>
        <w:t xml:space="preserve">. Ripstein contrasta lo expresado por Kant con la propuesta que nace de la interpretación y adaptación de J. Rawls del pensamiento kantiano. En este sentido, refiere Ripstein que: “Las respuestas kantianas sobre preguntas acerca de los beneficios y las cargas no son las mismas que las respuestas kantianas respecto de las propias preguntas de Kant. El foco de este libro es defender las respuestas kantianas, pero al hacerlo, proveeré una defensa indirecta de sus preguntas, y por lo tanto de las presuposiciones de esas preguntas.” (2009; p.4) </w:t>
      </w:r>
    </w:p>
    <w:p w14:paraId="3688DE2B" w14:textId="0157EB48" w:rsidR="00B159D5" w:rsidRDefault="00B159D5" w:rsidP="00362780">
      <w:pPr>
        <w:spacing w:line="360" w:lineRule="auto"/>
        <w:jc w:val="both"/>
        <w:rPr>
          <w:rFonts w:ascii="Times New Roman" w:hAnsi="Times New Roman" w:cs="Times New Roman"/>
          <w:lang w:val="es-MX"/>
        </w:rPr>
      </w:pPr>
      <w:r>
        <w:rPr>
          <w:rFonts w:ascii="Times New Roman" w:hAnsi="Times New Roman" w:cs="Times New Roman"/>
          <w:lang w:val="es-MX"/>
        </w:rPr>
        <w:t>Aquí, el autor presentará una idea fundamental referida al derecho kantiano como fundado en la idea</w:t>
      </w:r>
      <w:r w:rsidR="009A0879">
        <w:rPr>
          <w:rFonts w:ascii="Times New Roman" w:hAnsi="Times New Roman" w:cs="Times New Roman"/>
          <w:lang w:val="es-MX"/>
        </w:rPr>
        <w:t xml:space="preserve"> normativa</w:t>
      </w:r>
      <w:r>
        <w:rPr>
          <w:rFonts w:ascii="Times New Roman" w:hAnsi="Times New Roman" w:cs="Times New Roman"/>
          <w:lang w:val="es-MX"/>
        </w:rPr>
        <w:t xml:space="preserve"> de la libertad externa bajo leyes universales. </w:t>
      </w:r>
      <w:r w:rsidR="009A0879">
        <w:rPr>
          <w:rFonts w:ascii="Times New Roman" w:hAnsi="Times New Roman" w:cs="Times New Roman"/>
          <w:lang w:val="es-MX"/>
        </w:rPr>
        <w:t>Ripstein señala que: “La presentación de Kant de sus argumentos, sus fundamentos para rechazar puntos de partida empíricos y antropológicos en la filosofía política descansan en la simple pero atractiva idea normativa que, en cuanto materia de derecho, cada persona tiene el derecho a ser su propi</w:t>
      </w:r>
      <w:r w:rsidR="00CB7EFA">
        <w:rPr>
          <w:rFonts w:ascii="Times New Roman" w:hAnsi="Times New Roman" w:cs="Times New Roman"/>
          <w:lang w:val="es-MX"/>
        </w:rPr>
        <w:t>a</w:t>
      </w:r>
      <w:r w:rsidR="009A0879">
        <w:rPr>
          <w:rFonts w:ascii="Times New Roman" w:hAnsi="Times New Roman" w:cs="Times New Roman"/>
          <w:lang w:val="es-MX"/>
        </w:rPr>
        <w:t xml:space="preserve"> maestra, no en relación de gozar de una forma especial de relación consigo misma, sino en el sentido contrastante de no verse subordinado a la elección de ninguna otra persona particular.” </w:t>
      </w:r>
      <w:r w:rsidR="009A0879">
        <w:rPr>
          <w:rFonts w:ascii="Times New Roman" w:hAnsi="Times New Roman" w:cs="Times New Roman"/>
          <w:lang w:val="es-MX"/>
        </w:rPr>
        <w:t>(2009; p.4)</w:t>
      </w:r>
      <w:r w:rsidR="00CB7EFA">
        <w:rPr>
          <w:rFonts w:ascii="Times New Roman" w:hAnsi="Times New Roman" w:cs="Times New Roman"/>
          <w:lang w:val="es-MX"/>
        </w:rPr>
        <w:t xml:space="preserve"> Esta idea normativa mencionada corresponde a la noción de libertad externa. </w:t>
      </w:r>
    </w:p>
    <w:p w14:paraId="4FF8E88D" w14:textId="6BF80B8E" w:rsidR="00CB7EFA" w:rsidRDefault="00CB7EFA"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Ripstein agrega cómo los temas recurrentes de la filosofía política toman forma a partir de este concepto: “Este punto de partida es explícito en Kant, y además anima muchas de las preguntas familiares de la filosofía política. La naturaleza y justificación de la autoridad, la autorización para ejercer coerción, la significancia del desacuerdo, la obediencia política, la democracia y el estado de derecho, todo ellos, presumiblemente adquieren su propio interés en contraste con alguna versión de la asunción de que cada persona tiene derecho a ser su propia maestra.” </w:t>
      </w:r>
      <w:r>
        <w:rPr>
          <w:rFonts w:ascii="Times New Roman" w:hAnsi="Times New Roman" w:cs="Times New Roman"/>
          <w:lang w:val="es-MX"/>
        </w:rPr>
        <w:t>(2009; p.4)</w:t>
      </w:r>
    </w:p>
    <w:p w14:paraId="232A7A2F" w14:textId="07BA33F9" w:rsidR="00A12D90" w:rsidRDefault="00A12D90"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“La explicación completa de Kant sobre lo que es para cada persona ser su propia maestra, en lugar de ser el sirviente de otro, es lo que habrá de ocupar la mayor parte de este libro.” </w:t>
      </w:r>
      <w:r>
        <w:rPr>
          <w:rFonts w:ascii="Times New Roman" w:hAnsi="Times New Roman" w:cs="Times New Roman"/>
          <w:lang w:val="es-MX"/>
        </w:rPr>
        <w:t>(2009; p.</w:t>
      </w:r>
      <w:r>
        <w:rPr>
          <w:rFonts w:ascii="Times New Roman" w:hAnsi="Times New Roman" w:cs="Times New Roman"/>
          <w:lang w:val="es-MX"/>
        </w:rPr>
        <w:t>5</w:t>
      </w:r>
      <w:r>
        <w:rPr>
          <w:rFonts w:ascii="Times New Roman" w:hAnsi="Times New Roman" w:cs="Times New Roman"/>
          <w:lang w:val="es-MX"/>
        </w:rPr>
        <w:t>)</w:t>
      </w:r>
    </w:p>
    <w:p w14:paraId="4DD3F1FC" w14:textId="6F96C297" w:rsidR="007E0F43" w:rsidRDefault="00487B21" w:rsidP="00362780">
      <w:pPr>
        <w:spacing w:line="360" w:lineRule="auto"/>
        <w:jc w:val="both"/>
        <w:rPr>
          <w:rFonts w:ascii="Times New Roman" w:hAnsi="Times New Roman" w:cs="Times New Roman"/>
          <w:lang w:val="es-MX"/>
        </w:rPr>
      </w:pPr>
      <w:r>
        <w:rPr>
          <w:rFonts w:ascii="Times New Roman" w:hAnsi="Times New Roman" w:cs="Times New Roman"/>
          <w:lang w:val="es-MX"/>
        </w:rPr>
        <w:t>“Tu derecho para ser tu propio maestro trae consigo que ninguna otra persona tiene el derecho para decidir por ti acerca de los beneficios que habrás de recibir de algún acuerdo (…) Solo tu tienes el derecho de decidir si es que un beneficio es valioso para ti en virtud de la carga que trae consigo el acuerdo.”</w:t>
      </w:r>
      <w:r w:rsidRPr="00487B21">
        <w:rPr>
          <w:rFonts w:ascii="Times New Roman" w:hAnsi="Times New Roman" w:cs="Times New Roman"/>
          <w:lang w:val="es-MX"/>
        </w:rPr>
        <w:t xml:space="preserve"> </w:t>
      </w:r>
      <w:r>
        <w:rPr>
          <w:rFonts w:ascii="Times New Roman" w:hAnsi="Times New Roman" w:cs="Times New Roman"/>
          <w:lang w:val="es-MX"/>
        </w:rPr>
        <w:t>(2009; p.5)</w:t>
      </w:r>
    </w:p>
    <w:p w14:paraId="68BB68FD" w14:textId="10E68AE1" w:rsidR="00487B21" w:rsidRDefault="005E0D66" w:rsidP="00362780">
      <w:pPr>
        <w:spacing w:line="360" w:lineRule="auto"/>
        <w:jc w:val="both"/>
        <w:rPr>
          <w:rFonts w:ascii="Times New Roman" w:hAnsi="Times New Roman" w:cs="Times New Roman"/>
          <w:lang w:val="es-MX"/>
        </w:rPr>
      </w:pPr>
      <w:r>
        <w:rPr>
          <w:rFonts w:ascii="Times New Roman" w:hAnsi="Times New Roman" w:cs="Times New Roman"/>
          <w:lang w:val="es-MX"/>
        </w:rPr>
        <w:lastRenderedPageBreak/>
        <w:t xml:space="preserve">“La autoridad de cualquier persona o mandato institucional para balancear valores en competencia debe por sí mismo ser reconciliado con el derecho de cada persona para ser su propio maestro/a.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w:t>
      </w:r>
      <w:r>
        <w:rPr>
          <w:rFonts w:ascii="Times New Roman" w:hAnsi="Times New Roman" w:cs="Times New Roman"/>
          <w:lang w:val="es-MX"/>
        </w:rPr>
        <w:t>(2009; p.5)</w:t>
      </w:r>
    </w:p>
    <w:p w14:paraId="136CCCEB" w14:textId="6C18B2F5" w:rsidR="00AC1B2D" w:rsidRDefault="00975484"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“Espero adelantarme a cualquier impresión de que todo lo que un estado legítimo hace, debe ser una aplicación directa del punto de partida de Kant en la idea de igual libertad.” </w:t>
      </w:r>
      <w:r>
        <w:rPr>
          <w:rFonts w:ascii="Times New Roman" w:hAnsi="Times New Roman" w:cs="Times New Roman"/>
          <w:lang w:val="es-MX"/>
        </w:rPr>
        <w:t>(2009; p.</w:t>
      </w:r>
      <w:r>
        <w:rPr>
          <w:rFonts w:ascii="Times New Roman" w:hAnsi="Times New Roman" w:cs="Times New Roman"/>
          <w:lang w:val="es-MX"/>
        </w:rPr>
        <w:t>6</w:t>
      </w:r>
      <w:r>
        <w:rPr>
          <w:rFonts w:ascii="Times New Roman" w:hAnsi="Times New Roman" w:cs="Times New Roman"/>
          <w:lang w:val="es-MX"/>
        </w:rPr>
        <w:t>)</w:t>
      </w:r>
    </w:p>
    <w:p w14:paraId="431F6267" w14:textId="19D1ED04" w:rsidR="00975484" w:rsidRDefault="00975484"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w:t>
      </w:r>
      <w:proofErr w:type="gramStart"/>
      <w:r>
        <w:rPr>
          <w:rFonts w:ascii="Times New Roman" w:hAnsi="Times New Roman" w:cs="Times New Roman"/>
          <w:lang w:val="es-MX"/>
        </w:rPr>
        <w:t>ilustran</w:t>
      </w:r>
      <w:proofErr w:type="gramEnd"/>
      <w:r>
        <w:rPr>
          <w:rFonts w:ascii="Times New Roman" w:hAnsi="Times New Roman" w:cs="Times New Roman"/>
          <w:lang w:val="es-MX"/>
        </w:rPr>
        <w:t xml:space="preserve"> pero no pueden probar nada), son engañosos de forma que ciertamente necesitan de una metafísica.&gt;&gt; La metafísica de la que habla no es un catálogo de afirmaciones acerca de lo que es más real; es una metafísica práctica, una articulación de los límites del reclamo de cada persona para ser su propia maestra impuesta a la conducta de los otros.” </w:t>
      </w:r>
      <w:r>
        <w:rPr>
          <w:rFonts w:ascii="Times New Roman" w:hAnsi="Times New Roman" w:cs="Times New Roman"/>
          <w:lang w:val="es-MX"/>
        </w:rPr>
        <w:t>(2009; p.</w:t>
      </w:r>
      <w:r>
        <w:rPr>
          <w:rFonts w:ascii="Times New Roman" w:hAnsi="Times New Roman" w:cs="Times New Roman"/>
          <w:lang w:val="es-MX"/>
        </w:rPr>
        <w:t>6</w:t>
      </w:r>
      <w:r>
        <w:rPr>
          <w:rFonts w:ascii="Times New Roman" w:hAnsi="Times New Roman" w:cs="Times New Roman"/>
          <w:lang w:val="es-MX"/>
        </w:rPr>
        <w:t>)</w:t>
      </w:r>
    </w:p>
    <w:p w14:paraId="7D69A982" w14:textId="74648896" w:rsidR="00975484" w:rsidRDefault="00975484"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“Kant entiende al pensamiento moral ordinario como el ejercicio de la razón práctica, y como tal, las amplias características estructurales de instituciones legales familiares, </w:t>
      </w:r>
      <w:proofErr w:type="gramStart"/>
      <w:r>
        <w:rPr>
          <w:rFonts w:ascii="Times New Roman" w:hAnsi="Times New Roman" w:cs="Times New Roman"/>
          <w:lang w:val="es-MX"/>
        </w:rPr>
        <w:t>habrán</w:t>
      </w:r>
      <w:proofErr w:type="gramEnd"/>
      <w:r>
        <w:rPr>
          <w:rFonts w:ascii="Times New Roman" w:hAnsi="Times New Roman" w:cs="Times New Roman"/>
          <w:lang w:val="es-MX"/>
        </w:rPr>
        <w:t xml:space="preserve">, poco sorprendentemente, ser entendidas en términos de la amplia estructura del pensamiento práctico.” </w:t>
      </w:r>
      <w:r>
        <w:rPr>
          <w:rFonts w:ascii="Times New Roman" w:hAnsi="Times New Roman" w:cs="Times New Roman"/>
          <w:lang w:val="es-MX"/>
        </w:rPr>
        <w:t>(2009; p.</w:t>
      </w:r>
      <w:r>
        <w:rPr>
          <w:rFonts w:ascii="Times New Roman" w:hAnsi="Times New Roman" w:cs="Times New Roman"/>
          <w:lang w:val="es-MX"/>
        </w:rPr>
        <w:t>7</w:t>
      </w:r>
      <w:r>
        <w:rPr>
          <w:rFonts w:ascii="Times New Roman" w:hAnsi="Times New Roman" w:cs="Times New Roman"/>
          <w:lang w:val="es-MX"/>
        </w:rPr>
        <w:t>)</w:t>
      </w:r>
      <w:r w:rsidR="002601FE">
        <w:rPr>
          <w:rFonts w:ascii="Times New Roman" w:hAnsi="Times New Roman" w:cs="Times New Roman"/>
          <w:lang w:val="es-MX"/>
        </w:rPr>
        <w:t xml:space="preserve"> Ripstein discute que se puede relacionar la naturaleza antropológica de los asuntos sobre la justicia y los conceptos apropiados para el pensamiento práctico con “la igualmente bien enraizada idea de que ninguna persona es maestra de otra.” </w:t>
      </w:r>
      <w:r w:rsidR="002601FE">
        <w:rPr>
          <w:rFonts w:ascii="Times New Roman" w:hAnsi="Times New Roman" w:cs="Times New Roman"/>
          <w:lang w:val="es-MX"/>
        </w:rPr>
        <w:t>(2009; p.</w:t>
      </w:r>
      <w:r w:rsidR="002601FE">
        <w:rPr>
          <w:rFonts w:ascii="Times New Roman" w:hAnsi="Times New Roman" w:cs="Times New Roman"/>
          <w:lang w:val="es-MX"/>
        </w:rPr>
        <w:t>7</w:t>
      </w:r>
      <w:r w:rsidR="002601FE">
        <w:rPr>
          <w:rFonts w:ascii="Times New Roman" w:hAnsi="Times New Roman" w:cs="Times New Roman"/>
          <w:lang w:val="es-MX"/>
        </w:rPr>
        <w:t>)</w:t>
      </w:r>
    </w:p>
    <w:p w14:paraId="22B89D98" w14:textId="627FE01A" w:rsidR="00975484" w:rsidRDefault="001A5BEA"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Ripstein refiere que Kant tiene la idea: “que cada derecho de la persona a ser su propia maestra es solo consistente con el derecho de otros si las instituciones legales públicas están vigentes.” </w:t>
      </w:r>
      <w:r>
        <w:rPr>
          <w:rFonts w:ascii="Times New Roman" w:hAnsi="Times New Roman" w:cs="Times New Roman"/>
          <w:lang w:val="es-MX"/>
        </w:rPr>
        <w:t>(2009; p.</w:t>
      </w:r>
      <w:r>
        <w:rPr>
          <w:rFonts w:ascii="Times New Roman" w:hAnsi="Times New Roman" w:cs="Times New Roman"/>
          <w:lang w:val="es-MX"/>
        </w:rPr>
        <w:t>9</w:t>
      </w:r>
      <w:r>
        <w:rPr>
          <w:rFonts w:ascii="Times New Roman" w:hAnsi="Times New Roman" w:cs="Times New Roman"/>
          <w:lang w:val="es-MX"/>
        </w:rPr>
        <w:t>)</w:t>
      </w:r>
    </w:p>
    <w:p w14:paraId="49E729AE" w14:textId="720EEA7A" w:rsidR="006A2F52" w:rsidRDefault="006A2F52"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“Ambas, instituciones y la autorización para ejercer coacción, no son meramente condiciones causales que probablemente traigan la realización del derecho a la libertad. </w:t>
      </w:r>
      <w:r>
        <w:rPr>
          <w:rFonts w:ascii="Times New Roman" w:hAnsi="Times New Roman" w:cs="Times New Roman"/>
          <w:lang w:val="es-MX"/>
        </w:rPr>
        <w:lastRenderedPageBreak/>
        <w:t xml:space="preserve">(…) En su lugar, el ejercicio consistente del derecho a la libertad por una pluralidad de personas no puede ser concebida aparte de un orden público legal.” </w:t>
      </w:r>
      <w:r>
        <w:rPr>
          <w:rFonts w:ascii="Times New Roman" w:hAnsi="Times New Roman" w:cs="Times New Roman"/>
          <w:lang w:val="es-MX"/>
        </w:rPr>
        <w:t>(2009; p.</w:t>
      </w:r>
      <w:r>
        <w:rPr>
          <w:rFonts w:ascii="Times New Roman" w:hAnsi="Times New Roman" w:cs="Times New Roman"/>
          <w:lang w:val="es-MX"/>
        </w:rPr>
        <w:t>9</w:t>
      </w:r>
      <w:r>
        <w:rPr>
          <w:rFonts w:ascii="Times New Roman" w:hAnsi="Times New Roman" w:cs="Times New Roman"/>
          <w:lang w:val="es-MX"/>
        </w:rPr>
        <w:t>)</w:t>
      </w:r>
    </w:p>
    <w:p w14:paraId="0FB4339E" w14:textId="43DB7389" w:rsidR="006F72E3" w:rsidRDefault="006F72E3"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“Esta concepción no instrumental </w:t>
      </w:r>
      <w:r>
        <w:rPr>
          <w:rFonts w:ascii="Times New Roman" w:hAnsi="Times New Roman" w:cs="Times New Roman"/>
          <w:lang w:val="es-MX"/>
        </w:rPr>
        <w:t>del derecho</w:t>
      </w:r>
      <w:r>
        <w:rPr>
          <w:rFonts w:ascii="Times New Roman" w:hAnsi="Times New Roman" w:cs="Times New Roman"/>
          <w:lang w:val="es-MX"/>
        </w:rPr>
        <w:t xml:space="preserve"> a la libertad le da a Kant su distintiva perspectiva acerca de la significancia de la coerción.” </w:t>
      </w:r>
      <w:r>
        <w:rPr>
          <w:rFonts w:ascii="Times New Roman" w:hAnsi="Times New Roman" w:cs="Times New Roman"/>
          <w:lang w:val="es-MX"/>
        </w:rPr>
        <w:t>(2009; p.9)</w:t>
      </w:r>
    </w:p>
    <w:p w14:paraId="0CC5674F" w14:textId="5AF72CA8" w:rsidR="004972C3" w:rsidRDefault="004972C3"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“La perspectiva no instrumental de Kant del sistema de iguales libertades provee una base de principios para hacer del uso legítimo de la fuerza un problema </w:t>
      </w:r>
      <w:r w:rsidR="00345B02">
        <w:rPr>
          <w:rFonts w:ascii="Times New Roman" w:hAnsi="Times New Roman" w:cs="Times New Roman"/>
          <w:lang w:val="es-MX"/>
        </w:rPr>
        <w:t>autocontenido</w:t>
      </w:r>
      <w:r>
        <w:rPr>
          <w:rFonts w:ascii="Times New Roman" w:hAnsi="Times New Roman" w:cs="Times New Roman"/>
          <w:lang w:val="es-MX"/>
        </w:rPr>
        <w:t xml:space="preserve">.” </w:t>
      </w:r>
      <w:r>
        <w:rPr>
          <w:rFonts w:ascii="Times New Roman" w:hAnsi="Times New Roman" w:cs="Times New Roman"/>
          <w:lang w:val="es-MX"/>
        </w:rPr>
        <w:t>(2009; p.</w:t>
      </w:r>
      <w:r>
        <w:rPr>
          <w:rFonts w:ascii="Times New Roman" w:hAnsi="Times New Roman" w:cs="Times New Roman"/>
          <w:lang w:val="es-MX"/>
        </w:rPr>
        <w:t>10</w:t>
      </w:r>
      <w:r>
        <w:rPr>
          <w:rFonts w:ascii="Times New Roman" w:hAnsi="Times New Roman" w:cs="Times New Roman"/>
          <w:lang w:val="es-MX"/>
        </w:rPr>
        <w:t>)</w:t>
      </w:r>
    </w:p>
    <w:p w14:paraId="62B28964" w14:textId="7149957F" w:rsidR="007F1755" w:rsidRDefault="007F1755"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“El rechazo de Kant a la concepción instrumental de reglas legales e instituciones no le compromete con la perspectiva de los principios normativos que él desarrolla sean suficientes para resolver todos los problemas del derecho. (…) Los principios del derecho que Kant presenta son altamente abstractos, y requieren del ejercicio del juicio para aplicarle a casos particulares.” </w:t>
      </w:r>
      <w:r>
        <w:rPr>
          <w:rFonts w:ascii="Times New Roman" w:hAnsi="Times New Roman" w:cs="Times New Roman"/>
          <w:lang w:val="es-MX"/>
        </w:rPr>
        <w:t>(2009; p.10)</w:t>
      </w:r>
    </w:p>
    <w:p w14:paraId="3490945D" w14:textId="719A751E" w:rsidR="00975484" w:rsidRDefault="005B5FD0"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“Kant no provee una fórmula detallada para la resolución de disputas privadas o el contenido de la legislación pública. Su argumento muestra que esos asuntos deben ser enmarcados, de forma consistente con el derecho de cada persona a ser su propia maestra, y además porqué las instituciones públicas deben establecerse para resolverlo.” </w:t>
      </w:r>
      <w:r>
        <w:rPr>
          <w:rFonts w:ascii="Times New Roman" w:hAnsi="Times New Roman" w:cs="Times New Roman"/>
          <w:lang w:val="es-MX"/>
        </w:rPr>
        <w:t>(2009; p.1</w:t>
      </w:r>
      <w:r>
        <w:rPr>
          <w:rFonts w:ascii="Times New Roman" w:hAnsi="Times New Roman" w:cs="Times New Roman"/>
          <w:lang w:val="es-MX"/>
        </w:rPr>
        <w:t>1</w:t>
      </w:r>
      <w:r>
        <w:rPr>
          <w:rFonts w:ascii="Times New Roman" w:hAnsi="Times New Roman" w:cs="Times New Roman"/>
          <w:lang w:val="es-MX"/>
        </w:rPr>
        <w:t>)</w:t>
      </w:r>
    </w:p>
    <w:p w14:paraId="32B056E2" w14:textId="50AA9456" w:rsidR="00A65F24" w:rsidRDefault="00A65F24" w:rsidP="00362780">
      <w:pPr>
        <w:spacing w:line="360" w:lineRule="auto"/>
        <w:jc w:val="both"/>
        <w:rPr>
          <w:rFonts w:ascii="Times New Roman" w:hAnsi="Times New Roman" w:cs="Times New Roman"/>
          <w:lang w:val="es-MX"/>
        </w:rPr>
      </w:pPr>
      <w:r>
        <w:rPr>
          <w:rFonts w:ascii="Times New Roman" w:hAnsi="Times New Roman" w:cs="Times New Roman"/>
          <w:lang w:val="es-MX"/>
        </w:rPr>
        <w:t>Ripstein habrá de subrayar que Kant distingue entre moral y derecho en virtud de la libertad interna y externa. Esta distinción permite establecer la autonomía del derecho con respecto de la moral, y fundamentarse de esta forma bajo una idea de relaciones externas, lo que produce</w:t>
      </w:r>
      <w:r w:rsidR="004E0AFC">
        <w:rPr>
          <w:rFonts w:ascii="Times New Roman" w:hAnsi="Times New Roman" w:cs="Times New Roman"/>
          <w:lang w:val="es-MX"/>
        </w:rPr>
        <w:t xml:space="preserve"> a las</w:t>
      </w:r>
      <w:r>
        <w:rPr>
          <w:rFonts w:ascii="Times New Roman" w:hAnsi="Times New Roman" w:cs="Times New Roman"/>
          <w:lang w:val="es-MX"/>
        </w:rPr>
        <w:t xml:space="preserve"> leyes externas.</w:t>
      </w:r>
      <w:r w:rsidR="004E0AFC">
        <w:rPr>
          <w:rFonts w:ascii="Times New Roman" w:hAnsi="Times New Roman" w:cs="Times New Roman"/>
          <w:lang w:val="es-MX"/>
        </w:rPr>
        <w:t xml:space="preserve"> Ripstein explicará, en ese sentido, porqué Kant no aplica el imperativo categórico en el marco del derecho. Refiere: “La conducta ética depende de la máxima con la cual una acción esté hecha….</w:t>
      </w:r>
      <w:r w:rsidR="00F97246">
        <w:rPr>
          <w:rFonts w:ascii="Times New Roman" w:hAnsi="Times New Roman" w:cs="Times New Roman"/>
          <w:lang w:val="es-MX"/>
        </w:rPr>
        <w:t xml:space="preserve"> </w:t>
      </w:r>
      <w:r w:rsidR="00F97246">
        <w:rPr>
          <w:rFonts w:ascii="Times New Roman" w:hAnsi="Times New Roman" w:cs="Times New Roman"/>
          <w:lang w:val="es-MX"/>
        </w:rPr>
        <w:t>(2009; p.11)</w:t>
      </w:r>
    </w:p>
    <w:p w14:paraId="0EFBEF5E" w14:textId="77777777" w:rsidR="00665A6F" w:rsidRDefault="00665A6F" w:rsidP="00362780">
      <w:pPr>
        <w:spacing w:line="360" w:lineRule="auto"/>
        <w:jc w:val="both"/>
        <w:rPr>
          <w:rFonts w:ascii="Times New Roman" w:hAnsi="Times New Roman" w:cs="Times New Roman"/>
          <w:lang w:val="es-MX"/>
        </w:rPr>
      </w:pPr>
    </w:p>
    <w:p w14:paraId="01819D1A" w14:textId="77777777" w:rsidR="00665A6F" w:rsidRDefault="00665A6F" w:rsidP="00362780">
      <w:pPr>
        <w:spacing w:line="360" w:lineRule="auto"/>
        <w:jc w:val="both"/>
        <w:rPr>
          <w:rFonts w:ascii="Times New Roman" w:hAnsi="Times New Roman" w:cs="Times New Roman"/>
          <w:lang w:val="es-MX"/>
        </w:rPr>
      </w:pPr>
    </w:p>
    <w:p w14:paraId="6BB95248" w14:textId="77777777" w:rsidR="00665A6F" w:rsidRDefault="00665A6F" w:rsidP="00362780">
      <w:pPr>
        <w:spacing w:line="360" w:lineRule="auto"/>
        <w:jc w:val="both"/>
        <w:rPr>
          <w:rFonts w:ascii="Times New Roman" w:hAnsi="Times New Roman" w:cs="Times New Roman"/>
          <w:lang w:val="es-MX"/>
        </w:rPr>
      </w:pPr>
    </w:p>
    <w:p w14:paraId="03183FA4" w14:textId="77777777" w:rsidR="004E0AFC" w:rsidRDefault="004E0AFC" w:rsidP="00362780">
      <w:pPr>
        <w:spacing w:line="360" w:lineRule="auto"/>
        <w:jc w:val="both"/>
        <w:rPr>
          <w:rFonts w:ascii="Times New Roman" w:hAnsi="Times New Roman" w:cs="Times New Roman"/>
          <w:lang w:val="es-MX"/>
        </w:rPr>
      </w:pPr>
    </w:p>
    <w:p w14:paraId="13AB9E7F" w14:textId="3DC61E1C" w:rsidR="008A416F" w:rsidRPr="008A416F" w:rsidRDefault="008A416F" w:rsidP="00362780">
      <w:pPr>
        <w:spacing w:line="360" w:lineRule="auto"/>
        <w:jc w:val="both"/>
        <w:rPr>
          <w:rFonts w:ascii="Times New Roman" w:hAnsi="Times New Roman" w:cs="Times New Roman"/>
          <w:lang w:val="en-US"/>
        </w:rPr>
      </w:pPr>
      <w:r w:rsidRPr="008A416F">
        <w:rPr>
          <w:rFonts w:ascii="Times New Roman" w:hAnsi="Times New Roman" w:cs="Times New Roman"/>
          <w:lang w:val="en-US"/>
        </w:rPr>
        <w:t xml:space="preserve">Ripstein </w:t>
      </w:r>
      <w:proofErr w:type="spellStart"/>
      <w:r w:rsidRPr="008A416F">
        <w:rPr>
          <w:rFonts w:ascii="Times New Roman" w:hAnsi="Times New Roman" w:cs="Times New Roman"/>
          <w:lang w:val="en-US"/>
        </w:rPr>
        <w:t>concluye</w:t>
      </w:r>
      <w:proofErr w:type="spellEnd"/>
      <w:r w:rsidRPr="008A416F">
        <w:rPr>
          <w:rFonts w:ascii="Times New Roman" w:hAnsi="Times New Roman" w:cs="Times New Roman"/>
          <w:lang w:val="en-US"/>
        </w:rPr>
        <w:t>: “</w:t>
      </w:r>
      <w:r w:rsidRPr="008A416F">
        <w:rPr>
          <w:rFonts w:ascii="Times New Roman" w:hAnsi="Times New Roman" w:cs="Times New Roman"/>
          <w:lang w:val="en-US"/>
        </w:rPr>
        <w:t xml:space="preserve">Kant’s legal and political philosophy starts with a simple but powerful conception of freedom as independence from another person’s choice. The idea of freedom provides him with a systematic answer to the most basic questions of political </w:t>
      </w:r>
      <w:r w:rsidRPr="008A416F">
        <w:rPr>
          <w:rFonts w:ascii="Times New Roman" w:hAnsi="Times New Roman" w:cs="Times New Roman"/>
          <w:lang w:val="en-US"/>
        </w:rPr>
        <w:lastRenderedPageBreak/>
        <w:t>philosophy. It explains how (and when) inequalities in wealth and power are consistent with the innate equality of all persons. It also shows that giving special powers to officials is consistent with equal freedom for all. It shows why some people must be given the power to tell everyone (including themselves) what to do by making laws, and why others must be empowered to force people to do as they are told. The answer is distinctively Kantian: political power is legitimate and enforceable because freedom requires it</w:t>
      </w:r>
      <w:proofErr w:type="gramStart"/>
      <w:r w:rsidRPr="008A416F">
        <w:rPr>
          <w:rFonts w:ascii="Times New Roman" w:hAnsi="Times New Roman" w:cs="Times New Roman"/>
          <w:lang w:val="en-US"/>
        </w:rPr>
        <w:t>.</w:t>
      </w:r>
      <w:r w:rsidRPr="008A416F">
        <w:rPr>
          <w:rFonts w:ascii="Times New Roman" w:hAnsi="Times New Roman" w:cs="Times New Roman"/>
          <w:lang w:val="en-US"/>
        </w:rPr>
        <w:t>”(</w:t>
      </w:r>
      <w:proofErr w:type="gramEnd"/>
      <w:r w:rsidRPr="008A416F">
        <w:rPr>
          <w:rFonts w:ascii="Times New Roman" w:hAnsi="Times New Roman" w:cs="Times New Roman"/>
          <w:lang w:val="en-US"/>
        </w:rPr>
        <w:t>2009; p.29)</w:t>
      </w:r>
    </w:p>
    <w:p w14:paraId="61C000FF" w14:textId="15FE72B8" w:rsidR="00A65F24" w:rsidRDefault="008A416F"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La primera gran parte del libro se ocupa del derecho privado. </w:t>
      </w:r>
      <w:r w:rsidR="00A65F24">
        <w:rPr>
          <w:rFonts w:ascii="Times New Roman" w:hAnsi="Times New Roman" w:cs="Times New Roman"/>
          <w:lang w:val="es-MX"/>
        </w:rPr>
        <w:t xml:space="preserve">El segundo capítulo nos habla del derecho innato de la humanidad. Esto supone que cada ser humano posee un derecho básico a la libertad que es universal e independiente de las condiciones sociales, materiales o cualquier otra contingencia. </w:t>
      </w:r>
    </w:p>
    <w:p w14:paraId="76962E8E" w14:textId="25CEBA0E" w:rsidR="00A65F24" w:rsidRDefault="00A65F24"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Este derecho básico e innato a la libertad es el fundamento de la subsecuente normatividad jurídica. </w:t>
      </w:r>
    </w:p>
    <w:p w14:paraId="3E819395" w14:textId="266EA9A1" w:rsidR="008A416F" w:rsidRPr="008A416F" w:rsidRDefault="008A416F" w:rsidP="00362780">
      <w:pPr>
        <w:spacing w:line="360" w:lineRule="auto"/>
        <w:jc w:val="both"/>
        <w:rPr>
          <w:rFonts w:ascii="Times New Roman" w:hAnsi="Times New Roman" w:cs="Times New Roman"/>
          <w:lang w:val="en-US"/>
        </w:rPr>
      </w:pPr>
      <w:r w:rsidRPr="008A416F">
        <w:rPr>
          <w:rFonts w:ascii="Times New Roman" w:hAnsi="Times New Roman" w:cs="Times New Roman"/>
          <w:lang w:val="en-US"/>
        </w:rPr>
        <w:t xml:space="preserve">Ripstein </w:t>
      </w:r>
      <w:proofErr w:type="spellStart"/>
      <w:r w:rsidRPr="008A416F">
        <w:rPr>
          <w:rFonts w:ascii="Times New Roman" w:hAnsi="Times New Roman" w:cs="Times New Roman"/>
          <w:lang w:val="en-US"/>
        </w:rPr>
        <w:t>concluye</w:t>
      </w:r>
      <w:proofErr w:type="spellEnd"/>
      <w:r w:rsidRPr="008A416F">
        <w:rPr>
          <w:rFonts w:ascii="Times New Roman" w:hAnsi="Times New Roman" w:cs="Times New Roman"/>
          <w:lang w:val="en-US"/>
        </w:rPr>
        <w:t>: “</w:t>
      </w:r>
      <w:r w:rsidRPr="008A416F">
        <w:rPr>
          <w:rFonts w:ascii="Times New Roman" w:hAnsi="Times New Roman" w:cs="Times New Roman"/>
          <w:lang w:val="en-US"/>
        </w:rPr>
        <w:t>The innate right of humanity is the basis of any further rights a person must have, because it is the entitlement that each person has to self-mastery, and so, as a result, also a right that limits the ways in which force may be used. So long as every person acts in conformity with the innate right of others, no coercion is used; the entitlement to coerce is simply the entitlement that others exercise their freedom consistent with your own. This same structure of equal freedom understood as restrictions on coercion governs further aspects of right, including both private right and public right. In private right, it structures the further rights that each person can acquire, and the restrictions on the capacity to acquire new rights. At the level of public right, it also restricts the means available to the state in achieving its public purposes, and imposes certain mandatory duties on it.</w:t>
      </w:r>
      <w:r w:rsidRPr="008A416F">
        <w:rPr>
          <w:rFonts w:ascii="Times New Roman" w:hAnsi="Times New Roman" w:cs="Times New Roman"/>
          <w:lang w:val="en-US"/>
        </w:rPr>
        <w:t xml:space="preserve">” </w:t>
      </w:r>
      <w:r>
        <w:rPr>
          <w:rFonts w:ascii="Times New Roman" w:hAnsi="Times New Roman" w:cs="Times New Roman"/>
          <w:lang w:val="en-US"/>
        </w:rPr>
        <w:t>(2009; p.56)</w:t>
      </w:r>
    </w:p>
    <w:p w14:paraId="387A9452" w14:textId="279CBA04" w:rsidR="00A65F24" w:rsidRDefault="00A65F24"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El tercer capítulo se ocupa de los derechos adquiridos, como unos que son distintos del derecho innato. Ripstein analiza de qué forma los individuos pueden adquirir derechos sobre objetos externos, es decir, a algo distinto que a sus propias personas. </w:t>
      </w:r>
    </w:p>
    <w:p w14:paraId="0219AF2F" w14:textId="5AC09960" w:rsidR="00A65F24" w:rsidRDefault="00A65F24"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La condición de posibilidad para cualquier adquisición de derechos en esta manera, sólo se puede concebir en el horizonte de un marco jurídico, en donde las leyes garanticen un tipo de libertad recíproca, para que ninguna libertad anule la libertad del otro. </w:t>
      </w:r>
    </w:p>
    <w:p w14:paraId="68E1E6FE" w14:textId="2304B605" w:rsidR="008A416F" w:rsidRPr="008A416F" w:rsidRDefault="008A416F" w:rsidP="00362780">
      <w:pPr>
        <w:spacing w:line="360" w:lineRule="auto"/>
        <w:jc w:val="both"/>
        <w:rPr>
          <w:rFonts w:ascii="Times New Roman" w:hAnsi="Times New Roman" w:cs="Times New Roman"/>
          <w:lang w:val="en-US"/>
        </w:rPr>
      </w:pPr>
      <w:r w:rsidRPr="008A416F">
        <w:rPr>
          <w:rFonts w:ascii="Times New Roman" w:hAnsi="Times New Roman" w:cs="Times New Roman"/>
          <w:lang w:val="en-US"/>
        </w:rPr>
        <w:lastRenderedPageBreak/>
        <w:t xml:space="preserve">Ripstein </w:t>
      </w:r>
      <w:proofErr w:type="spellStart"/>
      <w:r w:rsidRPr="008A416F">
        <w:rPr>
          <w:rFonts w:ascii="Times New Roman" w:hAnsi="Times New Roman" w:cs="Times New Roman"/>
          <w:lang w:val="en-US"/>
        </w:rPr>
        <w:t>concluye</w:t>
      </w:r>
      <w:proofErr w:type="spellEnd"/>
      <w:r w:rsidRPr="008A416F">
        <w:rPr>
          <w:rFonts w:ascii="Times New Roman" w:hAnsi="Times New Roman" w:cs="Times New Roman"/>
          <w:lang w:val="en-US"/>
        </w:rPr>
        <w:t>: “</w:t>
      </w:r>
      <w:r w:rsidRPr="008A416F">
        <w:rPr>
          <w:rFonts w:ascii="Times New Roman" w:hAnsi="Times New Roman" w:cs="Times New Roman"/>
          <w:lang w:val="en-US"/>
        </w:rPr>
        <w:t>The innate right of humanity does not presuppose the existence of means for setting and pursuing purposes other than each person’s own body. Once the possibility that there are such external means is introduced, the Universal Principle of Right must be extended to make their use consistent with every person’s freedom. That extension must be formal: if usable objects are to be used rightfully, people must have them available to use for whatever purposes they set, restricted only by the entitlement of others to use their external means as they see fit, rather than on the basis of the particular ends being pursued. Acquired rights require affirmative acts to establish them, but the form of the rights, including the ways in which they restrict the freedom of others, are conceptually prior to questions of their mode of acquisition</w:t>
      </w:r>
      <w:proofErr w:type="gramStart"/>
      <w:r w:rsidRPr="008A416F">
        <w:rPr>
          <w:rFonts w:ascii="Times New Roman" w:hAnsi="Times New Roman" w:cs="Times New Roman"/>
          <w:lang w:val="en-US"/>
        </w:rPr>
        <w:t>.</w:t>
      </w:r>
      <w:r w:rsidRPr="008A416F">
        <w:rPr>
          <w:rFonts w:ascii="Times New Roman" w:hAnsi="Times New Roman" w:cs="Times New Roman"/>
          <w:lang w:val="en-US"/>
        </w:rPr>
        <w:t>”(</w:t>
      </w:r>
      <w:proofErr w:type="gramEnd"/>
      <w:r w:rsidRPr="008A416F">
        <w:rPr>
          <w:rFonts w:ascii="Times New Roman" w:hAnsi="Times New Roman" w:cs="Times New Roman"/>
          <w:lang w:val="en-US"/>
        </w:rPr>
        <w:t>2009; p.85)</w:t>
      </w:r>
    </w:p>
    <w:p w14:paraId="1AF96A6F" w14:textId="3AFC0182" w:rsidR="00A65F24" w:rsidRDefault="00A65F24"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El cuarto capítulo trata de la propiedad privada, en cuanto derecho adquirido, y, por lo tanto, presupone y necesita del concepto de una libertad recíproca. </w:t>
      </w:r>
    </w:p>
    <w:p w14:paraId="692A832F" w14:textId="27170B3F" w:rsidR="00A65F24" w:rsidRDefault="00A65F24" w:rsidP="00362780">
      <w:pPr>
        <w:spacing w:line="360" w:lineRule="auto"/>
        <w:jc w:val="both"/>
        <w:rPr>
          <w:rFonts w:ascii="Times New Roman" w:hAnsi="Times New Roman" w:cs="Times New Roman"/>
          <w:lang w:val="es-MX"/>
        </w:rPr>
      </w:pPr>
      <w:r>
        <w:rPr>
          <w:rFonts w:ascii="Times New Roman" w:hAnsi="Times New Roman" w:cs="Times New Roman"/>
          <w:lang w:val="es-MX"/>
        </w:rPr>
        <w:t>El estado y sus instituciones aseguran la validez pública de la propiedad</w:t>
      </w:r>
      <w:r w:rsidR="000050ED">
        <w:rPr>
          <w:rFonts w:ascii="Times New Roman" w:hAnsi="Times New Roman" w:cs="Times New Roman"/>
          <w:lang w:val="es-MX"/>
        </w:rPr>
        <w:t>.</w:t>
      </w:r>
    </w:p>
    <w:p w14:paraId="62ECE3AB" w14:textId="3D30C97B" w:rsidR="008A416F" w:rsidRPr="00E2300C" w:rsidRDefault="008A416F" w:rsidP="008A416F">
      <w:pPr>
        <w:spacing w:line="360" w:lineRule="auto"/>
        <w:jc w:val="both"/>
        <w:rPr>
          <w:rFonts w:ascii="Times New Roman" w:hAnsi="Times New Roman" w:cs="Times New Roman"/>
          <w:lang w:val="en-US"/>
        </w:rPr>
      </w:pPr>
      <w:r w:rsidRPr="00E2300C">
        <w:rPr>
          <w:rFonts w:ascii="Times New Roman" w:hAnsi="Times New Roman" w:cs="Times New Roman"/>
          <w:lang w:val="en-US"/>
        </w:rPr>
        <w:t xml:space="preserve">Ripstein </w:t>
      </w:r>
      <w:proofErr w:type="spellStart"/>
      <w:r w:rsidRPr="00E2300C">
        <w:rPr>
          <w:rFonts w:ascii="Times New Roman" w:hAnsi="Times New Roman" w:cs="Times New Roman"/>
          <w:lang w:val="en-US"/>
        </w:rPr>
        <w:t>concluye</w:t>
      </w:r>
      <w:proofErr w:type="spellEnd"/>
      <w:r w:rsidRPr="00E2300C">
        <w:rPr>
          <w:rFonts w:ascii="Times New Roman" w:hAnsi="Times New Roman" w:cs="Times New Roman"/>
          <w:lang w:val="en-US"/>
        </w:rPr>
        <w:t>: “</w:t>
      </w:r>
      <w:r w:rsidR="00E2300C" w:rsidRPr="00E2300C">
        <w:rPr>
          <w:rFonts w:ascii="Times New Roman" w:hAnsi="Times New Roman" w:cs="Times New Roman"/>
          <w:lang w:val="en-US"/>
        </w:rPr>
        <w:t>Kant understands property rights as parallel to rights to one’s own person, but distinct from them. By developing the parallel, he can explain</w:t>
      </w:r>
      <w:r w:rsidR="00E2300C" w:rsidRPr="00E2300C">
        <w:rPr>
          <w:rFonts w:ascii="Times New Roman" w:hAnsi="Times New Roman" w:cs="Times New Roman"/>
          <w:lang w:val="en-US"/>
        </w:rPr>
        <w:t xml:space="preserve"> </w:t>
      </w:r>
      <w:r w:rsidR="00E2300C" w:rsidRPr="00E2300C">
        <w:rPr>
          <w:rFonts w:ascii="Times New Roman" w:hAnsi="Times New Roman" w:cs="Times New Roman"/>
          <w:lang w:val="en-US"/>
        </w:rPr>
        <w:t>what a property right is without attempting to ground it in a theory of acquisition; by developing the contrast, he can generate a theory of acquisition that explains how a rule of priority in time and unilateral action are appropriate to it. By setting things up in this way, his account captures the distinctive sense in which property rights are partly a matter of private rights between persons, but at the same time situates his argument that acquisition is only possible against the background of a public structure of rightful authority</w:t>
      </w:r>
      <w:proofErr w:type="gramStart"/>
      <w:r w:rsidR="00E2300C" w:rsidRPr="00E2300C">
        <w:rPr>
          <w:rFonts w:ascii="Times New Roman" w:hAnsi="Times New Roman" w:cs="Times New Roman"/>
          <w:lang w:val="en-US"/>
        </w:rPr>
        <w:t>.</w:t>
      </w:r>
      <w:r w:rsidRPr="00E2300C">
        <w:rPr>
          <w:rFonts w:ascii="Times New Roman" w:hAnsi="Times New Roman" w:cs="Times New Roman"/>
          <w:lang w:val="en-US"/>
        </w:rPr>
        <w:t>”(</w:t>
      </w:r>
      <w:proofErr w:type="gramEnd"/>
      <w:r w:rsidRPr="00E2300C">
        <w:rPr>
          <w:rFonts w:ascii="Times New Roman" w:hAnsi="Times New Roman" w:cs="Times New Roman"/>
          <w:lang w:val="en-US"/>
        </w:rPr>
        <w:t>2009; p.</w:t>
      </w:r>
      <w:r w:rsidR="00E2300C" w:rsidRPr="00E2300C">
        <w:rPr>
          <w:rFonts w:ascii="Times New Roman" w:hAnsi="Times New Roman" w:cs="Times New Roman"/>
          <w:lang w:val="en-US"/>
        </w:rPr>
        <w:t>106</w:t>
      </w:r>
      <w:r w:rsidRPr="00E2300C">
        <w:rPr>
          <w:rFonts w:ascii="Times New Roman" w:hAnsi="Times New Roman" w:cs="Times New Roman"/>
          <w:lang w:val="en-US"/>
        </w:rPr>
        <w:t>)</w:t>
      </w:r>
    </w:p>
    <w:p w14:paraId="40C50F68" w14:textId="77777777" w:rsidR="008A416F" w:rsidRPr="00E2300C" w:rsidRDefault="008A416F" w:rsidP="00362780">
      <w:pPr>
        <w:spacing w:line="360" w:lineRule="auto"/>
        <w:jc w:val="both"/>
        <w:rPr>
          <w:rFonts w:ascii="Times New Roman" w:hAnsi="Times New Roman" w:cs="Times New Roman"/>
          <w:lang w:val="en-US"/>
        </w:rPr>
      </w:pPr>
    </w:p>
    <w:p w14:paraId="4640CDEB" w14:textId="77777777" w:rsidR="000050ED" w:rsidRDefault="000050ED"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El quinto capítulo desarrolla las ideas del contrato y el consentimiento. </w:t>
      </w:r>
    </w:p>
    <w:p w14:paraId="63F5C88F" w14:textId="0277BAAA" w:rsidR="000050ED" w:rsidRDefault="000050ED"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Los contratos son entendidos como expresiones de la libertad recíproca. </w:t>
      </w:r>
    </w:p>
    <w:p w14:paraId="5DD370A2" w14:textId="77777777" w:rsidR="000050ED" w:rsidRDefault="000050ED"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El consentimiento se entiende como una condición de legitimidad, en cuanto resguarda la soberanía e independencia personal. </w:t>
      </w:r>
    </w:p>
    <w:p w14:paraId="7286243E" w14:textId="5D335EE5" w:rsidR="000050ED" w:rsidRDefault="000050ED" w:rsidP="00362780">
      <w:pPr>
        <w:spacing w:line="360" w:lineRule="auto"/>
        <w:jc w:val="both"/>
        <w:rPr>
          <w:rFonts w:ascii="Times New Roman" w:hAnsi="Times New Roman" w:cs="Times New Roman"/>
          <w:lang w:val="es-MX"/>
        </w:rPr>
      </w:pPr>
      <w:r>
        <w:rPr>
          <w:rFonts w:ascii="Times New Roman" w:hAnsi="Times New Roman" w:cs="Times New Roman"/>
          <w:lang w:val="es-MX"/>
        </w:rPr>
        <w:t>El consentimiento no se reduce a la voluntad subjetiva, sino que debe estar enmarcado bajo reglas universales.  ¿?</w:t>
      </w:r>
    </w:p>
    <w:p w14:paraId="4113438B" w14:textId="040C18FA" w:rsidR="008A416F" w:rsidRPr="00BB43A5" w:rsidRDefault="008A416F" w:rsidP="008A416F">
      <w:pPr>
        <w:spacing w:line="360" w:lineRule="auto"/>
        <w:jc w:val="both"/>
        <w:rPr>
          <w:rFonts w:ascii="Times New Roman" w:hAnsi="Times New Roman" w:cs="Times New Roman"/>
          <w:lang w:val="en-US"/>
        </w:rPr>
      </w:pPr>
      <w:r w:rsidRPr="00BB43A5">
        <w:rPr>
          <w:rFonts w:ascii="Times New Roman" w:hAnsi="Times New Roman" w:cs="Times New Roman"/>
          <w:lang w:val="en-US"/>
        </w:rPr>
        <w:t xml:space="preserve">Ripstein </w:t>
      </w:r>
      <w:proofErr w:type="spellStart"/>
      <w:r w:rsidRPr="00BB43A5">
        <w:rPr>
          <w:rFonts w:ascii="Times New Roman" w:hAnsi="Times New Roman" w:cs="Times New Roman"/>
          <w:lang w:val="en-US"/>
        </w:rPr>
        <w:t>concluye</w:t>
      </w:r>
      <w:proofErr w:type="spellEnd"/>
      <w:r w:rsidRPr="00BB43A5">
        <w:rPr>
          <w:rFonts w:ascii="Times New Roman" w:hAnsi="Times New Roman" w:cs="Times New Roman"/>
          <w:lang w:val="en-US"/>
        </w:rPr>
        <w:t>: “</w:t>
      </w:r>
      <w:r w:rsidR="00BB43A5" w:rsidRPr="00BB43A5">
        <w:rPr>
          <w:rFonts w:ascii="Times New Roman" w:hAnsi="Times New Roman" w:cs="Times New Roman"/>
          <w:lang w:val="en-US"/>
        </w:rPr>
        <w:t xml:space="preserve">Consent matters because it is a condition of free persons exercising their freedom together. Freedom in turn matters independently of the particular ways in </w:t>
      </w:r>
      <w:r w:rsidR="00BB43A5" w:rsidRPr="00BB43A5">
        <w:rPr>
          <w:rFonts w:ascii="Times New Roman" w:hAnsi="Times New Roman" w:cs="Times New Roman"/>
          <w:lang w:val="en-US"/>
        </w:rPr>
        <w:lastRenderedPageBreak/>
        <w:t>which it is exercised: each person is entitled to set and pursue his or her own purposes, subject only to the condition that he or she does so in a way consistent with the entitlement of others to do the same. Such an austere account of freedom does not permit any assessment of different choices on the basis of some public index of their importance. Instead, it requires only that free persons be morally capable of getting together to change their respective rights and obligations</w:t>
      </w:r>
      <w:proofErr w:type="gramStart"/>
      <w:r w:rsidR="00BB43A5" w:rsidRPr="00BB43A5">
        <w:rPr>
          <w:rFonts w:ascii="Times New Roman" w:hAnsi="Times New Roman" w:cs="Times New Roman"/>
          <w:lang w:val="en-US"/>
        </w:rPr>
        <w:t>.</w:t>
      </w:r>
      <w:r w:rsidRPr="00BB43A5">
        <w:rPr>
          <w:rFonts w:ascii="Times New Roman" w:hAnsi="Times New Roman" w:cs="Times New Roman"/>
          <w:lang w:val="en-US"/>
        </w:rPr>
        <w:t>”(</w:t>
      </w:r>
      <w:proofErr w:type="gramEnd"/>
      <w:r w:rsidRPr="00BB43A5">
        <w:rPr>
          <w:rFonts w:ascii="Times New Roman" w:hAnsi="Times New Roman" w:cs="Times New Roman"/>
          <w:lang w:val="en-US"/>
        </w:rPr>
        <w:t>2009; p.</w:t>
      </w:r>
      <w:r w:rsidR="00BB43A5" w:rsidRPr="00BB43A5">
        <w:rPr>
          <w:rFonts w:ascii="Times New Roman" w:hAnsi="Times New Roman" w:cs="Times New Roman"/>
          <w:lang w:val="en-US"/>
        </w:rPr>
        <w:t>144</w:t>
      </w:r>
      <w:r w:rsidRPr="00BB43A5">
        <w:rPr>
          <w:rFonts w:ascii="Times New Roman" w:hAnsi="Times New Roman" w:cs="Times New Roman"/>
          <w:lang w:val="en-US"/>
        </w:rPr>
        <w:t>)</w:t>
      </w:r>
    </w:p>
    <w:p w14:paraId="1C9CA92F" w14:textId="77777777" w:rsidR="008A416F" w:rsidRPr="00BB43A5" w:rsidRDefault="008A416F" w:rsidP="00362780">
      <w:pPr>
        <w:spacing w:line="360" w:lineRule="auto"/>
        <w:jc w:val="both"/>
        <w:rPr>
          <w:rFonts w:ascii="Times New Roman" w:hAnsi="Times New Roman" w:cs="Times New Roman"/>
          <w:lang w:val="en-US"/>
        </w:rPr>
      </w:pPr>
    </w:p>
    <w:p w14:paraId="210B2CB6" w14:textId="7C3E4192" w:rsidR="000050ED" w:rsidRDefault="000050ED"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El sexto capítulo refiere tres defectos en el estado natural. Para Ripstein, en el estado de naturaleza carecemos de garantías para la seguridad, la imparcialidad y la autoridad. Estos tres defectos se traducen en los poderes separados que componen un estado con una forma de gobierno republicana. </w:t>
      </w:r>
    </w:p>
    <w:p w14:paraId="248A7358" w14:textId="6C66E118" w:rsidR="000050ED" w:rsidRDefault="000050ED"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De acuerdo al autor, estos tres defectos proyectan una solución que se convierte en el espacio del derecho público. </w:t>
      </w:r>
    </w:p>
    <w:p w14:paraId="551002E6" w14:textId="761C8C06" w:rsidR="000050ED" w:rsidRDefault="000050ED"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Es necesaria una transición hacia el estado civil para poder garantizar los derechos. </w:t>
      </w:r>
    </w:p>
    <w:p w14:paraId="78D3DBEF" w14:textId="193381CF" w:rsidR="008A416F" w:rsidRPr="00BB43A5" w:rsidRDefault="008A416F" w:rsidP="008A416F">
      <w:pPr>
        <w:spacing w:line="360" w:lineRule="auto"/>
        <w:jc w:val="both"/>
        <w:rPr>
          <w:rFonts w:ascii="Times New Roman" w:hAnsi="Times New Roman" w:cs="Times New Roman"/>
          <w:lang w:val="en-US"/>
        </w:rPr>
      </w:pPr>
      <w:r w:rsidRPr="00BB43A5">
        <w:rPr>
          <w:rFonts w:ascii="Times New Roman" w:hAnsi="Times New Roman" w:cs="Times New Roman"/>
          <w:lang w:val="en-US"/>
        </w:rPr>
        <w:t xml:space="preserve">Ripstein </w:t>
      </w:r>
      <w:proofErr w:type="spellStart"/>
      <w:r w:rsidRPr="00BB43A5">
        <w:rPr>
          <w:rFonts w:ascii="Times New Roman" w:hAnsi="Times New Roman" w:cs="Times New Roman"/>
          <w:lang w:val="en-US"/>
        </w:rPr>
        <w:t>concluye</w:t>
      </w:r>
      <w:proofErr w:type="spellEnd"/>
      <w:r w:rsidRPr="00BB43A5">
        <w:rPr>
          <w:rFonts w:ascii="Times New Roman" w:hAnsi="Times New Roman" w:cs="Times New Roman"/>
          <w:lang w:val="en-US"/>
        </w:rPr>
        <w:t>: “</w:t>
      </w:r>
      <w:r w:rsidR="00BB43A5" w:rsidRPr="00BB43A5">
        <w:rPr>
          <w:rFonts w:ascii="Times New Roman" w:hAnsi="Times New Roman" w:cs="Times New Roman"/>
          <w:lang w:val="en-US"/>
        </w:rPr>
        <w:t>Kant characterizes the state of nature as a system of private rights without public right. The apparatus of private rights applies to transactions in it, but subject to three defects that make that application merely provisional. Each of the defects reflects difficulties of unilateral action. Objects of choice cannot be acquired without a public authorization of acquisition; private rights cannot be enforced without a public mechanism through which enforcement is authorized by public law; private rights are indeterminate in their application to particulars without a publicly authorized arbiter. Even the innate right of humanity is insecure in such a condition, both because no remedy is possible in case of a completed wrong against a person, and because even the protective right to defend your person against ongoing attack is indeterminate in its application. These problems can only be solved by a form of association capable of making law on behalf of everyone, and authorizing both enforcement and adjudication under law</w:t>
      </w:r>
      <w:proofErr w:type="gramStart"/>
      <w:r w:rsidR="00BB43A5" w:rsidRPr="00BB43A5">
        <w:rPr>
          <w:rFonts w:ascii="Times New Roman" w:hAnsi="Times New Roman" w:cs="Times New Roman"/>
          <w:lang w:val="en-US"/>
        </w:rPr>
        <w:t>.</w:t>
      </w:r>
      <w:r w:rsidRPr="00BB43A5">
        <w:rPr>
          <w:rFonts w:ascii="Times New Roman" w:hAnsi="Times New Roman" w:cs="Times New Roman"/>
          <w:lang w:val="en-US"/>
        </w:rPr>
        <w:t>”(</w:t>
      </w:r>
      <w:proofErr w:type="gramEnd"/>
      <w:r w:rsidRPr="00BB43A5">
        <w:rPr>
          <w:rFonts w:ascii="Times New Roman" w:hAnsi="Times New Roman" w:cs="Times New Roman"/>
          <w:lang w:val="en-US"/>
        </w:rPr>
        <w:t>2009; p.</w:t>
      </w:r>
      <w:r w:rsidR="00BB43A5" w:rsidRPr="00BB43A5">
        <w:rPr>
          <w:rFonts w:ascii="Times New Roman" w:hAnsi="Times New Roman" w:cs="Times New Roman"/>
          <w:lang w:val="en-US"/>
        </w:rPr>
        <w:t>181</w:t>
      </w:r>
      <w:r w:rsidRPr="00BB43A5">
        <w:rPr>
          <w:rFonts w:ascii="Times New Roman" w:hAnsi="Times New Roman" w:cs="Times New Roman"/>
          <w:lang w:val="en-US"/>
        </w:rPr>
        <w:t>)</w:t>
      </w:r>
    </w:p>
    <w:p w14:paraId="45C02EE5" w14:textId="77777777" w:rsidR="008A416F" w:rsidRPr="00BB43A5" w:rsidRDefault="008A416F" w:rsidP="00362780">
      <w:pPr>
        <w:spacing w:line="360" w:lineRule="auto"/>
        <w:jc w:val="both"/>
        <w:rPr>
          <w:rFonts w:ascii="Times New Roman" w:hAnsi="Times New Roman" w:cs="Times New Roman"/>
          <w:lang w:val="en-US"/>
        </w:rPr>
      </w:pPr>
    </w:p>
    <w:p w14:paraId="43205AA0" w14:textId="2A77FA87" w:rsidR="000050ED" w:rsidRDefault="008A416F"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La segunda gran parte del libro se ocupa del derecho público. </w:t>
      </w:r>
      <w:r w:rsidR="000050ED">
        <w:rPr>
          <w:rFonts w:ascii="Times New Roman" w:hAnsi="Times New Roman" w:cs="Times New Roman"/>
          <w:lang w:val="es-MX"/>
        </w:rPr>
        <w:t xml:space="preserve">El séptimo capítulo tiene por título “dándonos leyes a nosotros mismos” y este concepto supone el corazón de la legitimidad de todo estado. Ripstein señala que el estado auténticamente legítimo se </w:t>
      </w:r>
      <w:r w:rsidR="000050ED">
        <w:rPr>
          <w:rFonts w:ascii="Times New Roman" w:hAnsi="Times New Roman" w:cs="Times New Roman"/>
          <w:lang w:val="es-MX"/>
        </w:rPr>
        <w:lastRenderedPageBreak/>
        <w:t xml:space="preserve">produce a raíz de que los ciudadanos se dan leyes a sí mismos, o cuando menos, ofrecen directa o virtualmente, su consentimiento. </w:t>
      </w:r>
    </w:p>
    <w:p w14:paraId="19B9FDA5" w14:textId="5759060C" w:rsidR="000050ED" w:rsidRDefault="000050ED" w:rsidP="00362780">
      <w:pPr>
        <w:spacing w:line="360" w:lineRule="auto"/>
        <w:jc w:val="both"/>
        <w:rPr>
          <w:rFonts w:ascii="Times New Roman" w:hAnsi="Times New Roman" w:cs="Times New Roman"/>
          <w:lang w:val="es-MX"/>
        </w:rPr>
      </w:pPr>
      <w:r>
        <w:rPr>
          <w:rFonts w:ascii="Times New Roman" w:hAnsi="Times New Roman" w:cs="Times New Roman"/>
          <w:lang w:val="es-MX"/>
        </w:rPr>
        <w:t>Esta autonomía que enfatiza lo civil suele ser encarnada por constituciones que adoptan una forma de gobierno y política republicanas.</w:t>
      </w:r>
    </w:p>
    <w:p w14:paraId="337752C9" w14:textId="67DFA6E8" w:rsidR="008A416F" w:rsidRPr="0061290E" w:rsidRDefault="008A416F" w:rsidP="008A416F">
      <w:pPr>
        <w:spacing w:line="360" w:lineRule="auto"/>
        <w:jc w:val="both"/>
        <w:rPr>
          <w:rFonts w:ascii="Times New Roman" w:hAnsi="Times New Roman" w:cs="Times New Roman"/>
          <w:lang w:val="en-US"/>
        </w:rPr>
      </w:pPr>
      <w:r w:rsidRPr="0061290E">
        <w:rPr>
          <w:rFonts w:ascii="Times New Roman" w:hAnsi="Times New Roman" w:cs="Times New Roman"/>
          <w:lang w:val="en-US"/>
        </w:rPr>
        <w:t xml:space="preserve">Ripstein </w:t>
      </w:r>
      <w:proofErr w:type="spellStart"/>
      <w:r w:rsidRPr="0061290E">
        <w:rPr>
          <w:rFonts w:ascii="Times New Roman" w:hAnsi="Times New Roman" w:cs="Times New Roman"/>
          <w:lang w:val="en-US"/>
        </w:rPr>
        <w:t>concluye</w:t>
      </w:r>
      <w:proofErr w:type="spellEnd"/>
      <w:r w:rsidRPr="0061290E">
        <w:rPr>
          <w:rFonts w:ascii="Times New Roman" w:hAnsi="Times New Roman" w:cs="Times New Roman"/>
          <w:lang w:val="en-US"/>
        </w:rPr>
        <w:t>: “</w:t>
      </w:r>
      <w:r w:rsidR="0061290E" w:rsidRPr="0061290E">
        <w:rPr>
          <w:rFonts w:ascii="Times New Roman" w:hAnsi="Times New Roman" w:cs="Times New Roman"/>
          <w:lang w:val="en-US"/>
        </w:rPr>
        <w:t>Institutions can solve the three problems with the state of nature by incorporating a distinction between an official rule and the person filling it.</w:t>
      </w:r>
      <w:r w:rsidR="0061290E">
        <w:rPr>
          <w:rFonts w:ascii="Times New Roman" w:hAnsi="Times New Roman" w:cs="Times New Roman"/>
          <w:lang w:val="en-US"/>
        </w:rPr>
        <w:t xml:space="preserve"> </w:t>
      </w:r>
      <w:r w:rsidR="0061290E" w:rsidRPr="0061290E">
        <w:rPr>
          <w:rFonts w:ascii="Times New Roman" w:hAnsi="Times New Roman" w:cs="Times New Roman"/>
          <w:lang w:val="en-US"/>
        </w:rPr>
        <w:t xml:space="preserve">Officials can be required by their offices to act for purely public purposes of making, implementing, and applying law. If they act within these mandates, they act for the people as a collective body. In so doing, they also constitute the people as a collective body, and so provide the </w:t>
      </w:r>
      <w:proofErr w:type="spellStart"/>
      <w:r w:rsidR="0061290E" w:rsidRPr="0061290E">
        <w:rPr>
          <w:rFonts w:ascii="Times New Roman" w:hAnsi="Times New Roman" w:cs="Times New Roman"/>
          <w:lang w:val="en-US"/>
        </w:rPr>
        <w:t>omnilateral</w:t>
      </w:r>
      <w:proofErr w:type="spellEnd"/>
      <w:r w:rsidR="0061290E" w:rsidRPr="0061290E">
        <w:rPr>
          <w:rFonts w:ascii="Times New Roman" w:hAnsi="Times New Roman" w:cs="Times New Roman"/>
          <w:lang w:val="en-US"/>
        </w:rPr>
        <w:t xml:space="preserve"> standpoint that can solve the three problems. Those mandates also give officials moral powers that no private person could have. Both the powers and the constitutional restrictions on their exercise have their basis in the general requirement that officials could not have the power to make arrangements for the citizens that the citizens could not make for themselves. Instead, they must exercise their mandates consistent with each person’s innate right of humanity and each person’s status as a member of the united will. A rightful condition between private persons is required to reconcile the purposiveness of a plurality of separate persons, consistent with each person’s right to be his or her own master. A rightful condition between states has a task that is more limited but no less important: to reconcile the public nature of a plurality of states, consistent with each state’s entitlement to be a condition of public right.</w:t>
      </w:r>
      <w:r w:rsidRPr="0061290E">
        <w:rPr>
          <w:rFonts w:ascii="Times New Roman" w:hAnsi="Times New Roman" w:cs="Times New Roman"/>
          <w:lang w:val="en-US"/>
        </w:rPr>
        <w:t>”</w:t>
      </w:r>
      <w:r w:rsidR="0061290E">
        <w:rPr>
          <w:rFonts w:ascii="Times New Roman" w:hAnsi="Times New Roman" w:cs="Times New Roman"/>
          <w:lang w:val="en-US"/>
        </w:rPr>
        <w:t xml:space="preserve"> </w:t>
      </w:r>
      <w:proofErr w:type="gramStart"/>
      <w:r w:rsidRPr="0061290E">
        <w:rPr>
          <w:rFonts w:ascii="Times New Roman" w:hAnsi="Times New Roman" w:cs="Times New Roman"/>
          <w:lang w:val="en-US"/>
        </w:rPr>
        <w:t>(</w:t>
      </w:r>
      <w:proofErr w:type="gramEnd"/>
      <w:r w:rsidRPr="0061290E">
        <w:rPr>
          <w:rFonts w:ascii="Times New Roman" w:hAnsi="Times New Roman" w:cs="Times New Roman"/>
          <w:lang w:val="en-US"/>
        </w:rPr>
        <w:t>2009; p.</w:t>
      </w:r>
      <w:r w:rsidR="0061290E" w:rsidRPr="0061290E">
        <w:rPr>
          <w:rFonts w:ascii="Times New Roman" w:hAnsi="Times New Roman" w:cs="Times New Roman"/>
          <w:lang w:val="en-US"/>
        </w:rPr>
        <w:t>230</w:t>
      </w:r>
      <w:r w:rsidRPr="0061290E">
        <w:rPr>
          <w:rFonts w:ascii="Times New Roman" w:hAnsi="Times New Roman" w:cs="Times New Roman"/>
          <w:lang w:val="en-US"/>
        </w:rPr>
        <w:t>)</w:t>
      </w:r>
    </w:p>
    <w:p w14:paraId="639703BD" w14:textId="77777777" w:rsidR="008A416F" w:rsidRPr="0061290E" w:rsidRDefault="008A416F" w:rsidP="00362780">
      <w:pPr>
        <w:spacing w:line="360" w:lineRule="auto"/>
        <w:jc w:val="both"/>
        <w:rPr>
          <w:rFonts w:ascii="Times New Roman" w:hAnsi="Times New Roman" w:cs="Times New Roman"/>
          <w:lang w:val="en-US"/>
        </w:rPr>
      </w:pPr>
    </w:p>
    <w:p w14:paraId="639B02FE" w14:textId="3B67D353" w:rsidR="000050ED" w:rsidRDefault="000050ED"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El octavo capítulo </w:t>
      </w:r>
      <w:r w:rsidR="004A6E4F">
        <w:rPr>
          <w:rFonts w:ascii="Times New Roman" w:hAnsi="Times New Roman" w:cs="Times New Roman"/>
          <w:lang w:val="es-MX"/>
        </w:rPr>
        <w:t xml:space="preserve">llamado “caminos a la libertad” contiene el análisis de cómo las instituciones jurídicas concretas, tales como la constitución, la policía y los tribunales, aseguran los alcances de la libertad externa. </w:t>
      </w:r>
    </w:p>
    <w:p w14:paraId="6C9B10E9" w14:textId="57FB7FCE" w:rsidR="004A6E4F" w:rsidRDefault="004A6E4F"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Esto refuerza la idea de que la fuerza estatal se justifica sólo en la medida en que busca proteger la igualdad de la libertad. </w:t>
      </w:r>
    </w:p>
    <w:p w14:paraId="478D7677" w14:textId="4694E385" w:rsidR="008A416F" w:rsidRPr="0061290E" w:rsidRDefault="008A416F" w:rsidP="008A416F">
      <w:pPr>
        <w:spacing w:line="360" w:lineRule="auto"/>
        <w:jc w:val="both"/>
        <w:rPr>
          <w:rFonts w:ascii="Times New Roman" w:hAnsi="Times New Roman" w:cs="Times New Roman"/>
          <w:lang w:val="en-US"/>
        </w:rPr>
      </w:pPr>
      <w:r w:rsidRPr="0061290E">
        <w:rPr>
          <w:rFonts w:ascii="Times New Roman" w:hAnsi="Times New Roman" w:cs="Times New Roman"/>
          <w:lang w:val="en-US"/>
        </w:rPr>
        <w:t xml:space="preserve">Ripstein </w:t>
      </w:r>
      <w:proofErr w:type="spellStart"/>
      <w:r w:rsidRPr="0061290E">
        <w:rPr>
          <w:rFonts w:ascii="Times New Roman" w:hAnsi="Times New Roman" w:cs="Times New Roman"/>
          <w:lang w:val="en-US"/>
        </w:rPr>
        <w:t>concluye</w:t>
      </w:r>
      <w:proofErr w:type="spellEnd"/>
      <w:r w:rsidRPr="0061290E">
        <w:rPr>
          <w:rFonts w:ascii="Times New Roman" w:hAnsi="Times New Roman" w:cs="Times New Roman"/>
          <w:lang w:val="en-US"/>
        </w:rPr>
        <w:t>: “</w:t>
      </w:r>
      <w:r w:rsidR="0061290E" w:rsidRPr="0061290E">
        <w:rPr>
          <w:rFonts w:ascii="Times New Roman" w:hAnsi="Times New Roman" w:cs="Times New Roman"/>
          <w:lang w:val="en-US"/>
        </w:rPr>
        <w:t xml:space="preserve">At the beginning of this chapter, I noted that the interest-based approach to state power typically focuses on three questions: how competing interests should be balanced against each other, which interests should be exempt from ordinary balancing, and which persons or institutions should be charged with doing the balancing. I have presented a different way of thinking about the legitimate use of state power, </w:t>
      </w:r>
      <w:r w:rsidR="0061290E" w:rsidRPr="0061290E">
        <w:rPr>
          <w:rFonts w:ascii="Times New Roman" w:hAnsi="Times New Roman" w:cs="Times New Roman"/>
          <w:lang w:val="en-US"/>
        </w:rPr>
        <w:lastRenderedPageBreak/>
        <w:t>focused on the conditions of freedom rather than interests</w:t>
      </w:r>
      <w:r w:rsidR="0061290E">
        <w:rPr>
          <w:rFonts w:ascii="Times New Roman" w:hAnsi="Times New Roman" w:cs="Times New Roman"/>
          <w:lang w:val="en-US"/>
        </w:rPr>
        <w:t xml:space="preserve">. </w:t>
      </w:r>
      <w:r w:rsidR="0061290E" w:rsidRPr="0061290E">
        <w:rPr>
          <w:rFonts w:ascii="Times New Roman" w:hAnsi="Times New Roman" w:cs="Times New Roman"/>
          <w:lang w:val="en-US"/>
        </w:rPr>
        <w:t>From the perspective of the interest-based approach, the freedom-</w:t>
      </w:r>
      <w:r w:rsidR="0061290E" w:rsidRPr="0061290E">
        <w:rPr>
          <w:lang w:val="en-US"/>
        </w:rPr>
        <w:t xml:space="preserve"> </w:t>
      </w:r>
      <w:r w:rsidR="0061290E" w:rsidRPr="0061290E">
        <w:rPr>
          <w:rFonts w:ascii="Times New Roman" w:hAnsi="Times New Roman" w:cs="Times New Roman"/>
          <w:lang w:val="en-US"/>
        </w:rPr>
        <w:t>based approach is oddly silent on the first question, because it supposes that it only comes up in the context of mandatory forms of social cooperation. In that context, it says nothing about benefits, only that burdens should be borne equally, but provides no guidance about how to measure burdens. The freedom-based strategy will seem to shunt many of the most difficult issues off to the third question: the people’s representatives must figure out what the burdens are, and what it would be for people to bear them equally. Having rejected the interest-based strategy, it cannot claim that those representatives are likely to weigh the interests more accurately, or balance them in a better way. It can claim only that a public authority is just that: it is public, constituted by the citizens as a collective body, and it is an authority; that is, within its mandate, its decision is binding apart from its merits, solely because it is the decision of a competent public authority. The department of transport can forbid you from driving uptown on Lexington Avenue or make you stop for a red light, neither because it has weighed all of the interests correctly, nor because it has better information than some other agent, but simply because the legislature has delegated those questions to it. The freedom-based approach also rejects the second question in the</w:t>
      </w:r>
      <w:r w:rsidR="0061290E">
        <w:rPr>
          <w:rFonts w:ascii="Times New Roman" w:hAnsi="Times New Roman" w:cs="Times New Roman"/>
          <w:lang w:val="en-US"/>
        </w:rPr>
        <w:t xml:space="preserve"> </w:t>
      </w:r>
      <w:r w:rsidR="0061290E" w:rsidRPr="0061290E">
        <w:rPr>
          <w:rFonts w:ascii="Times New Roman" w:hAnsi="Times New Roman" w:cs="Times New Roman"/>
          <w:lang w:val="en-US"/>
        </w:rPr>
        <w:t xml:space="preserve">form in which it is posed by the interest-based strategy, because it denies that the state has a general mandate to balance interests, and so does not set aside a special class of interests that are exempt from ordinary balancing. Instead, it requires that the same innate right of humanity that structures the state’s police power also serve as its limit. In setting up the institutions and services that are required for a system of equal freedom, the state must not use means inconsistent with its </w:t>
      </w:r>
      <w:proofErr w:type="gramStart"/>
      <w:r w:rsidR="0061290E" w:rsidRPr="0061290E">
        <w:rPr>
          <w:rFonts w:ascii="Times New Roman" w:hAnsi="Times New Roman" w:cs="Times New Roman"/>
          <w:lang w:val="en-US"/>
        </w:rPr>
        <w:t>citizens’</w:t>
      </w:r>
      <w:proofErr w:type="gramEnd"/>
      <w:r w:rsidR="0061290E" w:rsidRPr="0061290E">
        <w:rPr>
          <w:rFonts w:ascii="Times New Roman" w:hAnsi="Times New Roman" w:cs="Times New Roman"/>
          <w:lang w:val="en-US"/>
        </w:rPr>
        <w:t xml:space="preserve"> innate right of humanity. All of this could, with some distortion, be translated into the vocabulary of interests: in order to justify the use of coercive power by the state, freedom, understood as independence of another person’s choice, is the only interest that matters.</w:t>
      </w:r>
      <w:r w:rsidRPr="0061290E">
        <w:rPr>
          <w:rFonts w:ascii="Times New Roman" w:hAnsi="Times New Roman" w:cs="Times New Roman"/>
          <w:lang w:val="en-US"/>
        </w:rPr>
        <w:t>”</w:t>
      </w:r>
      <w:r w:rsidR="00433F3D">
        <w:rPr>
          <w:rFonts w:ascii="Times New Roman" w:hAnsi="Times New Roman" w:cs="Times New Roman"/>
          <w:lang w:val="en-US"/>
        </w:rPr>
        <w:t xml:space="preserve"> </w:t>
      </w:r>
      <w:proofErr w:type="gramStart"/>
      <w:r w:rsidRPr="0061290E">
        <w:rPr>
          <w:rFonts w:ascii="Times New Roman" w:hAnsi="Times New Roman" w:cs="Times New Roman"/>
          <w:lang w:val="en-US"/>
        </w:rPr>
        <w:t>(</w:t>
      </w:r>
      <w:proofErr w:type="gramEnd"/>
      <w:r w:rsidRPr="0061290E">
        <w:rPr>
          <w:rFonts w:ascii="Times New Roman" w:hAnsi="Times New Roman" w:cs="Times New Roman"/>
          <w:lang w:val="en-US"/>
        </w:rPr>
        <w:t>2009; p.</w:t>
      </w:r>
      <w:r w:rsidR="0061290E" w:rsidRPr="0061290E">
        <w:rPr>
          <w:rFonts w:ascii="Times New Roman" w:hAnsi="Times New Roman" w:cs="Times New Roman"/>
          <w:lang w:val="en-US"/>
        </w:rPr>
        <w:t>265</w:t>
      </w:r>
      <w:r w:rsidRPr="0061290E">
        <w:rPr>
          <w:rFonts w:ascii="Times New Roman" w:hAnsi="Times New Roman" w:cs="Times New Roman"/>
          <w:lang w:val="en-US"/>
        </w:rPr>
        <w:t>)</w:t>
      </w:r>
    </w:p>
    <w:p w14:paraId="07EA6E13" w14:textId="77777777" w:rsidR="008A416F" w:rsidRPr="0061290E" w:rsidRDefault="008A416F" w:rsidP="00362780">
      <w:pPr>
        <w:spacing w:line="360" w:lineRule="auto"/>
        <w:jc w:val="both"/>
        <w:rPr>
          <w:rFonts w:ascii="Times New Roman" w:hAnsi="Times New Roman" w:cs="Times New Roman"/>
          <w:lang w:val="en-US"/>
        </w:rPr>
      </w:pPr>
    </w:p>
    <w:p w14:paraId="7DC55D26" w14:textId="07479ECD" w:rsidR="004A6E4F" w:rsidRDefault="004A6E4F" w:rsidP="00362780">
      <w:pPr>
        <w:spacing w:line="360" w:lineRule="auto"/>
        <w:jc w:val="both"/>
        <w:rPr>
          <w:rFonts w:ascii="Times New Roman" w:hAnsi="Times New Roman" w:cs="Times New Roman"/>
          <w:lang w:val="es-MX"/>
        </w:rPr>
      </w:pPr>
      <w:r>
        <w:rPr>
          <w:rFonts w:ascii="Times New Roman" w:hAnsi="Times New Roman" w:cs="Times New Roman"/>
          <w:lang w:val="es-MX"/>
        </w:rPr>
        <w:t>El noveno capítulo refiere un desarrollo de la redistribución y la equidad de oportunidades. Ripstein interpreta que Kant no habla de una redistribución material, sino de condiciones y mecanismos para que se permita la igualdad de oportunidades.</w:t>
      </w:r>
    </w:p>
    <w:p w14:paraId="6535C363" w14:textId="71D2CC61" w:rsidR="004A6E4F" w:rsidRDefault="004A6E4F"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En este sentido, la intervención del estado se debe limitar a quitar obstáculos estructurales que imposibiliten una libertad a todos por igual. </w:t>
      </w:r>
    </w:p>
    <w:p w14:paraId="3F59BF41" w14:textId="124C470D" w:rsidR="008A416F" w:rsidRPr="00433F3D" w:rsidRDefault="008A416F" w:rsidP="008A416F">
      <w:pPr>
        <w:spacing w:line="360" w:lineRule="auto"/>
        <w:jc w:val="both"/>
        <w:rPr>
          <w:rFonts w:ascii="Times New Roman" w:hAnsi="Times New Roman" w:cs="Times New Roman"/>
          <w:lang w:val="en-US"/>
        </w:rPr>
      </w:pPr>
      <w:r w:rsidRPr="00433F3D">
        <w:rPr>
          <w:rFonts w:ascii="Times New Roman" w:hAnsi="Times New Roman" w:cs="Times New Roman"/>
          <w:lang w:val="en-US"/>
        </w:rPr>
        <w:lastRenderedPageBreak/>
        <w:t xml:space="preserve">Ripstein </w:t>
      </w:r>
      <w:proofErr w:type="spellStart"/>
      <w:r w:rsidRPr="00433F3D">
        <w:rPr>
          <w:rFonts w:ascii="Times New Roman" w:hAnsi="Times New Roman" w:cs="Times New Roman"/>
          <w:lang w:val="en-US"/>
        </w:rPr>
        <w:t>concluye</w:t>
      </w:r>
      <w:proofErr w:type="spellEnd"/>
      <w:r w:rsidRPr="00433F3D">
        <w:rPr>
          <w:rFonts w:ascii="Times New Roman" w:hAnsi="Times New Roman" w:cs="Times New Roman"/>
          <w:lang w:val="en-US"/>
        </w:rPr>
        <w:t>: “</w:t>
      </w:r>
      <w:r w:rsidR="00433F3D" w:rsidRPr="00433F3D">
        <w:rPr>
          <w:rFonts w:ascii="Times New Roman" w:hAnsi="Times New Roman" w:cs="Times New Roman"/>
          <w:lang w:val="en-US"/>
        </w:rPr>
        <w:t>The state enters Kant’s account as the solution to problems of private interaction, but it can only solve those problems by occupying a distinctively public standpoint, through which its acts can be acts of everyone. That requirement, in turn, generates novel powers and obligations: the power to tax and redistribute to prevent enforceable property rights from</w:t>
      </w:r>
      <w:r w:rsidR="00433F3D">
        <w:rPr>
          <w:rFonts w:ascii="Times New Roman" w:hAnsi="Times New Roman" w:cs="Times New Roman"/>
          <w:lang w:val="en-US"/>
        </w:rPr>
        <w:t xml:space="preserve"> </w:t>
      </w:r>
      <w:r w:rsidR="00433F3D" w:rsidRPr="00433F3D">
        <w:rPr>
          <w:rFonts w:ascii="Times New Roman" w:hAnsi="Times New Roman" w:cs="Times New Roman"/>
          <w:lang w:val="en-US"/>
        </w:rPr>
        <w:t xml:space="preserve">generating new forms of dependence, and the obligation to provide formal equality of opportunity and public education. These novel powers and obligations are grounded in the public character of a rightful condition, rather than in either human needs or the private duties of human beings among themselves. Although these powers are ultimately grounded in each person’s innate right of humanity, they are internal requirements of a rightful condition and do not apply outside of one. Despite Kant’s vigorous defense of a world made up of separate states, each entitled to accept outsiders only as visitors, he also provides an account of the right of refuge as a right of world citizenship. If you cannot go to your home state without being met with violence, any place of safety becomes your home, because, as Robert Frost put it, </w:t>
      </w:r>
      <w:r w:rsidR="00433F3D">
        <w:rPr>
          <w:rFonts w:ascii="Times New Roman" w:hAnsi="Times New Roman" w:cs="Times New Roman"/>
          <w:lang w:val="en-US"/>
        </w:rPr>
        <w:t>&lt;&lt;t</w:t>
      </w:r>
      <w:r w:rsidR="00433F3D" w:rsidRPr="00433F3D">
        <w:rPr>
          <w:rFonts w:ascii="Times New Roman" w:hAnsi="Times New Roman" w:cs="Times New Roman"/>
          <w:lang w:val="en-US"/>
        </w:rPr>
        <w:t>hey have to take you in.</w:t>
      </w:r>
      <w:r w:rsidR="00433F3D">
        <w:rPr>
          <w:rFonts w:ascii="Times New Roman" w:hAnsi="Times New Roman" w:cs="Times New Roman"/>
          <w:lang w:val="en-US"/>
        </w:rPr>
        <w:t>&gt;&gt;</w:t>
      </w:r>
      <w:r w:rsidRPr="00433F3D">
        <w:rPr>
          <w:rFonts w:ascii="Times New Roman" w:hAnsi="Times New Roman" w:cs="Times New Roman"/>
          <w:lang w:val="en-US"/>
        </w:rPr>
        <w:t>”</w:t>
      </w:r>
      <w:r w:rsidR="00433F3D">
        <w:rPr>
          <w:rFonts w:ascii="Times New Roman" w:hAnsi="Times New Roman" w:cs="Times New Roman"/>
          <w:lang w:val="en-US"/>
        </w:rPr>
        <w:t xml:space="preserve"> </w:t>
      </w:r>
      <w:r w:rsidRPr="00433F3D">
        <w:rPr>
          <w:rFonts w:ascii="Times New Roman" w:hAnsi="Times New Roman" w:cs="Times New Roman"/>
          <w:lang w:val="en-US"/>
        </w:rPr>
        <w:t>(2009; p.</w:t>
      </w:r>
      <w:r w:rsidR="00433F3D" w:rsidRPr="00433F3D">
        <w:rPr>
          <w:rFonts w:ascii="Times New Roman" w:hAnsi="Times New Roman" w:cs="Times New Roman"/>
          <w:lang w:val="en-US"/>
        </w:rPr>
        <w:t>298</w:t>
      </w:r>
      <w:r w:rsidRPr="00433F3D">
        <w:rPr>
          <w:rFonts w:ascii="Times New Roman" w:hAnsi="Times New Roman" w:cs="Times New Roman"/>
          <w:lang w:val="en-US"/>
        </w:rPr>
        <w:t>)</w:t>
      </w:r>
    </w:p>
    <w:p w14:paraId="2AD4C36C" w14:textId="77777777" w:rsidR="008A416F" w:rsidRPr="00433F3D" w:rsidRDefault="008A416F" w:rsidP="00362780">
      <w:pPr>
        <w:spacing w:line="360" w:lineRule="auto"/>
        <w:jc w:val="both"/>
        <w:rPr>
          <w:rFonts w:ascii="Times New Roman" w:hAnsi="Times New Roman" w:cs="Times New Roman"/>
          <w:lang w:val="en-US"/>
        </w:rPr>
      </w:pPr>
    </w:p>
    <w:p w14:paraId="3A6AF637" w14:textId="63676BE2" w:rsidR="004A6E4F" w:rsidRDefault="004A6E4F"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El décimo capítulo habla del castigo como una legítima respuesta necesaria para poder asegurar la igualdad de la libertad. </w:t>
      </w:r>
    </w:p>
    <w:p w14:paraId="39153B3C" w14:textId="2A3D631D" w:rsidR="008A416F" w:rsidRPr="0011621C" w:rsidRDefault="008A416F" w:rsidP="008A416F">
      <w:pPr>
        <w:spacing w:line="360" w:lineRule="auto"/>
        <w:jc w:val="both"/>
        <w:rPr>
          <w:rFonts w:ascii="Times New Roman" w:hAnsi="Times New Roman" w:cs="Times New Roman"/>
          <w:lang w:val="en-US"/>
        </w:rPr>
      </w:pPr>
      <w:r w:rsidRPr="00433F3D">
        <w:rPr>
          <w:rFonts w:ascii="Times New Roman" w:hAnsi="Times New Roman" w:cs="Times New Roman"/>
          <w:lang w:val="en-US"/>
        </w:rPr>
        <w:t xml:space="preserve">Ripstein </w:t>
      </w:r>
      <w:proofErr w:type="spellStart"/>
      <w:r w:rsidRPr="00433F3D">
        <w:rPr>
          <w:rFonts w:ascii="Times New Roman" w:hAnsi="Times New Roman" w:cs="Times New Roman"/>
          <w:lang w:val="en-US"/>
        </w:rPr>
        <w:t>concluye</w:t>
      </w:r>
      <w:proofErr w:type="spellEnd"/>
      <w:r w:rsidRPr="00433F3D">
        <w:rPr>
          <w:rFonts w:ascii="Times New Roman" w:hAnsi="Times New Roman" w:cs="Times New Roman"/>
          <w:lang w:val="en-US"/>
        </w:rPr>
        <w:t>: “</w:t>
      </w:r>
      <w:r w:rsidR="00433F3D" w:rsidRPr="00433F3D">
        <w:rPr>
          <w:rFonts w:ascii="Times New Roman" w:hAnsi="Times New Roman" w:cs="Times New Roman"/>
          <w:lang w:val="en-US"/>
        </w:rPr>
        <w:t xml:space="preserve">Kant’s legal and political philosophy is presented as an a priori system, which is meant to apply to finite embodied rational beings, without any reference to the malevolence or defects of human nature or the difficult circumstances in which humans find themselves. His theory of punishment poses an apparent obstacle to the a priori status of his account. Crimes are typically the product of bad people or difficult circumstances. In spite of the roots of crime, I have argued that Kant’s account of punishment is required because of the nature of freedom, rather than the imperfections of free beings or the world in which they find themselves.51 I have argued that deterrence and retribution are not merely compatible but mutually require each other. In so doing, I have sought to provide an account that is both true to Kant’s texts and, at the same time, resolutely </w:t>
      </w:r>
      <w:proofErr w:type="spellStart"/>
      <w:r w:rsidR="00433F3D" w:rsidRPr="00433F3D">
        <w:rPr>
          <w:rFonts w:ascii="Times New Roman" w:hAnsi="Times New Roman" w:cs="Times New Roman"/>
          <w:lang w:val="en-US"/>
        </w:rPr>
        <w:t>noninstrumentalist</w:t>
      </w:r>
      <w:proofErr w:type="spellEnd"/>
      <w:r w:rsidR="00433F3D" w:rsidRPr="00433F3D">
        <w:rPr>
          <w:rFonts w:ascii="Times New Roman" w:hAnsi="Times New Roman" w:cs="Times New Roman"/>
          <w:lang w:val="en-US"/>
        </w:rPr>
        <w:t xml:space="preserve">. Retributive punishment does not serve to see to it that the wicked suffer as they deserve to; nor does punishing one person serve as a deterrent in order to prevent others from engaging in unwelcome behavior. </w:t>
      </w:r>
      <w:r w:rsidR="00433F3D" w:rsidRPr="0011621C">
        <w:rPr>
          <w:rFonts w:ascii="Times New Roman" w:hAnsi="Times New Roman" w:cs="Times New Roman"/>
          <w:lang w:val="en-US"/>
        </w:rPr>
        <w:t>Instead, punishment is nothing more than the su</w:t>
      </w:r>
      <w:r w:rsidR="0011621C" w:rsidRPr="0011621C">
        <w:rPr>
          <w:rFonts w:ascii="Times New Roman" w:hAnsi="Times New Roman" w:cs="Times New Roman"/>
          <w:lang w:val="en-US"/>
        </w:rPr>
        <w:t xml:space="preserve">premacy of the rule of law. Prospectively, it guides conduct by threatening to make actions contrary to law pointless; retrospectively, it makes any such </w:t>
      </w:r>
      <w:r w:rsidR="0011621C" w:rsidRPr="0011621C">
        <w:rPr>
          <w:rFonts w:ascii="Times New Roman" w:hAnsi="Times New Roman" w:cs="Times New Roman"/>
          <w:lang w:val="en-US"/>
        </w:rPr>
        <w:lastRenderedPageBreak/>
        <w:t>actions pointless, depriving them of their legal as well as their factual effects. The principle of punishment is thus the guarantee of freedom in space and time, the hindering of hindrances to freedom.</w:t>
      </w:r>
      <w:r w:rsidRPr="0011621C">
        <w:rPr>
          <w:rFonts w:ascii="Times New Roman" w:hAnsi="Times New Roman" w:cs="Times New Roman"/>
          <w:lang w:val="en-US"/>
        </w:rPr>
        <w:t>”</w:t>
      </w:r>
      <w:r w:rsidR="0011621C">
        <w:rPr>
          <w:rFonts w:ascii="Times New Roman" w:hAnsi="Times New Roman" w:cs="Times New Roman"/>
          <w:lang w:val="en-US"/>
        </w:rPr>
        <w:t xml:space="preserve"> </w:t>
      </w:r>
      <w:proofErr w:type="gramStart"/>
      <w:r w:rsidRPr="0011621C">
        <w:rPr>
          <w:rFonts w:ascii="Times New Roman" w:hAnsi="Times New Roman" w:cs="Times New Roman"/>
          <w:lang w:val="en-US"/>
        </w:rPr>
        <w:t>(</w:t>
      </w:r>
      <w:proofErr w:type="gramEnd"/>
      <w:r w:rsidRPr="0011621C">
        <w:rPr>
          <w:rFonts w:ascii="Times New Roman" w:hAnsi="Times New Roman" w:cs="Times New Roman"/>
          <w:lang w:val="en-US"/>
        </w:rPr>
        <w:t>2009; p.</w:t>
      </w:r>
      <w:r w:rsidR="00433F3D" w:rsidRPr="0011621C">
        <w:rPr>
          <w:rFonts w:ascii="Times New Roman" w:hAnsi="Times New Roman" w:cs="Times New Roman"/>
          <w:lang w:val="en-US"/>
        </w:rPr>
        <w:t>323</w:t>
      </w:r>
      <w:r w:rsidRPr="0011621C">
        <w:rPr>
          <w:rFonts w:ascii="Times New Roman" w:hAnsi="Times New Roman" w:cs="Times New Roman"/>
          <w:lang w:val="en-US"/>
        </w:rPr>
        <w:t>)</w:t>
      </w:r>
    </w:p>
    <w:p w14:paraId="4E8756AE" w14:textId="77777777" w:rsidR="008A416F" w:rsidRPr="0011621C" w:rsidRDefault="008A416F" w:rsidP="00362780">
      <w:pPr>
        <w:spacing w:line="360" w:lineRule="auto"/>
        <w:jc w:val="both"/>
        <w:rPr>
          <w:rFonts w:ascii="Times New Roman" w:hAnsi="Times New Roman" w:cs="Times New Roman"/>
          <w:lang w:val="en-US"/>
        </w:rPr>
      </w:pPr>
    </w:p>
    <w:p w14:paraId="2A39D709" w14:textId="710B0337" w:rsidR="004A6E4F" w:rsidRDefault="004A6E4F"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El decimoprimer capítulo trata del rechazo de Kant a la revolución, por cuanto socava todo horizonte civil. Se presenta, además, la idea de aspirar a gobiernos más justos dentro de lo legalmente admisible. </w:t>
      </w:r>
    </w:p>
    <w:p w14:paraId="5D53E6BA" w14:textId="5C03710B" w:rsidR="008A416F" w:rsidRPr="00B33C23" w:rsidRDefault="008A416F" w:rsidP="008A416F">
      <w:pPr>
        <w:spacing w:line="360" w:lineRule="auto"/>
        <w:jc w:val="both"/>
        <w:rPr>
          <w:rFonts w:ascii="Times New Roman" w:hAnsi="Times New Roman" w:cs="Times New Roman"/>
          <w:lang w:val="es-MX"/>
        </w:rPr>
      </w:pPr>
      <w:r w:rsidRPr="00B33C23">
        <w:rPr>
          <w:rFonts w:ascii="Times New Roman" w:hAnsi="Times New Roman" w:cs="Times New Roman"/>
          <w:lang w:val="en-US"/>
        </w:rPr>
        <w:t xml:space="preserve">Ripstein </w:t>
      </w:r>
      <w:proofErr w:type="spellStart"/>
      <w:r w:rsidRPr="00B33C23">
        <w:rPr>
          <w:rFonts w:ascii="Times New Roman" w:hAnsi="Times New Roman" w:cs="Times New Roman"/>
          <w:lang w:val="en-US"/>
        </w:rPr>
        <w:t>concluye</w:t>
      </w:r>
      <w:proofErr w:type="spellEnd"/>
      <w:r w:rsidRPr="00B33C23">
        <w:rPr>
          <w:rFonts w:ascii="Times New Roman" w:hAnsi="Times New Roman" w:cs="Times New Roman"/>
          <w:lang w:val="en-US"/>
        </w:rPr>
        <w:t xml:space="preserve">: </w:t>
      </w:r>
      <w:proofErr w:type="spellStart"/>
      <w:r w:rsidR="00B33C23" w:rsidRPr="00B33C23">
        <w:rPr>
          <w:rFonts w:ascii="Times New Roman" w:hAnsi="Times New Roman" w:cs="Times New Roman"/>
          <w:lang w:val="en-US"/>
        </w:rPr>
        <w:t>en</w:t>
      </w:r>
      <w:proofErr w:type="spellEnd"/>
      <w:r w:rsidR="00B33C23" w:rsidRPr="00B33C23">
        <w:rPr>
          <w:rFonts w:ascii="Times New Roman" w:hAnsi="Times New Roman" w:cs="Times New Roman"/>
          <w:lang w:val="en-US"/>
        </w:rPr>
        <w:t xml:space="preserve"> un </w:t>
      </w:r>
      <w:proofErr w:type="spellStart"/>
      <w:r w:rsidR="00B33C23" w:rsidRPr="00B33C23">
        <w:rPr>
          <w:rFonts w:ascii="Times New Roman" w:hAnsi="Times New Roman" w:cs="Times New Roman"/>
          <w:lang w:val="en-US"/>
        </w:rPr>
        <w:t>apartado</w:t>
      </w:r>
      <w:proofErr w:type="spellEnd"/>
      <w:r w:rsidR="00B33C23" w:rsidRPr="00B33C23">
        <w:rPr>
          <w:rFonts w:ascii="Times New Roman" w:hAnsi="Times New Roman" w:cs="Times New Roman"/>
          <w:lang w:val="en-US"/>
        </w:rPr>
        <w:t xml:space="preserve"> que se </w:t>
      </w:r>
      <w:proofErr w:type="spellStart"/>
      <w:r w:rsidR="00B33C23" w:rsidRPr="00B33C23">
        <w:rPr>
          <w:rFonts w:ascii="Times New Roman" w:hAnsi="Times New Roman" w:cs="Times New Roman"/>
          <w:lang w:val="en-US"/>
        </w:rPr>
        <w:t>titula</w:t>
      </w:r>
      <w:proofErr w:type="spellEnd"/>
      <w:r w:rsidR="00B33C23" w:rsidRPr="00B33C23">
        <w:rPr>
          <w:rFonts w:ascii="Times New Roman" w:hAnsi="Times New Roman" w:cs="Times New Roman"/>
          <w:lang w:val="en-US"/>
        </w:rPr>
        <w:t xml:space="preserve">: </w:t>
      </w:r>
      <w:r w:rsidRPr="00B33C23">
        <w:rPr>
          <w:rFonts w:ascii="Times New Roman" w:hAnsi="Times New Roman" w:cs="Times New Roman"/>
          <w:lang w:val="en-US"/>
        </w:rPr>
        <w:t>“</w:t>
      </w:r>
      <w:r w:rsidR="00B33C23" w:rsidRPr="00B33C23">
        <w:rPr>
          <w:rFonts w:ascii="Times New Roman" w:hAnsi="Times New Roman" w:cs="Times New Roman"/>
          <w:lang w:val="en-US"/>
        </w:rPr>
        <w:t>From the Innate Right of Humanity to the Right of Human Beings as Such</w:t>
      </w:r>
      <w:r w:rsidRPr="00B33C23">
        <w:rPr>
          <w:rFonts w:ascii="Times New Roman" w:hAnsi="Times New Roman" w:cs="Times New Roman"/>
          <w:lang w:val="en-US"/>
        </w:rPr>
        <w:t>”</w:t>
      </w:r>
      <w:r w:rsidR="00B33C23" w:rsidRPr="00B33C23">
        <w:rPr>
          <w:rFonts w:ascii="Times New Roman" w:hAnsi="Times New Roman" w:cs="Times New Roman"/>
          <w:lang w:val="en-US"/>
        </w:rPr>
        <w:t xml:space="preserve">, </w:t>
      </w:r>
      <w:proofErr w:type="spellStart"/>
      <w:r w:rsidR="00B33C23" w:rsidRPr="00B33C23">
        <w:rPr>
          <w:rFonts w:ascii="Times New Roman" w:hAnsi="Times New Roman" w:cs="Times New Roman"/>
          <w:lang w:val="en-US"/>
        </w:rPr>
        <w:t>en</w:t>
      </w:r>
      <w:proofErr w:type="spellEnd"/>
      <w:r w:rsidR="00B33C23" w:rsidRPr="00B33C23">
        <w:rPr>
          <w:rFonts w:ascii="Times New Roman" w:hAnsi="Times New Roman" w:cs="Times New Roman"/>
          <w:lang w:val="en-US"/>
        </w:rPr>
        <w:t xml:space="preserve"> </w:t>
      </w:r>
      <w:proofErr w:type="spellStart"/>
      <w:r w:rsidR="00B33C23" w:rsidRPr="00B33C23">
        <w:rPr>
          <w:rFonts w:ascii="Times New Roman" w:hAnsi="Times New Roman" w:cs="Times New Roman"/>
          <w:lang w:val="en-US"/>
        </w:rPr>
        <w:t>donde</w:t>
      </w:r>
      <w:proofErr w:type="spellEnd"/>
      <w:r w:rsidR="00B33C23" w:rsidRPr="00B33C23">
        <w:rPr>
          <w:rFonts w:ascii="Times New Roman" w:hAnsi="Times New Roman" w:cs="Times New Roman"/>
          <w:lang w:val="en-US"/>
        </w:rPr>
        <w:t xml:space="preserve"> </w:t>
      </w:r>
      <w:proofErr w:type="spellStart"/>
      <w:r w:rsidR="00B33C23" w:rsidRPr="00B33C23">
        <w:rPr>
          <w:rFonts w:ascii="Times New Roman" w:hAnsi="Times New Roman" w:cs="Times New Roman"/>
          <w:lang w:val="en-US"/>
        </w:rPr>
        <w:t>expresa</w:t>
      </w:r>
      <w:proofErr w:type="spellEnd"/>
      <w:r w:rsidR="00B33C23" w:rsidRPr="00B33C23">
        <w:rPr>
          <w:rFonts w:ascii="Times New Roman" w:hAnsi="Times New Roman" w:cs="Times New Roman"/>
          <w:lang w:val="en-US"/>
        </w:rPr>
        <w:t xml:space="preserve"> lo </w:t>
      </w:r>
      <w:proofErr w:type="spellStart"/>
      <w:r w:rsidR="00B33C23" w:rsidRPr="00B33C23">
        <w:rPr>
          <w:rFonts w:ascii="Times New Roman" w:hAnsi="Times New Roman" w:cs="Times New Roman"/>
          <w:lang w:val="en-US"/>
        </w:rPr>
        <w:t>siguiente</w:t>
      </w:r>
      <w:proofErr w:type="spellEnd"/>
      <w:r w:rsidR="00B33C23" w:rsidRPr="00B33C23">
        <w:rPr>
          <w:rFonts w:ascii="Times New Roman" w:hAnsi="Times New Roman" w:cs="Times New Roman"/>
          <w:lang w:val="en-US"/>
        </w:rPr>
        <w:t>: “</w:t>
      </w:r>
      <w:r w:rsidR="00B33C23" w:rsidRPr="00B33C23">
        <w:rPr>
          <w:rFonts w:ascii="Times New Roman" w:hAnsi="Times New Roman" w:cs="Times New Roman"/>
          <w:lang w:val="en-US"/>
        </w:rPr>
        <w:t>The starting point for Kant’s theory of right is each person’s innate right of humanity, and so the entitlement of each human being to be independent of every other person’s choice, to be treated as his or her own master, a person, not a thing. The extension of those fundamental ideas to the situation in which purposes could be pursued with things other than each person’s own body generated private right. Private right in turn required public right: the only way that a plurality of persons can enjoy their freedom consistently with the freedom of others is to unite with those others and enter a rightful condition. As the systematic realization of everyone’s freedom consistent with that of the others under universal law, a rightful condition is not merely the right of each human being considered severally, but of all of them considered together. Freedom under public law is the right of human beings as such.</w:t>
      </w:r>
      <w:r w:rsidR="00B33C23" w:rsidRPr="00B33C23">
        <w:rPr>
          <w:rFonts w:ascii="Times New Roman" w:hAnsi="Times New Roman" w:cs="Times New Roman"/>
          <w:lang w:val="en-US"/>
        </w:rPr>
        <w:t xml:space="preserve">” </w:t>
      </w:r>
      <w:r w:rsidRPr="00B33C23">
        <w:rPr>
          <w:rFonts w:ascii="Times New Roman" w:hAnsi="Times New Roman" w:cs="Times New Roman"/>
          <w:lang w:val="es-MX"/>
        </w:rPr>
        <w:t>(2009; p.</w:t>
      </w:r>
      <w:r w:rsidR="00B33C23">
        <w:rPr>
          <w:rFonts w:ascii="Times New Roman" w:hAnsi="Times New Roman" w:cs="Times New Roman"/>
          <w:lang w:val="es-MX"/>
        </w:rPr>
        <w:t>352</w:t>
      </w:r>
      <w:r w:rsidRPr="00B33C23">
        <w:rPr>
          <w:rFonts w:ascii="Times New Roman" w:hAnsi="Times New Roman" w:cs="Times New Roman"/>
          <w:lang w:val="es-MX"/>
        </w:rPr>
        <w:t>)</w:t>
      </w:r>
    </w:p>
    <w:p w14:paraId="33584B77" w14:textId="77777777" w:rsidR="008A416F" w:rsidRPr="00B33C23" w:rsidRDefault="008A416F" w:rsidP="00362780">
      <w:pPr>
        <w:spacing w:line="360" w:lineRule="auto"/>
        <w:jc w:val="both"/>
        <w:rPr>
          <w:rFonts w:ascii="Times New Roman" w:hAnsi="Times New Roman" w:cs="Times New Roman"/>
          <w:lang w:val="es-MX"/>
        </w:rPr>
      </w:pPr>
    </w:p>
    <w:p w14:paraId="1A62399B" w14:textId="7E8E4775" w:rsidR="004A6E4F" w:rsidRDefault="004A6E4F" w:rsidP="00362780">
      <w:pPr>
        <w:spacing w:line="360" w:lineRule="auto"/>
        <w:jc w:val="both"/>
        <w:rPr>
          <w:rFonts w:ascii="Times New Roman" w:hAnsi="Times New Roman" w:cs="Times New Roman"/>
          <w:lang w:val="es-MX"/>
        </w:rPr>
      </w:pPr>
      <w:r>
        <w:rPr>
          <w:rFonts w:ascii="Times New Roman" w:hAnsi="Times New Roman" w:cs="Times New Roman"/>
          <w:lang w:val="es-MX"/>
        </w:rPr>
        <w:t xml:space="preserve">Finalmente, el apéndice titulado “Un postulado incapaz de subsecuente prueba” tiene la idea central de que el derecho descansa sobre postulados y normas prácticas que se ocupan de la posibilidad de la coexistencia pacífica y civilizada de las libertades. Este postulado es incapaz de prueba material, ya que no se deriva de la experiencia ni de la historia, sino que se trata de una formulación de la razón práctica. </w:t>
      </w:r>
    </w:p>
    <w:p w14:paraId="323A3393" w14:textId="731F2F4A" w:rsidR="00B33C23" w:rsidRDefault="00B33C23" w:rsidP="00362780">
      <w:pPr>
        <w:spacing w:line="360" w:lineRule="auto"/>
        <w:jc w:val="both"/>
        <w:rPr>
          <w:rFonts w:ascii="Times New Roman" w:hAnsi="Times New Roman" w:cs="Times New Roman"/>
          <w:lang w:val="en-US"/>
        </w:rPr>
      </w:pPr>
      <w:r w:rsidRPr="00B33C23">
        <w:rPr>
          <w:rFonts w:ascii="Times New Roman" w:hAnsi="Times New Roman" w:cs="Times New Roman"/>
          <w:lang w:val="en-US"/>
        </w:rPr>
        <w:t xml:space="preserve">Ripstein </w:t>
      </w:r>
      <w:proofErr w:type="spellStart"/>
      <w:r w:rsidRPr="00B33C23">
        <w:rPr>
          <w:rFonts w:ascii="Times New Roman" w:hAnsi="Times New Roman" w:cs="Times New Roman"/>
          <w:lang w:val="en-US"/>
        </w:rPr>
        <w:t>concluye</w:t>
      </w:r>
      <w:proofErr w:type="spellEnd"/>
      <w:r>
        <w:rPr>
          <w:rFonts w:ascii="Times New Roman" w:hAnsi="Times New Roman" w:cs="Times New Roman"/>
          <w:lang w:val="en-US"/>
        </w:rPr>
        <w:t>: “</w:t>
      </w:r>
      <w:r w:rsidRPr="00B33C23">
        <w:rPr>
          <w:rFonts w:ascii="Times New Roman" w:hAnsi="Times New Roman" w:cs="Times New Roman"/>
          <w:lang w:val="en-US"/>
        </w:rPr>
        <w:t xml:space="preserve">If I am right about the role of the postulate, then the textual, philosophical, and political problems have a solution. Textually, the Doctrine of Right belongs in The Metaphysics of Morals. It belongs at the beginning, and the principles of right, including public and private right, constrain the means available for agents to use, and thereby constrain the maxims on which they may act. The Doctrine of Virtue’s </w:t>
      </w:r>
      <w:r w:rsidRPr="00B33C23">
        <w:rPr>
          <w:rFonts w:ascii="Times New Roman" w:hAnsi="Times New Roman" w:cs="Times New Roman"/>
          <w:lang w:val="en-US"/>
        </w:rPr>
        <w:lastRenderedPageBreak/>
        <w:t>discussions of duties owed to others presupposes the individuation of persons as embodied rational</w:t>
      </w:r>
      <w:r w:rsidR="00526CD9">
        <w:rPr>
          <w:rFonts w:ascii="Times New Roman" w:hAnsi="Times New Roman" w:cs="Times New Roman"/>
          <w:lang w:val="en-US"/>
        </w:rPr>
        <w:t xml:space="preserve"> </w:t>
      </w:r>
      <w:r w:rsidR="00526CD9" w:rsidRPr="00526CD9">
        <w:rPr>
          <w:rFonts w:ascii="Times New Roman" w:hAnsi="Times New Roman" w:cs="Times New Roman"/>
          <w:lang w:val="en-US"/>
        </w:rPr>
        <w:t>beings</w:t>
      </w:r>
      <w:r w:rsidR="00526CD9">
        <w:rPr>
          <w:rFonts w:ascii="Times New Roman" w:hAnsi="Times New Roman" w:cs="Times New Roman"/>
          <w:lang w:val="en-US"/>
        </w:rPr>
        <w:t xml:space="preserve">. </w:t>
      </w:r>
      <w:r w:rsidR="00526CD9" w:rsidRPr="00526CD9">
        <w:rPr>
          <w:rFonts w:ascii="Times New Roman" w:hAnsi="Times New Roman" w:cs="Times New Roman"/>
          <w:lang w:val="en-US"/>
        </w:rPr>
        <w:t xml:space="preserve">Philosophically, Kant has a distinctive conception of right, one that enables us to avoid the reactive and reductive themes that continue to cast their shadow over political philosophy. Attempts to derive the Principle of Right from the Categorical Imperative on its own </w:t>
      </w:r>
      <w:proofErr w:type="gramStart"/>
      <w:r w:rsidR="00526CD9" w:rsidRPr="00526CD9">
        <w:rPr>
          <w:rFonts w:ascii="Times New Roman" w:hAnsi="Times New Roman" w:cs="Times New Roman"/>
          <w:lang w:val="en-US"/>
        </w:rPr>
        <w:t>fail</w:t>
      </w:r>
      <w:proofErr w:type="gramEnd"/>
      <w:r w:rsidR="00526CD9" w:rsidRPr="00526CD9">
        <w:rPr>
          <w:rFonts w:ascii="Times New Roman" w:hAnsi="Times New Roman" w:cs="Times New Roman"/>
          <w:lang w:val="en-US"/>
        </w:rPr>
        <w:t>, and end up rejecting the Principle of Right, or both the Categorical Imperative and the Principle of Right. Focusing exclusively on the Categorical Imperative, of course, coercion must seem accidental, in something broadly like the way in which external relations and even physical objects must, from a Leibnizian perspective, seem to be confused representations of something inner. Finally, we solve the political problems by solving the first textual problem. Kant’s Doctrine of Right has a great deal to recommend it even to those who are unable to accept the full argument of the Groundwork and Critique of Practical Reason. It has been my aim in this appendix to suggest that it also has a great deal to recommend it to those who are prepared to accept Kant’s more ambitious claim that morality is freedom.</w:t>
      </w:r>
      <w:r>
        <w:rPr>
          <w:rFonts w:ascii="Times New Roman" w:hAnsi="Times New Roman" w:cs="Times New Roman"/>
          <w:lang w:val="en-US"/>
        </w:rPr>
        <w:t>” (2009 p.387)</w:t>
      </w:r>
    </w:p>
    <w:p w14:paraId="7E1C1A52" w14:textId="3DAA1BDD" w:rsidR="00526CD9" w:rsidRPr="00B33C23" w:rsidRDefault="00526CD9" w:rsidP="00362780">
      <w:pPr>
        <w:spacing w:line="360" w:lineRule="auto"/>
        <w:jc w:val="both"/>
        <w:rPr>
          <w:rFonts w:ascii="Times New Roman" w:hAnsi="Times New Roman" w:cs="Times New Roman"/>
          <w:lang w:val="en-US"/>
        </w:rPr>
      </w:pPr>
      <w:proofErr w:type="spellStart"/>
      <w:r>
        <w:rPr>
          <w:rFonts w:ascii="Times New Roman" w:hAnsi="Times New Roman" w:cs="Times New Roman"/>
          <w:lang w:val="en-US"/>
        </w:rPr>
        <w:t>AHmmmm</w:t>
      </w:r>
      <w:proofErr w:type="spellEnd"/>
      <w:r>
        <w:rPr>
          <w:rFonts w:ascii="Times New Roman" w:hAnsi="Times New Roman" w:cs="Times New Roman"/>
          <w:lang w:val="en-US"/>
        </w:rPr>
        <w:t xml:space="preserve"> no </w:t>
      </w:r>
      <w:proofErr w:type="spellStart"/>
      <w:r>
        <w:rPr>
          <w:rFonts w:ascii="Times New Roman" w:hAnsi="Times New Roman" w:cs="Times New Roman"/>
          <w:lang w:val="en-US"/>
        </w:rPr>
        <w:t>sé</w:t>
      </w:r>
      <w:proofErr w:type="spellEnd"/>
    </w:p>
    <w:sectPr w:rsidR="00526CD9" w:rsidRPr="00B33C2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780"/>
    <w:rsid w:val="000050ED"/>
    <w:rsid w:val="00115159"/>
    <w:rsid w:val="0011621C"/>
    <w:rsid w:val="001A5BEA"/>
    <w:rsid w:val="002601FE"/>
    <w:rsid w:val="00345B02"/>
    <w:rsid w:val="00362780"/>
    <w:rsid w:val="00433F3D"/>
    <w:rsid w:val="00487B21"/>
    <w:rsid w:val="004972C3"/>
    <w:rsid w:val="004A6E4F"/>
    <w:rsid w:val="004E0AFC"/>
    <w:rsid w:val="005138EF"/>
    <w:rsid w:val="00526CD9"/>
    <w:rsid w:val="00567B29"/>
    <w:rsid w:val="005B5FD0"/>
    <w:rsid w:val="005E0D66"/>
    <w:rsid w:val="0061290E"/>
    <w:rsid w:val="00665A6F"/>
    <w:rsid w:val="006A2F52"/>
    <w:rsid w:val="006F72E3"/>
    <w:rsid w:val="007E0F43"/>
    <w:rsid w:val="007F1755"/>
    <w:rsid w:val="008322A8"/>
    <w:rsid w:val="008A416F"/>
    <w:rsid w:val="00975484"/>
    <w:rsid w:val="009A0879"/>
    <w:rsid w:val="00A12D90"/>
    <w:rsid w:val="00A65F24"/>
    <w:rsid w:val="00AC1B2D"/>
    <w:rsid w:val="00B159D5"/>
    <w:rsid w:val="00B33C23"/>
    <w:rsid w:val="00BB43A5"/>
    <w:rsid w:val="00C86FC1"/>
    <w:rsid w:val="00C958C6"/>
    <w:rsid w:val="00CB7EFA"/>
    <w:rsid w:val="00DF52BE"/>
    <w:rsid w:val="00E2300C"/>
    <w:rsid w:val="00E974EE"/>
    <w:rsid w:val="00E977A8"/>
    <w:rsid w:val="00F972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0E55B"/>
  <w15:chartTrackingRefBased/>
  <w15:docId w15:val="{FD58BC37-5508-4609-ADA5-567DF8447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780"/>
  </w:style>
  <w:style w:type="paragraph" w:styleId="Heading1">
    <w:name w:val="heading 1"/>
    <w:basedOn w:val="Normal"/>
    <w:next w:val="Normal"/>
    <w:link w:val="Heading1Char"/>
    <w:uiPriority w:val="9"/>
    <w:qFormat/>
    <w:rsid w:val="003627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27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27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27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27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27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7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7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7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7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27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27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27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27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27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7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7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780"/>
    <w:rPr>
      <w:rFonts w:eastAsiaTheme="majorEastAsia" w:cstheme="majorBidi"/>
      <w:color w:val="272727" w:themeColor="text1" w:themeTint="D8"/>
    </w:rPr>
  </w:style>
  <w:style w:type="paragraph" w:styleId="Title">
    <w:name w:val="Title"/>
    <w:basedOn w:val="Normal"/>
    <w:next w:val="Normal"/>
    <w:link w:val="TitleChar"/>
    <w:uiPriority w:val="10"/>
    <w:qFormat/>
    <w:rsid w:val="003627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7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7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7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780"/>
    <w:pPr>
      <w:spacing w:before="160"/>
      <w:jc w:val="center"/>
    </w:pPr>
    <w:rPr>
      <w:i/>
      <w:iCs/>
      <w:color w:val="404040" w:themeColor="text1" w:themeTint="BF"/>
    </w:rPr>
  </w:style>
  <w:style w:type="character" w:customStyle="1" w:styleId="QuoteChar">
    <w:name w:val="Quote Char"/>
    <w:basedOn w:val="DefaultParagraphFont"/>
    <w:link w:val="Quote"/>
    <w:uiPriority w:val="29"/>
    <w:rsid w:val="00362780"/>
    <w:rPr>
      <w:i/>
      <w:iCs/>
      <w:color w:val="404040" w:themeColor="text1" w:themeTint="BF"/>
    </w:rPr>
  </w:style>
  <w:style w:type="paragraph" w:styleId="ListParagraph">
    <w:name w:val="List Paragraph"/>
    <w:basedOn w:val="Normal"/>
    <w:uiPriority w:val="34"/>
    <w:qFormat/>
    <w:rsid w:val="00362780"/>
    <w:pPr>
      <w:ind w:left="720"/>
      <w:contextualSpacing/>
    </w:pPr>
  </w:style>
  <w:style w:type="character" w:styleId="IntenseEmphasis">
    <w:name w:val="Intense Emphasis"/>
    <w:basedOn w:val="DefaultParagraphFont"/>
    <w:uiPriority w:val="21"/>
    <w:qFormat/>
    <w:rsid w:val="00362780"/>
    <w:rPr>
      <w:i/>
      <w:iCs/>
      <w:color w:val="2F5496" w:themeColor="accent1" w:themeShade="BF"/>
    </w:rPr>
  </w:style>
  <w:style w:type="paragraph" w:styleId="IntenseQuote">
    <w:name w:val="Intense Quote"/>
    <w:basedOn w:val="Normal"/>
    <w:next w:val="Normal"/>
    <w:link w:val="IntenseQuoteChar"/>
    <w:uiPriority w:val="30"/>
    <w:qFormat/>
    <w:rsid w:val="003627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2780"/>
    <w:rPr>
      <w:i/>
      <w:iCs/>
      <w:color w:val="2F5496" w:themeColor="accent1" w:themeShade="BF"/>
    </w:rPr>
  </w:style>
  <w:style w:type="character" w:styleId="IntenseReference">
    <w:name w:val="Intense Reference"/>
    <w:basedOn w:val="DefaultParagraphFont"/>
    <w:uiPriority w:val="32"/>
    <w:qFormat/>
    <w:rsid w:val="0036278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4730</TotalTime>
  <Pages>13</Pages>
  <Words>4653</Words>
  <Characters>25592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24</cp:revision>
  <dcterms:created xsi:type="dcterms:W3CDTF">2026-05-13T15:28:00Z</dcterms:created>
  <dcterms:modified xsi:type="dcterms:W3CDTF">2026-05-16T22:19:00Z</dcterms:modified>
</cp:coreProperties>
</file>