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CD32" w14:textId="77777777" w:rsidR="004837ED" w:rsidRDefault="004837ED" w:rsidP="004837ED">
      <w:pPr>
        <w:spacing w:line="480" w:lineRule="auto"/>
        <w:jc w:val="both"/>
        <w:rPr>
          <w:rFonts w:ascii="Times New Roman" w:eastAsia="Times New Roman" w:hAnsi="Times New Roman" w:cs="Times New Roman"/>
          <w:b/>
          <w:u w:val="single"/>
        </w:rPr>
      </w:pPr>
    </w:p>
    <w:p w14:paraId="565567AC" w14:textId="6E2ED2BF" w:rsidR="004C729F" w:rsidRPr="004837ED" w:rsidRDefault="00BF369D" w:rsidP="004837ED">
      <w:pPr>
        <w:spacing w:line="480" w:lineRule="auto"/>
        <w:jc w:val="both"/>
        <w:rPr>
          <w:rFonts w:ascii="Times New Roman" w:eastAsia="Times New Roman" w:hAnsi="Times New Roman" w:cs="Times New Roman"/>
          <w:b/>
          <w:u w:val="single"/>
        </w:rPr>
      </w:pPr>
      <w:r w:rsidRPr="004837ED">
        <w:rPr>
          <w:rFonts w:ascii="Times New Roman" w:eastAsia="Times New Roman" w:hAnsi="Times New Roman" w:cs="Times New Roman"/>
          <w:b/>
          <w:u w:val="single"/>
        </w:rPr>
        <w:t>Patriotismo y N</w:t>
      </w:r>
      <w:r w:rsidR="004C729F" w:rsidRPr="004837ED">
        <w:rPr>
          <w:rFonts w:ascii="Times New Roman" w:eastAsia="Times New Roman" w:hAnsi="Times New Roman" w:cs="Times New Roman"/>
          <w:b/>
          <w:u w:val="single"/>
        </w:rPr>
        <w:t>ación en el</w:t>
      </w:r>
      <w:r w:rsidRPr="004837ED">
        <w:rPr>
          <w:rFonts w:ascii="Times New Roman" w:eastAsia="Times New Roman" w:hAnsi="Times New Roman" w:cs="Times New Roman"/>
          <w:b/>
          <w:u w:val="single"/>
        </w:rPr>
        <w:t xml:space="preserve"> proyecto ilustrado del primer M</w:t>
      </w:r>
      <w:r w:rsidR="004C729F" w:rsidRPr="004837ED">
        <w:rPr>
          <w:rFonts w:ascii="Times New Roman" w:eastAsia="Times New Roman" w:hAnsi="Times New Roman" w:cs="Times New Roman"/>
          <w:b/>
          <w:u w:val="single"/>
        </w:rPr>
        <w:t xml:space="preserve">ercurio </w:t>
      </w:r>
      <w:r w:rsidRPr="004837ED">
        <w:rPr>
          <w:rFonts w:ascii="Times New Roman" w:eastAsia="Times New Roman" w:hAnsi="Times New Roman" w:cs="Times New Roman"/>
          <w:b/>
          <w:u w:val="single"/>
        </w:rPr>
        <w:t>P</w:t>
      </w:r>
      <w:r w:rsidR="004C729F" w:rsidRPr="004837ED">
        <w:rPr>
          <w:rFonts w:ascii="Times New Roman" w:eastAsia="Times New Roman" w:hAnsi="Times New Roman" w:cs="Times New Roman"/>
          <w:b/>
          <w:u w:val="single"/>
        </w:rPr>
        <w:t xml:space="preserve">eruano como influencia al </w:t>
      </w:r>
      <w:r w:rsidR="00BF5B90" w:rsidRPr="004837ED">
        <w:rPr>
          <w:rFonts w:ascii="Times New Roman" w:eastAsia="Times New Roman" w:hAnsi="Times New Roman" w:cs="Times New Roman"/>
          <w:b/>
          <w:u w:val="single"/>
        </w:rPr>
        <w:t xml:space="preserve">tercer </w:t>
      </w:r>
      <w:r w:rsidRPr="004837ED">
        <w:rPr>
          <w:rFonts w:ascii="Times New Roman" w:eastAsia="Times New Roman" w:hAnsi="Times New Roman" w:cs="Times New Roman"/>
          <w:b/>
          <w:u w:val="single"/>
        </w:rPr>
        <w:t>Mercurio Peruano del C</w:t>
      </w:r>
      <w:r w:rsidR="004C729F" w:rsidRPr="004837ED">
        <w:rPr>
          <w:rFonts w:ascii="Times New Roman" w:eastAsia="Times New Roman" w:hAnsi="Times New Roman" w:cs="Times New Roman"/>
          <w:b/>
          <w:u w:val="single"/>
        </w:rPr>
        <w:t>entenario</w:t>
      </w:r>
    </w:p>
    <w:p w14:paraId="1FE65F08" w14:textId="77777777" w:rsidR="00F15AE5" w:rsidRPr="004837ED" w:rsidRDefault="00F15AE5" w:rsidP="004837ED">
      <w:pPr>
        <w:spacing w:line="480" w:lineRule="auto"/>
        <w:jc w:val="right"/>
        <w:rPr>
          <w:rFonts w:ascii="Times New Roman" w:eastAsia="Times New Roman" w:hAnsi="Times New Roman" w:cs="Times New Roman"/>
          <w:b/>
          <w:u w:val="single"/>
        </w:rPr>
      </w:pPr>
    </w:p>
    <w:p w14:paraId="4239893E" w14:textId="09C25C42" w:rsidR="001D6A84" w:rsidRPr="004837E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UDEP</w:t>
      </w:r>
      <w:r w:rsidR="004C729F" w:rsidRPr="004837ED">
        <w:rPr>
          <w:rFonts w:ascii="Times New Roman" w:eastAsia="Times New Roman" w:hAnsi="Times New Roman" w:cs="Times New Roman"/>
          <w:b/>
        </w:rPr>
        <w:t>2019</w:t>
      </w:r>
    </w:p>
    <w:p w14:paraId="005A1537" w14:textId="486D113D" w:rsidR="00BF369D" w:rsidRPr="004837E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Dra. Soledad Escalante Beltrán</w:t>
      </w:r>
    </w:p>
    <w:p w14:paraId="61EC0CFB" w14:textId="280F3290" w:rsidR="004C729F" w:rsidRPr="004837ED" w:rsidRDefault="004C729F" w:rsidP="004837ED">
      <w:pPr>
        <w:spacing w:line="480" w:lineRule="auto"/>
        <w:jc w:val="both"/>
        <w:rPr>
          <w:rFonts w:ascii="Times New Roman" w:hAnsi="Times New Roman" w:cs="Times New Roman"/>
          <w:b/>
        </w:rPr>
      </w:pPr>
    </w:p>
    <w:p w14:paraId="6A137755" w14:textId="77777777" w:rsidR="00D339AD" w:rsidRPr="004837ED" w:rsidRDefault="00D339AD" w:rsidP="004837ED">
      <w:pPr>
        <w:spacing w:line="480" w:lineRule="auto"/>
        <w:jc w:val="both"/>
        <w:rPr>
          <w:rFonts w:ascii="Times New Roman" w:hAnsi="Times New Roman" w:cs="Times New Roman"/>
          <w:b/>
        </w:rPr>
      </w:pPr>
    </w:p>
    <w:p w14:paraId="00000008" w14:textId="07D5DA7D" w:rsidR="009D0CF5" w:rsidRPr="004837ED" w:rsidRDefault="00633B1B"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La siguiente ponencia</w:t>
      </w:r>
      <w:r w:rsidR="00D604D2" w:rsidRPr="004837ED">
        <w:rPr>
          <w:rFonts w:ascii="Times New Roman" w:eastAsia="Times New Roman" w:hAnsi="Times New Roman" w:cs="Times New Roman"/>
        </w:rPr>
        <w:t xml:space="preserve"> tiene como objetivo analizar las ideas de nación y patria desarrolladas en las páginas del</w:t>
      </w:r>
      <w:r w:rsidR="00A3272B" w:rsidRPr="004837ED">
        <w:rPr>
          <w:rFonts w:ascii="Times New Roman" w:eastAsia="Times New Roman" w:hAnsi="Times New Roman" w:cs="Times New Roman"/>
        </w:rPr>
        <w:t xml:space="preserve"> primer</w:t>
      </w:r>
      <w:r w:rsidR="00D604D2" w:rsidRPr="004837ED">
        <w:rPr>
          <w:rFonts w:ascii="Times New Roman" w:eastAsia="Times New Roman" w:hAnsi="Times New Roman" w:cs="Times New Roman"/>
        </w:rPr>
        <w:t xml:space="preserve"> Mercurio Peruano con el fin de entender la cultura política de la élite criolla limeña a fines del siglo XVIII. Para ello, voy a centrarme en los debates políticos más importantes expuestos en las páginas del </w:t>
      </w:r>
      <w:r w:rsidR="00252DA9" w:rsidRPr="004837ED">
        <w:rPr>
          <w:rFonts w:ascii="Times New Roman" w:eastAsia="Times New Roman" w:hAnsi="Times New Roman" w:cs="Times New Roman"/>
        </w:rPr>
        <w:t xml:space="preserve">primer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debido a que muestran la evolución del pensamiento criollo limeño, corriente que mostró dos posturas fu</w:t>
      </w:r>
      <w:r w:rsidR="00CA7153" w:rsidRPr="004837ED">
        <w:rPr>
          <w:rFonts w:ascii="Times New Roman" w:eastAsia="Times New Roman" w:hAnsi="Times New Roman" w:cs="Times New Roman"/>
        </w:rPr>
        <w:t>ertemente opuestas que originarí</w:t>
      </w:r>
      <w:r w:rsidR="00D604D2" w:rsidRPr="004837ED">
        <w:rPr>
          <w:rFonts w:ascii="Times New Roman" w:eastAsia="Times New Roman" w:hAnsi="Times New Roman" w:cs="Times New Roman"/>
        </w:rPr>
        <w:t>an diferentes transformaciones sociales en el Perú.</w:t>
      </w:r>
      <w:r w:rsidR="00A3272B" w:rsidRPr="004837ED">
        <w:rPr>
          <w:rFonts w:ascii="Times New Roman" w:eastAsia="Times New Roman" w:hAnsi="Times New Roman" w:cs="Times New Roman"/>
        </w:rPr>
        <w:t xml:space="preserve"> </w:t>
      </w:r>
    </w:p>
    <w:p w14:paraId="700A7698"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eastAsia="Times New Roman" w:hAnsi="Times New Roman" w:cs="Times New Roman"/>
        </w:rPr>
        <w:t xml:space="preserve">El objetivo trazado responde al hecho de reconocer las influencias del primer Mercurio Peruano (1791) en las publicaciones de Víctor </w:t>
      </w:r>
      <w:r w:rsidRPr="004837ED">
        <w:rPr>
          <w:rFonts w:ascii="Times New Roman" w:hAnsi="Times New Roman" w:cs="Times New Roman"/>
          <w:lang w:val="es-MX"/>
        </w:rPr>
        <w:t xml:space="preserve">Andrés Belaunde con el mismo nombre (1918), lo cual supone puntos de encuentro que van más allá de la homonimia. </w:t>
      </w:r>
    </w:p>
    <w:p w14:paraId="15DDC65F" w14:textId="4F01738D"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En este artículo queremos explorar la naturaleza del contexto del surgimiento del primer Mercurio Peruano y evidenciar, así, los elementos que serán esenciales para el pensamiento y discusión de la generación del 900. </w:t>
      </w:r>
    </w:p>
    <w:p w14:paraId="780FF536" w14:textId="67C7FC16"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Mediante un análisis elemental, podremos ver que por parte de Víctor Andrés Belaunde, nos dice mucho que replique el nombre de la publicación debido a que se ve a sí misma cargada de una intención ilustrada y emancipadora; ello nos dice mucho del carácter de la orientación de la renovada </w:t>
      </w:r>
      <w:r w:rsidRPr="004837ED">
        <w:rPr>
          <w:rFonts w:ascii="Times New Roman" w:hAnsi="Times New Roman" w:cs="Times New Roman"/>
          <w:lang w:val="es-MX"/>
        </w:rPr>
        <w:lastRenderedPageBreak/>
        <w:t xml:space="preserve">publicación del centenario, sosteniendo un liberalismo racionalista y, en paralelo al pensamiento de su generación representada por José Carlos Mariátegui, Haya de la Torre, Manuel Gonzáles Prada, José de la Riva-Agüero, entre otros. </w:t>
      </w:r>
    </w:p>
    <w:p w14:paraId="1092DBA3" w14:textId="108C03F5" w:rsidR="00551614"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Así como el primer Mercurio, el del centenario, el cual honra su nombre, se ve forjado por una “Sociedad de Amantes del Perú” y sus puntos de interés coinciden, puesto que ambos buscan difundir mediante la prensa liberal, la médula crítica de una nación libre pensante. Es en este sentido que buscamos atender a las fuentes que originaron </w:t>
      </w:r>
      <w:r w:rsidR="00A360E8" w:rsidRPr="004837ED">
        <w:rPr>
          <w:rFonts w:ascii="Times New Roman" w:hAnsi="Times New Roman" w:cs="Times New Roman"/>
          <w:lang w:val="es-MX"/>
        </w:rPr>
        <w:t xml:space="preserve">que Víctor Andrés Belaunde haya publicado el tercer </w:t>
      </w:r>
      <w:r w:rsidR="00A360E8" w:rsidRPr="004837ED">
        <w:rPr>
          <w:rFonts w:ascii="Times New Roman" w:hAnsi="Times New Roman" w:cs="Times New Roman"/>
          <w:i/>
          <w:lang w:val="es-MX"/>
        </w:rPr>
        <w:t>Mercurio Peruano</w:t>
      </w:r>
      <w:r w:rsidR="00A360E8" w:rsidRPr="004837ED">
        <w:rPr>
          <w:rFonts w:ascii="Times New Roman" w:hAnsi="Times New Roman" w:cs="Times New Roman"/>
          <w:lang w:val="es-MX"/>
        </w:rPr>
        <w:t>.</w:t>
      </w:r>
      <w:r w:rsidRPr="004837ED">
        <w:rPr>
          <w:rFonts w:ascii="Times New Roman" w:hAnsi="Times New Roman" w:cs="Times New Roman"/>
          <w:lang w:val="es-MX"/>
        </w:rPr>
        <w:t xml:space="preserve"> </w:t>
      </w:r>
    </w:p>
    <w:p w14:paraId="1C5C31A8" w14:textId="14F3C152" w:rsidR="00D339AD"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t>La Sociedad de Amantes del País</w:t>
      </w:r>
    </w:p>
    <w:p w14:paraId="0372794A" w14:textId="667FC1F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49). Con el desarrollo de la Ilustración, se había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7777777" w:rsidR="00A360E8"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La Sociedad de Amantes del País, establecida en Lima, se conforma en torno a la cultura ilustrada de la colonia. Su principal propósito, como indica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era “servir a la patria” (</w:t>
      </w:r>
      <w:r w:rsidR="00A360E8" w:rsidRPr="004837ED">
        <w:rPr>
          <w:rFonts w:ascii="Times New Roman" w:hAnsi="Times New Roman" w:cs="Times New Roman"/>
          <w:lang w:val="es-PE"/>
        </w:rPr>
        <w:t xml:space="preserve">Cfr. 2005, </w:t>
      </w:r>
      <w:r w:rsidRPr="004837ED">
        <w:rPr>
          <w:rFonts w:ascii="Times New Roman" w:hAnsi="Times New Roman" w:cs="Times New Roman"/>
          <w:lang w:val="es-PE"/>
        </w:rPr>
        <w:t>p. 50). En el núcleo de su propósito estaban el amor a la Patria y a la Ilustración (</w:t>
      </w:r>
      <w:r w:rsidR="00A360E8" w:rsidRPr="004837ED">
        <w:rPr>
          <w:rFonts w:ascii="Times New Roman" w:hAnsi="Times New Roman" w:cs="Times New Roman"/>
          <w:i/>
          <w:lang w:val="es-PE"/>
        </w:rPr>
        <w:t>Ib.</w:t>
      </w:r>
      <w:r w:rsidRPr="004837ED">
        <w:rPr>
          <w:rFonts w:ascii="Times New Roman" w:hAnsi="Times New Roman" w:cs="Times New Roman"/>
          <w:lang w:val="es-PE"/>
        </w:rPr>
        <w:t>). Ese proyecto se conecta con el nuevo plan de gobierno para las colonias españolas. Las Reformas Borbónicas buscan generar cambios en todos los aspectos de la sociedad, “la administración, la economía, las relaciones entre la Iglesia y la Corona, la sociedad, las instituciones políticas y las costumbres” (</w:t>
      </w:r>
      <w:r w:rsidR="00A360E8" w:rsidRPr="004837ED">
        <w:rPr>
          <w:rFonts w:ascii="Times New Roman" w:hAnsi="Times New Roman" w:cs="Times New Roman"/>
          <w:lang w:val="es-PE"/>
        </w:rPr>
        <w:t xml:space="preserve">2005, </w:t>
      </w:r>
      <w:r w:rsidRPr="004837ED">
        <w:rPr>
          <w:rFonts w:ascii="Times New Roman" w:hAnsi="Times New Roman" w:cs="Times New Roman"/>
          <w:lang w:val="es-PE"/>
        </w:rPr>
        <w:t xml:space="preserve">p. 47). De esta manera, inician una reforma educativa que se alinea con los nuevos principios. </w:t>
      </w:r>
    </w:p>
    <w:p w14:paraId="59A3B235" w14:textId="42F5150D"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lastRenderedPageBreak/>
        <w:t>Tales reformas junto con la nueva Sociedad iniciaron el desarrollo de un proyecto reformista Ilustrado para la modernización del virreinato del país. Así, se constituye como alternativa al conservadurismo, que representaban otras fuerzas de la sociedad.</w:t>
      </w:r>
    </w:p>
    <w:p w14:paraId="77F884CA" w14:textId="7AD3671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El camino para lograr tales propósitos pasaba, necesariamente, por la difusión de conocimiento. En este sentido, se crea un mecanismo para hacerlo: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En la época, los “periódicos eran, para los hombres de fines del siglo XVIII, aquellos escritos que por su naturaleza se dirigían a todos y en lo</w:t>
      </w:r>
      <w:r w:rsidR="00A360E8" w:rsidRPr="004837ED">
        <w:rPr>
          <w:rFonts w:ascii="Times New Roman" w:hAnsi="Times New Roman" w:cs="Times New Roman"/>
          <w:lang w:val="es-PE"/>
        </w:rPr>
        <w:t xml:space="preserve">s que se trataban sin aridez, </w:t>
      </w:r>
      <w:r w:rsidRPr="004837ED">
        <w:rPr>
          <w:rFonts w:ascii="Times New Roman" w:hAnsi="Times New Roman" w:cs="Times New Roman"/>
          <w:lang w:val="es-PE"/>
        </w:rPr>
        <w:t>aquellas verdades útiles cuyo conoci</w:t>
      </w:r>
      <w:r w:rsidR="00A360E8" w:rsidRPr="004837ED">
        <w:rPr>
          <w:rFonts w:ascii="Times New Roman" w:hAnsi="Times New Roman" w:cs="Times New Roman"/>
          <w:lang w:val="es-PE"/>
        </w:rPr>
        <w:t>miento a todos interesa</w:t>
      </w:r>
      <w:r w:rsidRPr="004837ED">
        <w:rPr>
          <w:rFonts w:ascii="Times New Roman" w:hAnsi="Times New Roman" w:cs="Times New Roman"/>
          <w:lang w:val="es-PE"/>
        </w:rPr>
        <w:t>” (2005, p. 57). Por ello, el proyecto del</w:t>
      </w:r>
      <w:r w:rsidR="00A360E8" w:rsidRPr="004837ED">
        <w:rPr>
          <w:rFonts w:ascii="Times New Roman" w:hAnsi="Times New Roman" w:cs="Times New Roman"/>
          <w:lang w:val="es-PE"/>
        </w:rPr>
        <w:t xml:space="preserve"> primer</w:t>
      </w:r>
      <w:r w:rsidRPr="004837ED">
        <w:rPr>
          <w:rFonts w:ascii="Times New Roman" w:hAnsi="Times New Roman" w:cs="Times New Roman"/>
          <w:lang w:val="es-PE"/>
        </w:rPr>
        <w:t xml:space="preserve">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se convertía en la principal herramienta de cambio; </w:t>
      </w:r>
      <w:proofErr w:type="spellStart"/>
      <w:r w:rsidRPr="004837ED">
        <w:rPr>
          <w:rFonts w:ascii="Times New Roman" w:hAnsi="Times New Roman" w:cs="Times New Roman"/>
          <w:lang w:val="es-PE"/>
        </w:rPr>
        <w:t>Guivobich</w:t>
      </w:r>
      <w:proofErr w:type="spellEnd"/>
      <w:r w:rsidRPr="004837ED">
        <w:rPr>
          <w:rFonts w:ascii="Times New Roman" w:hAnsi="Times New Roman" w:cs="Times New Roman"/>
          <w:lang w:val="es-PE"/>
        </w:rPr>
        <w:t xml:space="preserve"> (2005) indica que, más bien, llegó a ser la única;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y la Sociedad de Amantes del País se habían fusionado ya que su labor no iba más allá de la difusión del periódico. </w:t>
      </w:r>
    </w:p>
    <w:p w14:paraId="4E565C41" w14:textId="77777777" w:rsidR="006A685C" w:rsidRPr="004837ED" w:rsidRDefault="00551614" w:rsidP="004837ED">
      <w:pPr>
        <w:spacing w:after="0" w:line="480" w:lineRule="auto"/>
        <w:jc w:val="both"/>
        <w:rPr>
          <w:rFonts w:ascii="Times New Roman" w:hAnsi="Times New Roman" w:cs="Times New Roman"/>
          <w:lang w:val="es-PE"/>
        </w:rPr>
      </w:pPr>
      <w:r w:rsidRPr="004837ED">
        <w:rPr>
          <w:rFonts w:ascii="Times New Roman" w:hAnsi="Times New Roman" w:cs="Times New Roman"/>
          <w:lang w:val="es-PE"/>
        </w:rPr>
        <w:t xml:space="preserve">El patriotismo fue fundamental para el proyecto ilustrado del </w:t>
      </w:r>
      <w:r w:rsidR="006A685C"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porque, según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fue la motivación principal que reunió a los integrantes de dicho periódico. El </w:t>
      </w:r>
      <w:r w:rsidRPr="004837ED">
        <w:rPr>
          <w:rFonts w:ascii="Times New Roman" w:hAnsi="Times New Roman" w:cs="Times New Roman"/>
          <w:i/>
          <w:lang w:val="es-PE"/>
        </w:rPr>
        <w:t>Mercurio</w:t>
      </w:r>
      <w:r w:rsidR="006A685C" w:rsidRPr="004837ED">
        <w:rPr>
          <w:rFonts w:ascii="Times New Roman" w:hAnsi="Times New Roman" w:cs="Times New Roman"/>
          <w:lang w:val="es-PE"/>
        </w:rPr>
        <w:t xml:space="preserve"> que inspirará un siglo después a Víctor Andrés Belaunde</w:t>
      </w:r>
      <w:r w:rsidRPr="004837ED">
        <w:rPr>
          <w:rFonts w:ascii="Times New Roman" w:hAnsi="Times New Roman" w:cs="Times New Roman"/>
          <w:lang w:val="es-PE"/>
        </w:rPr>
        <w:t xml:space="preserve">, era la voz oficial de La Sociedad de Amantes del País, </w:t>
      </w:r>
      <w:r w:rsidR="006A685C" w:rsidRPr="004837ED">
        <w:rPr>
          <w:rFonts w:ascii="Times New Roman" w:hAnsi="Times New Roman" w:cs="Times New Roman"/>
          <w:lang w:val="es-PE"/>
        </w:rPr>
        <w:t xml:space="preserve">la cual </w:t>
      </w:r>
      <w:r w:rsidRPr="004837ED">
        <w:rPr>
          <w:rFonts w:ascii="Times New Roman" w:hAnsi="Times New Roman" w:cs="Times New Roman"/>
          <w:lang w:val="es-PE"/>
        </w:rPr>
        <w:t xml:space="preserve">se propuso difundir las ideas culturales, literarias y políticas de la ilustración a través del país. Uno de sus integrantes menciona: “aun no dudamos añadir que el amor a la ilustración y de la Patria, que empezó a fermentar en el corazón de aquellos jóvenes, no influyó poco en continuación de las tareas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p.50). </w:t>
      </w:r>
    </w:p>
    <w:p w14:paraId="37D2C425" w14:textId="77777777" w:rsidR="006A685C" w:rsidRPr="004837ED" w:rsidRDefault="006A685C" w:rsidP="004837ED">
      <w:pPr>
        <w:spacing w:after="0" w:line="480" w:lineRule="auto"/>
        <w:jc w:val="both"/>
        <w:rPr>
          <w:rFonts w:ascii="Times New Roman" w:hAnsi="Times New Roman" w:cs="Times New Roman"/>
          <w:lang w:val="es-PE"/>
        </w:rPr>
      </w:pPr>
    </w:p>
    <w:p w14:paraId="47FBDF78" w14:textId="2927D76E"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 xml:space="preserve">Por otro lado, según Franco (2018), las páginas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53). En otras palabras, el esfuerzo por conocer el país reflejaba una acción patriótica guiada por la Ilustración. En esa misma línea, puede entenderse el proyecto ilustrado </w:t>
      </w:r>
      <w:r w:rsidRPr="004837ED">
        <w:rPr>
          <w:rFonts w:ascii="Times New Roman" w:hAnsi="Times New Roman" w:cs="Times New Roman"/>
          <w:lang w:val="es-PE"/>
        </w:rPr>
        <w:lastRenderedPageBreak/>
        <w:t xml:space="preserve">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como un estímulo a practicar el patriotismo para la construcción de una sociedad desarrollada en su ámbito económico, político, social y cultural. </w:t>
      </w:r>
    </w:p>
    <w:p w14:paraId="78806B2D" w14:textId="719CA3D7" w:rsidR="00A051B9" w:rsidRDefault="00A051B9" w:rsidP="004837ED">
      <w:pPr>
        <w:pStyle w:val="Prrafodelista"/>
        <w:spacing w:after="0" w:line="480" w:lineRule="auto"/>
        <w:ind w:left="0"/>
        <w:jc w:val="both"/>
        <w:rPr>
          <w:rFonts w:ascii="Times New Roman" w:hAnsi="Times New Roman" w:cs="Times New Roman"/>
          <w:lang w:val="es-PE"/>
        </w:rPr>
      </w:pPr>
    </w:p>
    <w:p w14:paraId="2146711C" w14:textId="77F69DDD" w:rsidR="00A051B9" w:rsidRPr="00A051B9" w:rsidRDefault="00A051B9" w:rsidP="004837ED">
      <w:pPr>
        <w:pStyle w:val="Prrafodelista"/>
        <w:spacing w:after="0" w:line="480" w:lineRule="auto"/>
        <w:ind w:left="0"/>
        <w:jc w:val="both"/>
        <w:rPr>
          <w:rFonts w:ascii="Times New Roman" w:hAnsi="Times New Roman" w:cs="Times New Roman"/>
          <w:lang w:val="es-PE"/>
        </w:rPr>
      </w:pPr>
      <w:r>
        <w:rPr>
          <w:rFonts w:ascii="Times New Roman" w:hAnsi="Times New Roman" w:cs="Times New Roman"/>
          <w:lang w:val="es-PE"/>
        </w:rPr>
        <w:tab/>
        <w:t xml:space="preserve">Es en este sentido, que Víctor Andrés Belaunde escribe en </w:t>
      </w:r>
      <w:r>
        <w:rPr>
          <w:rFonts w:ascii="Times New Roman" w:hAnsi="Times New Roman" w:cs="Times New Roman"/>
          <w:i/>
          <w:lang w:val="es-PE"/>
        </w:rPr>
        <w:t xml:space="preserve">Peruanidad </w:t>
      </w:r>
      <w:r>
        <w:rPr>
          <w:rFonts w:ascii="Times New Roman" w:hAnsi="Times New Roman" w:cs="Times New Roman"/>
          <w:lang w:val="es-PE"/>
        </w:rPr>
        <w:t>(1968) lo siguiente</w:t>
      </w:r>
      <w:r w:rsidR="00FF1C85">
        <w:rPr>
          <w:rFonts w:ascii="Times New Roman" w:hAnsi="Times New Roman" w:cs="Times New Roman"/>
          <w:lang w:val="es-PE"/>
        </w:rPr>
        <w:t xml:space="preserve"> respecto a la relación entre Nación, Patria y Estado en nuestra historia</w:t>
      </w:r>
      <w:r>
        <w:rPr>
          <w:rFonts w:ascii="Times New Roman" w:hAnsi="Times New Roman" w:cs="Times New Roman"/>
          <w:lang w:val="es-PE"/>
        </w:rPr>
        <w:t xml:space="preserve">: “Definimos la peruanidad como el conjunto de elementos o caracteres que hacen del Perú una Nación, una Patria y un Estado. Es conveniente precisar términos; no han equivalido históricamente las palabras nación, patria y estado. La patria, etimológicamente, tierra de los padres, estuvo en la civilización antigua unida a la idea de Ciudad-Estado. (…) El sentimiento de patriotismo que se refería simplemente a la adhesión a la ciudad o comarca se aplica a esta entidad superior y surge el sentimiento nacional. Entonces aparece la coincidencia o equivalencia de las ideas de Nación y Patria. </w:t>
      </w:r>
      <w:r w:rsidR="00FF1C85">
        <w:rPr>
          <w:rFonts w:ascii="Times New Roman" w:hAnsi="Times New Roman" w:cs="Times New Roman"/>
          <w:lang w:val="es-PE"/>
        </w:rPr>
        <w:t>(…) El estado es la nación organizada políticamente.” (Belaunde, 1968, p. 7)</w:t>
      </w:r>
    </w:p>
    <w:p w14:paraId="24B8D42A"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p>
    <w:p w14:paraId="61B0135E" w14:textId="74370EF2"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Para terminar</w:t>
      </w:r>
      <w:r w:rsidR="00F15AE5" w:rsidRPr="004837ED">
        <w:rPr>
          <w:rFonts w:ascii="Times New Roman" w:hAnsi="Times New Roman" w:cs="Times New Roman"/>
          <w:lang w:val="es-PE"/>
        </w:rPr>
        <w:t xml:space="preserve"> esta sección</w:t>
      </w:r>
      <w:r w:rsidRPr="004837ED">
        <w:rPr>
          <w:rFonts w:ascii="Times New Roman" w:hAnsi="Times New Roman" w:cs="Times New Roman"/>
          <w:lang w:val="es-PE"/>
        </w:rPr>
        <w:t xml:space="preserve">, el patriotismo promulgado en el proyecto ilustrado </w:t>
      </w:r>
      <w:proofErr w:type="spellStart"/>
      <w:r w:rsidRPr="004837ED">
        <w:rPr>
          <w:rFonts w:ascii="Times New Roman" w:hAnsi="Times New Roman" w:cs="Times New Roman"/>
          <w:lang w:val="es-PE"/>
        </w:rPr>
        <w:t>mercurista</w:t>
      </w:r>
      <w:proofErr w:type="spellEnd"/>
      <w:r w:rsidRPr="004837ED">
        <w:rPr>
          <w:rFonts w:ascii="Times New Roman" w:hAnsi="Times New Roman" w:cs="Times New Roman"/>
          <w:lang w:val="es-PE"/>
        </w:rPr>
        <w:t xml:space="preserve"> se caracterizó por ser utilitarista. Por esa razón, su reformismo social se asentó en una filosofía moral utilitarista con argumentos prácticos. Los </w:t>
      </w:r>
      <w:proofErr w:type="spellStart"/>
      <w:r w:rsidRPr="004837ED">
        <w:rPr>
          <w:rFonts w:ascii="Times New Roman" w:hAnsi="Times New Roman" w:cs="Times New Roman"/>
          <w:lang w:val="es-PE"/>
        </w:rPr>
        <w:t>mercuristas</w:t>
      </w:r>
      <w:proofErr w:type="spellEnd"/>
      <w:r w:rsidRPr="004837ED">
        <w:rPr>
          <w:rFonts w:ascii="Times New Roman" w:hAnsi="Times New Roman" w:cs="Times New Roman"/>
          <w:lang w:val="es-PE"/>
        </w:rPr>
        <w:t xml:space="preserve"> entendieron la utilidad como una teoría de lo bueno, un principio que orienta la conducta humana en toda esfera de actuación posible y que busca alcanzar la felicidad común (Franco</w:t>
      </w:r>
      <w:r w:rsidR="00FF1C85">
        <w:rPr>
          <w:rFonts w:ascii="Times New Roman" w:hAnsi="Times New Roman" w:cs="Times New Roman"/>
          <w:lang w:val="es-PE"/>
        </w:rPr>
        <w:t>,</w:t>
      </w:r>
      <w:r w:rsidRPr="004837ED">
        <w:rPr>
          <w:rFonts w:ascii="Times New Roman" w:hAnsi="Times New Roman" w:cs="Times New Roman"/>
          <w:lang w:val="es-PE"/>
        </w:rPr>
        <w:t xml:space="preserve">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Sociedad de Amantes del País estaba orientado hacia la felicidad pública como </w:t>
      </w:r>
      <w:proofErr w:type="spellStart"/>
      <w:r w:rsidRPr="004837ED">
        <w:rPr>
          <w:rFonts w:ascii="Times New Roman" w:hAnsi="Times New Roman" w:cs="Times New Roman"/>
          <w:i/>
          <w:lang w:val="es-PE"/>
        </w:rPr>
        <w:t>telos</w:t>
      </w:r>
      <w:proofErr w:type="spellEnd"/>
      <w:r w:rsidRPr="004837ED">
        <w:rPr>
          <w:rFonts w:ascii="Times New Roman" w:hAnsi="Times New Roman" w:cs="Times New Roman"/>
          <w:lang w:val="es-PE"/>
        </w:rPr>
        <w:t>, pero la idea de progreso de los ilustrados criollos a fines del XVIII carecía del espíritu precursor de la emancipación (Franco</w:t>
      </w:r>
      <w:r w:rsidR="00FF1C85">
        <w:rPr>
          <w:rFonts w:ascii="Times New Roman" w:hAnsi="Times New Roman" w:cs="Times New Roman"/>
          <w:lang w:val="es-PE"/>
        </w:rPr>
        <w:t>,</w:t>
      </w:r>
      <w:r w:rsidRPr="004837ED">
        <w:rPr>
          <w:rFonts w:ascii="Times New Roman" w:hAnsi="Times New Roman" w:cs="Times New Roman"/>
          <w:lang w:val="es-PE"/>
        </w:rPr>
        <w:t xml:space="preserve"> 2018, p. 33).</w:t>
      </w:r>
    </w:p>
    <w:p w14:paraId="7F454715" w14:textId="77777777" w:rsidR="00E92B90" w:rsidRPr="004837ED" w:rsidRDefault="00E92B90" w:rsidP="004837ED">
      <w:pPr>
        <w:pStyle w:val="Prrafodelista"/>
        <w:spacing w:after="0" w:line="480" w:lineRule="auto"/>
        <w:ind w:left="0"/>
        <w:jc w:val="both"/>
        <w:rPr>
          <w:rFonts w:ascii="Times New Roman" w:hAnsi="Times New Roman" w:cs="Times New Roman"/>
          <w:lang w:val="es-PE"/>
        </w:rPr>
      </w:pPr>
      <w:bookmarkStart w:id="0" w:name="_GoBack"/>
      <w:bookmarkEnd w:id="0"/>
    </w:p>
    <w:p w14:paraId="3601C1F4" w14:textId="77777777" w:rsidR="00363A90" w:rsidRPr="004837ED" w:rsidRDefault="00363A90" w:rsidP="004837ED">
      <w:pPr>
        <w:pStyle w:val="Prrafodelista"/>
        <w:spacing w:after="0" w:line="480" w:lineRule="auto"/>
        <w:ind w:left="0"/>
        <w:jc w:val="both"/>
        <w:rPr>
          <w:rFonts w:ascii="Times New Roman" w:hAnsi="Times New Roman" w:cs="Times New Roman"/>
          <w:lang w:val="es-PE"/>
        </w:rPr>
      </w:pPr>
    </w:p>
    <w:p w14:paraId="1AB3EC07" w14:textId="4585F782" w:rsidR="00551614"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lastRenderedPageBreak/>
        <w:t xml:space="preserve">Seis ideas del contexto del primer </w:t>
      </w:r>
      <w:r w:rsidRPr="004837ED">
        <w:rPr>
          <w:rFonts w:ascii="Times New Roman" w:hAnsi="Times New Roman" w:cs="Times New Roman"/>
          <w:i/>
          <w:lang w:val="es-MX"/>
        </w:rPr>
        <w:t>Mercurio</w:t>
      </w:r>
    </w:p>
    <w:p w14:paraId="1141C680" w14:textId="0357C35C" w:rsidR="004C5471"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Podemos atender a seis puntos del contexto del surgimiento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que influirán en la publicación del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D604D2" w:rsidRPr="004837ED">
        <w:rPr>
          <w:rFonts w:ascii="Times New Roman" w:eastAsia="Times New Roman" w:hAnsi="Times New Roman" w:cs="Times New Roman"/>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4837ED">
        <w:rPr>
          <w:rFonts w:ascii="Times New Roman" w:eastAsia="Times New Roman" w:hAnsi="Times New Roman" w:cs="Times New Roman"/>
        </w:rPr>
        <w:t>Guibovich</w:t>
      </w:r>
      <w:proofErr w:type="spellEnd"/>
      <w:r w:rsidR="00D604D2" w:rsidRPr="004837ED">
        <w:rPr>
          <w:rFonts w:ascii="Times New Roman" w:eastAsia="Times New Roman" w:hAnsi="Times New Roman" w:cs="Times New Roman"/>
        </w:rPr>
        <w:t xml:space="preserve"> 2005, </w:t>
      </w:r>
      <w:r w:rsidR="00252DA9" w:rsidRPr="004837ED">
        <w:rPr>
          <w:rFonts w:ascii="Times New Roman" w:eastAsia="Times New Roman" w:hAnsi="Times New Roman" w:cs="Times New Roman"/>
        </w:rPr>
        <w:t xml:space="preserve">p. </w:t>
      </w:r>
      <w:r w:rsidR="00D604D2" w:rsidRPr="004837ED">
        <w:rPr>
          <w:rFonts w:ascii="Times New Roman" w:eastAsia="Times New Roman" w:hAnsi="Times New Roman" w:cs="Times New Roman"/>
        </w:rPr>
        <w:t xml:space="preserve">48). </w:t>
      </w:r>
    </w:p>
    <w:p w14:paraId="0000000A" w14:textId="58EE534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Recién en 1792, la </w:t>
      </w:r>
      <w:r w:rsidRPr="004837ED">
        <w:rPr>
          <w:rFonts w:ascii="Times New Roman" w:eastAsia="Times New Roman" w:hAnsi="Times New Roman" w:cs="Times New Roman"/>
          <w:i/>
        </w:rPr>
        <w:t>Sociedad</w:t>
      </w:r>
      <w:r w:rsidRPr="004837ED">
        <w:rPr>
          <w:rFonts w:ascii="Times New Roman" w:eastAsia="Times New Roman" w:hAnsi="Times New Roman" w:cs="Times New Roman"/>
        </w:rPr>
        <w:t xml:space="preserve"> obtiene la autorización del virrey y se denomina como Real Sociedad de Amantes del País </w:t>
      </w:r>
      <w:proofErr w:type="spellStart"/>
      <w:r w:rsidRPr="004837ED">
        <w:rPr>
          <w:rFonts w:ascii="Times New Roman" w:eastAsia="Times New Roman" w:hAnsi="Times New Roman" w:cs="Times New Roman"/>
        </w:rPr>
        <w:t>Limano</w:t>
      </w:r>
      <w:proofErr w:type="spellEnd"/>
      <w:r w:rsidRPr="004837ED">
        <w:rPr>
          <w:rFonts w:ascii="Times New Roman" w:eastAsia="Times New Roman" w:hAnsi="Times New Roman" w:cs="Times New Roman"/>
        </w:rPr>
        <w:t xml:space="preserve"> (</w:t>
      </w:r>
      <w:proofErr w:type="spellStart"/>
      <w:r w:rsidRPr="004837ED">
        <w:rPr>
          <w:rFonts w:ascii="Times New Roman" w:eastAsia="Times New Roman" w:hAnsi="Times New Roman" w:cs="Times New Roman"/>
        </w:rPr>
        <w:t>Guivobich</w:t>
      </w:r>
      <w:proofErr w:type="spellEnd"/>
      <w:r w:rsidRPr="004837ED">
        <w:rPr>
          <w:rFonts w:ascii="Times New Roman" w:eastAsia="Times New Roman" w:hAnsi="Times New Roman" w:cs="Times New Roman"/>
        </w:rPr>
        <w:t xml:space="preserve"> 2005, 53). La principal labor de sus académicos era redactar para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de dirigía a todos. </w:t>
      </w:r>
    </w:p>
    <w:p w14:paraId="0000000B" w14:textId="16AD57BE"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4837ED">
        <w:rPr>
          <w:rFonts w:ascii="Times New Roman" w:eastAsia="Times New Roman" w:hAnsi="Times New Roman" w:cs="Times New Roman"/>
        </w:rPr>
        <w:t xml:space="preserve"> la cual suponía que,</w:t>
      </w:r>
      <w:r w:rsidRPr="004837ED">
        <w:rPr>
          <w:rFonts w:ascii="Times New Roman" w:eastAsia="Times New Roman" w:hAnsi="Times New Roman" w:cs="Times New Roman"/>
        </w:rPr>
        <w:t xml:space="preserve"> como descendientes de los conquistadores, </w:t>
      </w:r>
      <w:r w:rsidR="00157189" w:rsidRPr="004837ED">
        <w:rPr>
          <w:rFonts w:ascii="Times New Roman" w:eastAsia="Times New Roman" w:hAnsi="Times New Roman" w:cs="Times New Roman"/>
        </w:rPr>
        <w:t xml:space="preserve">tenían legítimo </w:t>
      </w:r>
      <w:r w:rsidRPr="004837ED">
        <w:rPr>
          <w:rFonts w:ascii="Times New Roman" w:eastAsia="Times New Roman" w:hAnsi="Times New Roman" w:cs="Times New Roman"/>
        </w:rPr>
        <w:t xml:space="preserve">derecho a ocupar en América puestos relevantes en el gobierno civil y religioso. (Rodríguez 2003, </w:t>
      </w:r>
      <w:r w:rsidR="00157189" w:rsidRPr="004837ED">
        <w:rPr>
          <w:rFonts w:ascii="Times New Roman" w:eastAsia="Times New Roman" w:hAnsi="Times New Roman" w:cs="Times New Roman"/>
        </w:rPr>
        <w:t>p.</w:t>
      </w:r>
      <w:r w:rsidRPr="004837ED">
        <w:rPr>
          <w:rFonts w:ascii="Times New Roman" w:eastAsia="Times New Roman" w:hAnsi="Times New Roman" w:cs="Times New Roman"/>
        </w:rPr>
        <w:t xml:space="preserve">139). La exaltación de las ciudades americanas por parte de los criollos, la enumeración de sus Iglesias, conventos, universidades o la relación de servicios económicos otorgados a la Corona por los españoles americanos para apoyar necesidades militares </w:t>
      </w:r>
      <w:r w:rsidRPr="004837ED">
        <w:rPr>
          <w:rFonts w:ascii="Times New Roman" w:eastAsia="Times New Roman" w:hAnsi="Times New Roman" w:cs="Times New Roman"/>
        </w:rPr>
        <w:lastRenderedPageBreak/>
        <w:t>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 2003, 140).</w:t>
      </w:r>
    </w:p>
    <w:p w14:paraId="0000000C" w14:textId="4A55389B"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tercer lugar, los peruanos ilustrados agrupados en torno al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Mercurio de insistir en la participación del Virreinato en el mismo proceso cultural que se experimentaba en Europa, reduciendo el espacio a aspectos que, como el pasado indígena, marcaban las diferencias entre los criollos y peninsulares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141). De esta manera, los miembros del Mercurio defendieron la </w:t>
      </w:r>
      <w:proofErr w:type="spellStart"/>
      <w:r w:rsidRPr="004837ED">
        <w:rPr>
          <w:rFonts w:ascii="Times New Roman" w:eastAsia="Times New Roman" w:hAnsi="Times New Roman" w:cs="Times New Roman"/>
        </w:rPr>
        <w:t>hispanización</w:t>
      </w:r>
      <w:proofErr w:type="spellEnd"/>
      <w:r w:rsidRPr="004837ED">
        <w:rPr>
          <w:rFonts w:ascii="Times New Roman" w:eastAsia="Times New Roman" w:hAnsi="Times New Roman" w:cs="Times New Roman"/>
        </w:rPr>
        <w:t xml:space="preserve"> de las poblaciones indígenas como política que desembocaría en su aprendizaje del castellano, la práctica de costumbres españolas y el olvido de su pasado prehispánico. Este hecho señala que los redactores del Mercurio veían a las poblaciones indígenas como el reflejo de las primeras civilizaciones, ajenas a los beneficios del comercio y la moderna sociabilidad. En esa línea, la defensa del Virreinato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respondía a la necesidad de fomentar en el país un desarrollo general guiado por la Ilustración.</w:t>
      </w:r>
    </w:p>
    <w:p w14:paraId="1B9DF700" w14:textId="6152A061" w:rsidR="004A11CE"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cuarto lugar, las reformas borbónicas en América obtuvieron una doble respuesta. Por un lado, parte de la élite criolla reivindicó el orden político-jurídico de la Colonia que había regido hasta entonces. Por otro lado, la parte más moderna de la sociedad aceptó los lineamientos borbónicos pues consideraban que podían beneficiarlos y llevarían progreso al Perú. Bajo este contexto,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utilizó un lenguaje político que estaba de acuerdo con las nuevas reformas borbónicas, hecho que queda demostrado mediante la transmisión de noticias locales, la elaboración de discursos geográficos y ensayos históricos con el fin de dar a conocer y delimitar el espacio colonial. </w:t>
      </w:r>
    </w:p>
    <w:p w14:paraId="0000000D" w14:textId="52F5D6E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4837ED">
        <w:rPr>
          <w:rFonts w:ascii="Times New Roman" w:eastAsia="Times New Roman" w:hAnsi="Times New Roman" w:cs="Times New Roman"/>
        </w:rPr>
        <w:t>p. 1</w:t>
      </w:r>
      <w:r w:rsidRPr="004837ED">
        <w:rPr>
          <w:rFonts w:ascii="Times New Roman" w:eastAsia="Times New Roman" w:hAnsi="Times New Roman" w:cs="Times New Roman"/>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delimitó el campo de las reflexiones filosóficas ilustradas para influir sobre la parte moral de los individuos y no en su gobierno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145).</w:t>
      </w:r>
    </w:p>
    <w:p w14:paraId="0000000E" w14:textId="716927D6" w:rsidR="009D0CF5" w:rsidRPr="004837ED" w:rsidRDefault="00D604D2" w:rsidP="004837ED">
      <w:pPr>
        <w:spacing w:line="480" w:lineRule="auto"/>
        <w:jc w:val="both"/>
        <w:rPr>
          <w:rFonts w:ascii="Times New Roman" w:eastAsia="Times New Roman" w:hAnsi="Times New Roman" w:cs="Times New Roman"/>
        </w:rPr>
      </w:pPr>
      <w:bookmarkStart w:id="1" w:name="_gjdgxs" w:colFirst="0" w:colLast="0"/>
      <w:bookmarkEnd w:id="1"/>
      <w:r w:rsidRPr="004837ED">
        <w:rPr>
          <w:rFonts w:ascii="Times New Roman" w:eastAsia="Times New Roman" w:hAnsi="Times New Roman" w:cs="Times New Roman"/>
        </w:rPr>
        <w:t xml:space="preserve">En quinto lugar, se debe analizar el uso de los términos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y patria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que en torno a ellas de construyó gran parte del lenguaje político ilustrado. La nación fue usada por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como la nación indica, como si el nexo de unión no solo fuera su origen étnico sino también su pertenencia a una unidad política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170). Además, este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remitía más a una comunidad cultural antes que política, reflejando así la diversidad de la población del Virreinato. Por ese motivo,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consolidó el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para designar al conjunto de individuos unidos por un </w:t>
      </w:r>
      <w:r w:rsidRPr="004837ED">
        <w:rPr>
          <w:rFonts w:ascii="Times New Roman" w:eastAsia="Times New Roman" w:hAnsi="Times New Roman" w:cs="Times New Roman"/>
        </w:rPr>
        <w:lastRenderedPageBreak/>
        <w:t>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Ultramar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175). Por lo que se puede deducir que el uso del término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por parte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respondió a una identidad católica en la que toda acción política quedaba en manos del Rey y, por lo tanto, no se podía formular una idea de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como un sujeto histórico soberano dotado de derechos constitucionales que se concretaría en un proyecto político independiente de la metrópoli (Franco 2018, </w:t>
      </w:r>
      <w:r w:rsidR="004A11CE" w:rsidRPr="004837ED">
        <w:rPr>
          <w:rFonts w:ascii="Times New Roman" w:eastAsia="Times New Roman" w:hAnsi="Times New Roman" w:cs="Times New Roman"/>
        </w:rPr>
        <w:t xml:space="preserve">pp. </w:t>
      </w:r>
      <w:r w:rsidRPr="004837ED">
        <w:rPr>
          <w:rFonts w:ascii="Times New Roman" w:eastAsia="Times New Roman" w:hAnsi="Times New Roman" w:cs="Times New Roman"/>
        </w:rPr>
        <w:t>17-23).</w:t>
      </w:r>
    </w:p>
    <w:p w14:paraId="0000000F" w14:textId="70880C35"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sexto lugar, en contra posición de este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Francisco de Paula de la Mata 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153). Como resultado, la noción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era mal vista debido a que había revelado posibilidades políticas que no eran compatibles con la visión política de la Corona y se dio protagonismo a la </w:t>
      </w:r>
      <w:r w:rsidRPr="004837ED">
        <w:rPr>
          <w:rFonts w:ascii="Times New Roman" w:eastAsia="Times New Roman" w:hAnsi="Times New Roman" w:cs="Times New Roman"/>
          <w:i/>
        </w:rPr>
        <w:t xml:space="preserve">patria. </w:t>
      </w:r>
      <w:r w:rsidRPr="004837ED">
        <w:rPr>
          <w:rFonts w:ascii="Times New Roman" w:eastAsia="Times New Roman" w:hAnsi="Times New Roman" w:cs="Times New Roman"/>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153).</w:t>
      </w:r>
    </w:p>
    <w:p w14:paraId="00000010" w14:textId="4D7AEFD5"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4837ED">
        <w:rPr>
          <w:rFonts w:ascii="Times New Roman" w:eastAsia="Times New Roman" w:hAnsi="Times New Roman" w:cs="Times New Roman"/>
        </w:rPr>
        <w:t xml:space="preserve">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la perfección de la sociedad por medio del desarrollo cultural ilustrado bajo el control monárquico. Este hecho era coherente con la voluntad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por apoyar el reformismo borbónico.</w:t>
      </w:r>
    </w:p>
    <w:p w14:paraId="00000011" w14:textId="7D59CBDB" w:rsidR="009D0CF5"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otra línea, los temores de un criollismo receloso ante proyectos de unificación en términos de creación de un solo cuerpo de nación, como el de la Mata, unidos a un lenguaje patriótico, no nacion</w:t>
      </w:r>
      <w:r w:rsidR="00A3463D" w:rsidRPr="004837ED">
        <w:rPr>
          <w:rFonts w:ascii="Times New Roman" w:eastAsia="Times New Roman" w:hAnsi="Times New Roman" w:cs="Times New Roman"/>
        </w:rPr>
        <w:t>al</w:t>
      </w:r>
      <w:r w:rsidRPr="004837ED">
        <w:rPr>
          <w:rFonts w:ascii="Times New Roman" w:eastAsia="Times New Roman" w:hAnsi="Times New Roman" w:cs="Times New Roman"/>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78EE9780" w14:textId="77777777" w:rsidR="00E92B90" w:rsidRDefault="00E92B90" w:rsidP="004837ED">
      <w:pPr>
        <w:spacing w:line="480" w:lineRule="auto"/>
        <w:jc w:val="both"/>
        <w:rPr>
          <w:rFonts w:ascii="Times New Roman" w:eastAsia="Times New Roman" w:hAnsi="Times New Roman" w:cs="Times New Roman"/>
        </w:rPr>
      </w:pPr>
    </w:p>
    <w:p w14:paraId="77B9AADE" w14:textId="77777777" w:rsidR="004837ED" w:rsidRPr="004837ED" w:rsidRDefault="004837ED" w:rsidP="004837ED">
      <w:pPr>
        <w:spacing w:line="480" w:lineRule="auto"/>
        <w:jc w:val="both"/>
        <w:rPr>
          <w:rFonts w:ascii="Times New Roman" w:eastAsia="Times New Roman" w:hAnsi="Times New Roman" w:cs="Times New Roman"/>
        </w:rPr>
      </w:pPr>
    </w:p>
    <w:p w14:paraId="20827BE5" w14:textId="15347759" w:rsidR="00551614" w:rsidRPr="004837ED" w:rsidRDefault="00551614" w:rsidP="004837ED">
      <w:pPr>
        <w:pStyle w:val="Prrafodelista"/>
        <w:numPr>
          <w:ilvl w:val="0"/>
          <w:numId w:val="3"/>
        </w:num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Conclusiones:</w:t>
      </w:r>
    </w:p>
    <w:p w14:paraId="3C657330" w14:textId="16AB61EA" w:rsidR="000F2906" w:rsidRPr="004837ED" w:rsidRDefault="000F2906"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Estos elementos mencionados suponen el contexto del primer Mercurio Peruano, y podemos considerar en tales perspectivas el surgimiento del proyecto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en el c</w:t>
      </w:r>
      <w:r w:rsidR="001B40DF" w:rsidRPr="004837ED">
        <w:rPr>
          <w:rFonts w:ascii="Times New Roman" w:eastAsia="Times New Roman" w:hAnsi="Times New Roman" w:cs="Times New Roman"/>
        </w:rPr>
        <w:t xml:space="preserve">entenario, así como nos permite explicarnos en qué sentido se le conoce al pensador arequipeño como “el </w:t>
      </w:r>
      <w:proofErr w:type="spellStart"/>
      <w:r w:rsidR="001B40DF" w:rsidRPr="004837ED">
        <w:rPr>
          <w:rFonts w:ascii="Times New Roman" w:eastAsia="Times New Roman" w:hAnsi="Times New Roman" w:cs="Times New Roman"/>
        </w:rPr>
        <w:t>peruanista</w:t>
      </w:r>
      <w:proofErr w:type="spellEnd"/>
      <w:r w:rsidR="001B40DF" w:rsidRPr="004837ED">
        <w:rPr>
          <w:rFonts w:ascii="Times New Roman" w:eastAsia="Times New Roman" w:hAnsi="Times New Roman" w:cs="Times New Roman"/>
        </w:rPr>
        <w:t>”.</w:t>
      </w:r>
    </w:p>
    <w:p w14:paraId="21C2D4E7" w14:textId="16A9F212"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Su pensamiento p</w:t>
      </w:r>
      <w:r w:rsidR="00551614" w:rsidRPr="004837ED">
        <w:rPr>
          <w:rFonts w:ascii="Times New Roman" w:eastAsia="Times New Roman" w:hAnsi="Times New Roman" w:cs="Times New Roman"/>
        </w:rPr>
        <w:t>u</w:t>
      </w:r>
      <w:r w:rsidRPr="004837ED">
        <w:rPr>
          <w:rFonts w:ascii="Times New Roman" w:eastAsia="Times New Roman" w:hAnsi="Times New Roman" w:cs="Times New Roman"/>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relación al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cabe mencionar el precedente de la revista </w:t>
      </w:r>
      <w:r w:rsidRPr="004837ED">
        <w:rPr>
          <w:rFonts w:ascii="Times New Roman" w:eastAsia="Times New Roman" w:hAnsi="Times New Roman" w:cs="Times New Roman"/>
          <w:i/>
        </w:rPr>
        <w:t>Ilustración Peruana</w:t>
      </w:r>
      <w:r w:rsidRPr="004837ED">
        <w:rPr>
          <w:rFonts w:ascii="Times New Roman" w:eastAsia="Times New Roman" w:hAnsi="Times New Roman" w:cs="Times New Roman"/>
        </w:rPr>
        <w:t xml:space="preserve">, la cual da cuenta del interés del autor. En el mismo sentido, cabe mencionar su discurso frente al gobierno dictatorial </w:t>
      </w:r>
      <w:r w:rsidR="00FA112A" w:rsidRPr="004837ED">
        <w:rPr>
          <w:rFonts w:ascii="Times New Roman" w:eastAsia="Times New Roman" w:hAnsi="Times New Roman" w:cs="Times New Roman"/>
        </w:rPr>
        <w:t xml:space="preserve">de los años 20 en el patio de San Marcos, condenando la expropiación de un diario, y reclamando la fundamental importancia de la libre expresión. Al mismo tiempo, pedía la liberación de los presos políticos. </w:t>
      </w:r>
    </w:p>
    <w:p w14:paraId="187CE2ED" w14:textId="52292EE3" w:rsidR="00FA112A" w:rsidRPr="004837ED" w:rsidRDefault="00FA112A"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modo de represalia, el gobierno lo encarceló en la isla San Lorenzo, para luego desterrarlo a Panamá. El exilio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duró cerca de diez años y habiendo caído el poder de Augusto B. Leguía, pudo regresar para realizar labores en la función pública.</w:t>
      </w:r>
    </w:p>
    <w:p w14:paraId="4D7D2951" w14:textId="082AFC11" w:rsidR="00FA112A" w:rsidRPr="004837ED" w:rsidRDefault="00FA112A" w:rsidP="004837ED">
      <w:pPr>
        <w:spacing w:line="480" w:lineRule="auto"/>
        <w:jc w:val="both"/>
        <w:rPr>
          <w:rFonts w:ascii="Times New Roman" w:eastAsia="Times New Roman" w:hAnsi="Times New Roman" w:cs="Times New Roman"/>
          <w:i/>
        </w:rPr>
      </w:pPr>
      <w:r w:rsidRPr="004837ED">
        <w:rPr>
          <w:rFonts w:ascii="Times New Roman" w:eastAsia="Times New Roman" w:hAnsi="Times New Roman" w:cs="Times New Roman"/>
        </w:rPr>
        <w:t xml:space="preserve">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había quedado atrás, pero la línea de pensamiento que su director h</w:t>
      </w:r>
      <w:r w:rsidR="00890022" w:rsidRPr="004837ED">
        <w:rPr>
          <w:rFonts w:ascii="Times New Roman" w:eastAsia="Times New Roman" w:hAnsi="Times New Roman" w:cs="Times New Roman"/>
        </w:rPr>
        <w:t>abía impreso, se extiende y refleja</w:t>
      </w:r>
      <w:r w:rsidRPr="004837ED">
        <w:rPr>
          <w:rFonts w:ascii="Times New Roman" w:eastAsia="Times New Roman" w:hAnsi="Times New Roman" w:cs="Times New Roman"/>
        </w:rPr>
        <w:t xml:space="preserve"> en </w:t>
      </w:r>
      <w:r w:rsidR="00890022" w:rsidRPr="004837ED">
        <w:rPr>
          <w:rFonts w:ascii="Times New Roman" w:eastAsia="Times New Roman" w:hAnsi="Times New Roman" w:cs="Times New Roman"/>
        </w:rPr>
        <w:t xml:space="preserve">la totalidad de </w:t>
      </w:r>
      <w:r w:rsidRPr="004837ED">
        <w:rPr>
          <w:rFonts w:ascii="Times New Roman" w:eastAsia="Times New Roman" w:hAnsi="Times New Roman" w:cs="Times New Roman"/>
        </w:rPr>
        <w:t xml:space="preserve">su obra y, conserva gran cercanía con los elementos mencionados respecto al contexto del surgimiento del primer </w:t>
      </w:r>
      <w:r w:rsidRPr="004837ED">
        <w:rPr>
          <w:rFonts w:ascii="Times New Roman" w:eastAsia="Times New Roman" w:hAnsi="Times New Roman" w:cs="Times New Roman"/>
          <w:i/>
        </w:rPr>
        <w:t>Mercurio.</w:t>
      </w:r>
    </w:p>
    <w:p w14:paraId="53503E97" w14:textId="66418BF2" w:rsidR="00890022" w:rsidRDefault="0089002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reconocido como un “Amante del Perú” y</w:t>
      </w:r>
      <w:r w:rsidR="006633CC" w:rsidRPr="004837ED">
        <w:rPr>
          <w:rFonts w:ascii="Times New Roman" w:eastAsia="Times New Roman" w:hAnsi="Times New Roman" w:cs="Times New Roman"/>
        </w:rPr>
        <w:t xml:space="preserve"> sus obras reflejan la intención por aplicar el pensamiento y la reflexión a temas peruanos. Ejemplo de ello puede tenerse en </w:t>
      </w:r>
      <w:r w:rsidR="006633CC" w:rsidRPr="004837ED">
        <w:rPr>
          <w:rFonts w:ascii="Times New Roman" w:eastAsia="Times New Roman" w:hAnsi="Times New Roman" w:cs="Times New Roman"/>
          <w:i/>
        </w:rPr>
        <w:t xml:space="preserve">La filosofía del Derecho y el Método positivo </w:t>
      </w:r>
      <w:r w:rsidR="006633CC" w:rsidRPr="004837ED">
        <w:rPr>
          <w:rFonts w:ascii="Times New Roman" w:eastAsia="Times New Roman" w:hAnsi="Times New Roman" w:cs="Times New Roman"/>
        </w:rPr>
        <w:t>(1904),</w:t>
      </w:r>
      <w:r w:rsidR="006633CC" w:rsidRPr="004837ED">
        <w:rPr>
          <w:rFonts w:ascii="Times New Roman" w:eastAsia="Times New Roman" w:hAnsi="Times New Roman" w:cs="Times New Roman"/>
          <w:i/>
        </w:rPr>
        <w:t xml:space="preserve"> El </w:t>
      </w:r>
      <w:r w:rsidR="00A2316A" w:rsidRPr="004837ED">
        <w:rPr>
          <w:rFonts w:ascii="Times New Roman" w:eastAsia="Times New Roman" w:hAnsi="Times New Roman" w:cs="Times New Roman"/>
          <w:i/>
        </w:rPr>
        <w:t>Perú</w:t>
      </w:r>
      <w:r w:rsidR="006633CC" w:rsidRPr="004837ED">
        <w:rPr>
          <w:rFonts w:ascii="Times New Roman" w:eastAsia="Times New Roman" w:hAnsi="Times New Roman" w:cs="Times New Roman"/>
          <w:i/>
        </w:rPr>
        <w:t xml:space="preserve"> antiguo y los modernos sociólogos </w:t>
      </w:r>
      <w:r w:rsidR="006633CC" w:rsidRPr="004837ED">
        <w:rPr>
          <w:rFonts w:ascii="Times New Roman" w:eastAsia="Times New Roman" w:hAnsi="Times New Roman" w:cs="Times New Roman"/>
        </w:rPr>
        <w:t>(1908)</w:t>
      </w:r>
      <w:r w:rsidR="006633CC" w:rsidRPr="004837ED">
        <w:rPr>
          <w:rFonts w:ascii="Times New Roman" w:eastAsia="Times New Roman" w:hAnsi="Times New Roman" w:cs="Times New Roman"/>
          <w:i/>
        </w:rPr>
        <w:t xml:space="preserve">, Ensayos de Psicología Nacional </w:t>
      </w:r>
      <w:r w:rsidR="006633CC" w:rsidRPr="004837ED">
        <w:rPr>
          <w:rFonts w:ascii="Times New Roman" w:eastAsia="Times New Roman" w:hAnsi="Times New Roman" w:cs="Times New Roman"/>
        </w:rPr>
        <w:t>(1912)</w:t>
      </w:r>
      <w:r w:rsidR="006633CC" w:rsidRPr="004837ED">
        <w:rPr>
          <w:rFonts w:ascii="Times New Roman" w:eastAsia="Times New Roman" w:hAnsi="Times New Roman" w:cs="Times New Roman"/>
          <w:i/>
        </w:rPr>
        <w:t>, Meditaciones Peruanas</w:t>
      </w:r>
      <w:r w:rsidR="006633CC" w:rsidRPr="004837ED">
        <w:rPr>
          <w:rFonts w:ascii="Times New Roman" w:eastAsia="Times New Roman" w:hAnsi="Times New Roman" w:cs="Times New Roman"/>
        </w:rPr>
        <w:t xml:space="preserve"> (1917</w:t>
      </w:r>
      <w:r w:rsidR="006633CC" w:rsidRPr="004837ED">
        <w:rPr>
          <w:rFonts w:ascii="Times New Roman" w:eastAsia="Times New Roman" w:hAnsi="Times New Roman" w:cs="Times New Roman"/>
          <w:i/>
        </w:rPr>
        <w:t xml:space="preserve">), La realidad nacional </w:t>
      </w:r>
      <w:r w:rsidR="006633CC" w:rsidRPr="004837ED">
        <w:rPr>
          <w:rFonts w:ascii="Times New Roman" w:eastAsia="Times New Roman" w:hAnsi="Times New Roman" w:cs="Times New Roman"/>
        </w:rPr>
        <w:t>(1931),</w:t>
      </w:r>
      <w:r w:rsidR="006633CC" w:rsidRPr="004837ED">
        <w:rPr>
          <w:rFonts w:ascii="Times New Roman" w:eastAsia="Times New Roman" w:hAnsi="Times New Roman" w:cs="Times New Roman"/>
          <w:i/>
        </w:rPr>
        <w:t xml:space="preserve"> Peruanidad </w:t>
      </w:r>
      <w:r w:rsidR="006633CC" w:rsidRPr="004837ED">
        <w:rPr>
          <w:rFonts w:ascii="Times New Roman" w:eastAsia="Times New Roman" w:hAnsi="Times New Roman" w:cs="Times New Roman"/>
        </w:rPr>
        <w:t>(1942),</w:t>
      </w:r>
      <w:r w:rsidR="006633CC" w:rsidRPr="004837ED">
        <w:rPr>
          <w:rFonts w:ascii="Times New Roman" w:eastAsia="Times New Roman" w:hAnsi="Times New Roman" w:cs="Times New Roman"/>
          <w:i/>
        </w:rPr>
        <w:t xml:space="preserve"> El planteamiento del problema nacional </w:t>
      </w:r>
      <w:r w:rsidR="006633CC" w:rsidRPr="004837ED">
        <w:rPr>
          <w:rFonts w:ascii="Times New Roman" w:eastAsia="Times New Roman" w:hAnsi="Times New Roman" w:cs="Times New Roman"/>
        </w:rPr>
        <w:t>(1962),</w:t>
      </w:r>
      <w:r w:rsidR="006633CC" w:rsidRPr="004837ED">
        <w:rPr>
          <w:rFonts w:ascii="Times New Roman" w:eastAsia="Times New Roman" w:hAnsi="Times New Roman" w:cs="Times New Roman"/>
          <w:i/>
        </w:rPr>
        <w:t xml:space="preserve"> </w:t>
      </w:r>
      <w:r w:rsidR="006633CC" w:rsidRPr="004837ED">
        <w:rPr>
          <w:rFonts w:ascii="Times New Roman" w:eastAsia="Times New Roman" w:hAnsi="Times New Roman" w:cs="Times New Roman"/>
        </w:rPr>
        <w:t xml:space="preserve">entre otros. Todos ellos, </w:t>
      </w:r>
      <w:r w:rsidR="006633CC" w:rsidRPr="004837ED">
        <w:rPr>
          <w:rFonts w:ascii="Times New Roman" w:eastAsia="Times New Roman" w:hAnsi="Times New Roman" w:cs="Times New Roman"/>
        </w:rPr>
        <w:lastRenderedPageBreak/>
        <w:t xml:space="preserve">como se evidencia, conservan aquel interés por pensar lo peruano y fomentar el pensamiento crítico que se opone </w:t>
      </w:r>
      <w:r w:rsidR="00660B0F" w:rsidRPr="004837ED">
        <w:rPr>
          <w:rFonts w:ascii="Times New Roman" w:eastAsia="Times New Roman" w:hAnsi="Times New Roman" w:cs="Times New Roman"/>
        </w:rPr>
        <w:t xml:space="preserve">a la opresión de regímenes dictatoriales que limiten las libertades individuales. </w:t>
      </w:r>
    </w:p>
    <w:p w14:paraId="7BA2A8BD" w14:textId="79A6642E" w:rsidR="00E9131A" w:rsidRPr="00E9131A" w:rsidRDefault="00E9131A"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w:t>
      </w:r>
      <w:r>
        <w:rPr>
          <w:rFonts w:ascii="Times New Roman" w:eastAsia="Times New Roman" w:hAnsi="Times New Roman" w:cs="Times New Roman"/>
          <w:i/>
        </w:rPr>
        <w:t>La Realidad Nacional</w:t>
      </w:r>
      <w:r>
        <w:rPr>
          <w:rFonts w:ascii="Times New Roman" w:eastAsia="Times New Roman" w:hAnsi="Times New Roman" w:cs="Times New Roman"/>
        </w:rPr>
        <w:t xml:space="preserve"> (1980), prologado por Luis Alberto Sánchez, Belaunde refiere el problema del indio en discusión con Mariátegui. Del mismo modo, en un sentido tradicionalmente liberal, discute el problema religioso</w:t>
      </w:r>
      <w:r w:rsidR="00793BB3">
        <w:rPr>
          <w:rFonts w:ascii="Times New Roman" w:eastAsia="Times New Roman" w:hAnsi="Times New Roman" w:cs="Times New Roman"/>
        </w:rPr>
        <w:t>. Refiere lo siguiente “Nuestro primer liberalismo fue tímido; y cuando intentó algunas reformas de verdadera hostilidad contra la Iglesia, como las del gobierno del 67, fue derribado por una de las más populares revoluciones del Perú: la del 68” (Belaunde, 1980, p. 98) El autor se refiere al golpe de Juan Velazco Alvarado al gobierno del electo Fernando Belaunde Terry.</w:t>
      </w:r>
      <w:r w:rsidR="00DF44B0">
        <w:rPr>
          <w:rFonts w:ascii="Times New Roman" w:eastAsia="Times New Roman" w:hAnsi="Times New Roman" w:cs="Times New Roman"/>
        </w:rPr>
        <w:t xml:space="preserve"> En la misma línea, Augusto 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xml:space="preserve"> refiere lo siguiente: “Agnóstico y hasta crítico de la religión en su juventud” (Salazar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1965, p. 202)</w:t>
      </w:r>
    </w:p>
    <w:p w14:paraId="463EF3D1" w14:textId="4A8E3A43"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podemos dejar de mencionar otro elemento que comparte el pensador del centenario en miras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 es que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subscribe los lineamientos morales del sujeto católico. Ello no le limita para verse influenciado por la corriente del 900 que profesa un radicalismo liberal. </w:t>
      </w:r>
      <w:r w:rsidR="007B2D7F">
        <w:rPr>
          <w:rFonts w:ascii="Times New Roman" w:eastAsia="Times New Roman" w:hAnsi="Times New Roman" w:cs="Times New Roman"/>
        </w:rPr>
        <w:t>Pedro Planas (1994) refiere su pensamiento como uno social-cristiano, que se caracteriza por un espíritu que se traduce en la crítica realizada al fascismo. En este sentido, Planas refiere: “Fue así, como al mes siguiente, la revista que fundó en 1918, el “Mercurio Peruano”, publicó un extenso artículo suyo intitulado, precisamente “Un Año de Fascismo” (Nº66 pp. 250-256. Dic. 1923) (Planas, 2004, p.305)</w:t>
      </w:r>
    </w:p>
    <w:p w14:paraId="01A95A97" w14:textId="1E6E77B5"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No sólo la obra del pensador arequipeño refleja un amor patriótico</w:t>
      </w:r>
      <w:r w:rsidR="007B2D7F">
        <w:rPr>
          <w:rFonts w:ascii="Times New Roman" w:eastAsia="Times New Roman" w:hAnsi="Times New Roman" w:cs="Times New Roman"/>
        </w:rPr>
        <w:t xml:space="preserve"> y a la libertad</w:t>
      </w:r>
      <w:r w:rsidRPr="004837ED">
        <w:rPr>
          <w:rFonts w:ascii="Times New Roman" w:eastAsia="Times New Roman" w:hAnsi="Times New Roman" w:cs="Times New Roman"/>
        </w:rPr>
        <w:t xml:space="preserve">, sino que su labor pública refleja una vida de entrega absoluta al Perú, en lo intelectual y político. Prueba de ello se ofrece en el mérito y honor de haber sido nombrado presidente de la Asamblea General de las Naciones Unidas </w:t>
      </w:r>
      <w:r w:rsidR="00A2316A" w:rsidRPr="004837ED">
        <w:rPr>
          <w:rFonts w:ascii="Times New Roman" w:eastAsia="Times New Roman" w:hAnsi="Times New Roman" w:cs="Times New Roman"/>
        </w:rPr>
        <w:t>entre 1959 y 1960.</w:t>
      </w:r>
      <w:r w:rsidR="004B2110">
        <w:rPr>
          <w:rFonts w:ascii="Times New Roman" w:eastAsia="Times New Roman" w:hAnsi="Times New Roman" w:cs="Times New Roman"/>
        </w:rPr>
        <w:t xml:space="preserve"> De modo que el impacto que tiene en el pensamiento político americano es evidente.</w:t>
      </w:r>
      <w:r w:rsidR="00A2316A" w:rsidRPr="004837ED">
        <w:rPr>
          <w:rFonts w:ascii="Times New Roman" w:eastAsia="Times New Roman" w:hAnsi="Times New Roman" w:cs="Times New Roman"/>
        </w:rPr>
        <w:t xml:space="preserve"> </w:t>
      </w:r>
      <w:r w:rsidR="00DB0083">
        <w:rPr>
          <w:rFonts w:ascii="Times New Roman" w:eastAsia="Times New Roman" w:hAnsi="Times New Roman" w:cs="Times New Roman"/>
        </w:rPr>
        <w:t>De acuerdo a Castro (1994) Belaunde “funda una nueva visión pragmática y política. Observador inteligente (…) inaugura una nueva perspectiva moderna” (Castro, 1994, p. 121)</w:t>
      </w:r>
    </w:p>
    <w:p w14:paraId="4ADEC48E" w14:textId="55246E0A" w:rsidR="00304120" w:rsidRPr="004837ED" w:rsidRDefault="00D339AD"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En esta ponencia hemos querido rescatar los elementos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establecer relaciones con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tercero de Víctor Andrés Belaúnde. </w:t>
      </w:r>
      <w:r w:rsidR="00005CB0" w:rsidRPr="004837ED">
        <w:rPr>
          <w:rFonts w:ascii="Times New Roman" w:eastAsia="Times New Roman" w:hAnsi="Times New Roman" w:cs="Times New Roman"/>
        </w:rPr>
        <w:t>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sidRPr="004837ED">
        <w:rPr>
          <w:rFonts w:ascii="Times New Roman" w:eastAsia="Times New Roman" w:hAnsi="Times New Roman" w:cs="Times New Roman"/>
        </w:rPr>
        <w:t>u</w:t>
      </w:r>
      <w:r w:rsidR="00005CB0" w:rsidRPr="004837ED">
        <w:rPr>
          <w:rFonts w:ascii="Times New Roman" w:eastAsia="Times New Roman" w:hAnsi="Times New Roman" w:cs="Times New Roman"/>
        </w:rPr>
        <w:t>e la original publicación de la Sociedad de Amantes del Perú.</w:t>
      </w:r>
    </w:p>
    <w:p w14:paraId="719E59A9" w14:textId="62E2950A" w:rsidR="00F15AE5" w:rsidRPr="004837ED" w:rsidRDefault="00F15AE5" w:rsidP="004837ED">
      <w:pPr>
        <w:spacing w:line="480" w:lineRule="auto"/>
        <w:jc w:val="both"/>
        <w:rPr>
          <w:rFonts w:ascii="Times New Roman" w:eastAsia="Times New Roman" w:hAnsi="Times New Roman" w:cs="Times New Roman"/>
        </w:rPr>
      </w:pPr>
    </w:p>
    <w:p w14:paraId="297C8929" w14:textId="29A6AC48" w:rsidR="00F15AE5" w:rsidRPr="004837ED" w:rsidRDefault="00F15AE5" w:rsidP="004837ED">
      <w:pPr>
        <w:spacing w:line="480" w:lineRule="auto"/>
        <w:jc w:val="both"/>
        <w:rPr>
          <w:rFonts w:ascii="Times New Roman" w:eastAsia="Times New Roman" w:hAnsi="Times New Roman" w:cs="Times New Roman"/>
        </w:rPr>
      </w:pPr>
    </w:p>
    <w:p w14:paraId="7A2C1D72" w14:textId="09728FB6" w:rsidR="00F15AE5" w:rsidRPr="004837ED" w:rsidRDefault="00F15AE5" w:rsidP="004837ED">
      <w:pPr>
        <w:spacing w:line="480" w:lineRule="auto"/>
        <w:jc w:val="both"/>
        <w:rPr>
          <w:rFonts w:ascii="Times New Roman" w:eastAsia="Times New Roman" w:hAnsi="Times New Roman" w:cs="Times New Roman"/>
        </w:rPr>
      </w:pPr>
    </w:p>
    <w:p w14:paraId="253D6C56" w14:textId="279F69F8" w:rsidR="00F15AE5" w:rsidRDefault="00F15AE5" w:rsidP="004837ED">
      <w:pPr>
        <w:spacing w:line="480" w:lineRule="auto"/>
        <w:jc w:val="both"/>
        <w:rPr>
          <w:rFonts w:ascii="Times New Roman" w:eastAsia="Times New Roman" w:hAnsi="Times New Roman" w:cs="Times New Roman"/>
        </w:rPr>
      </w:pPr>
    </w:p>
    <w:p w14:paraId="29B122B7" w14:textId="0B8DA0BC" w:rsidR="004837ED" w:rsidRDefault="004837ED" w:rsidP="004837ED">
      <w:pPr>
        <w:spacing w:line="480" w:lineRule="auto"/>
        <w:jc w:val="both"/>
        <w:rPr>
          <w:rFonts w:ascii="Times New Roman" w:eastAsia="Times New Roman" w:hAnsi="Times New Roman" w:cs="Times New Roman"/>
        </w:rPr>
      </w:pPr>
    </w:p>
    <w:p w14:paraId="535C0AC0" w14:textId="0D153DA9" w:rsidR="004837ED" w:rsidRDefault="004837ED" w:rsidP="004837ED">
      <w:pPr>
        <w:spacing w:line="480" w:lineRule="auto"/>
        <w:jc w:val="both"/>
        <w:rPr>
          <w:rFonts w:ascii="Times New Roman" w:eastAsia="Times New Roman" w:hAnsi="Times New Roman" w:cs="Times New Roman"/>
        </w:rPr>
      </w:pPr>
    </w:p>
    <w:p w14:paraId="02EB265C" w14:textId="122B401C" w:rsidR="004837ED" w:rsidRDefault="004837ED" w:rsidP="004837ED">
      <w:pPr>
        <w:spacing w:line="480" w:lineRule="auto"/>
        <w:jc w:val="both"/>
        <w:rPr>
          <w:rFonts w:ascii="Times New Roman" w:eastAsia="Times New Roman" w:hAnsi="Times New Roman" w:cs="Times New Roman"/>
        </w:rPr>
      </w:pPr>
    </w:p>
    <w:p w14:paraId="20473DDB" w14:textId="681CB035" w:rsidR="004837ED" w:rsidRDefault="004837ED" w:rsidP="004837ED">
      <w:pPr>
        <w:spacing w:line="480" w:lineRule="auto"/>
        <w:jc w:val="both"/>
        <w:rPr>
          <w:rFonts w:ascii="Times New Roman" w:eastAsia="Times New Roman" w:hAnsi="Times New Roman" w:cs="Times New Roman"/>
        </w:rPr>
      </w:pPr>
    </w:p>
    <w:p w14:paraId="2FA0BD31" w14:textId="4486D5C5" w:rsidR="004837ED" w:rsidRDefault="004837ED" w:rsidP="004837ED">
      <w:pPr>
        <w:spacing w:line="480" w:lineRule="auto"/>
        <w:jc w:val="both"/>
        <w:rPr>
          <w:rFonts w:ascii="Times New Roman" w:eastAsia="Times New Roman" w:hAnsi="Times New Roman" w:cs="Times New Roman"/>
        </w:rPr>
      </w:pPr>
    </w:p>
    <w:p w14:paraId="03C3BFA9" w14:textId="0FC6986E" w:rsidR="00C177BB" w:rsidRDefault="00C177BB">
      <w:pPr>
        <w:rPr>
          <w:rFonts w:ascii="Times New Roman" w:eastAsia="Times New Roman" w:hAnsi="Times New Roman" w:cs="Times New Roman"/>
        </w:rPr>
      </w:pPr>
      <w:r>
        <w:rPr>
          <w:rFonts w:ascii="Times New Roman" w:eastAsia="Times New Roman" w:hAnsi="Times New Roman" w:cs="Times New Roman"/>
        </w:rPr>
        <w:br w:type="page"/>
      </w:r>
    </w:p>
    <w:p w14:paraId="00000021" w14:textId="1B79BBB7" w:rsidR="009D0CF5" w:rsidRPr="004837ED" w:rsidRDefault="00D604D2" w:rsidP="004837ED">
      <w:pPr>
        <w:spacing w:line="480" w:lineRule="auto"/>
        <w:jc w:val="both"/>
        <w:rPr>
          <w:rFonts w:ascii="Times New Roman" w:eastAsia="Times New Roman" w:hAnsi="Times New Roman" w:cs="Times New Roman"/>
          <w:b/>
        </w:rPr>
      </w:pPr>
      <w:r w:rsidRPr="004837ED">
        <w:rPr>
          <w:rFonts w:ascii="Times New Roman" w:eastAsia="Times New Roman" w:hAnsi="Times New Roman" w:cs="Times New Roman"/>
          <w:b/>
        </w:rPr>
        <w:lastRenderedPageBreak/>
        <w:t>Bibliografía</w:t>
      </w:r>
    </w:p>
    <w:p w14:paraId="19366975" w14:textId="77777777" w:rsidR="006F4638" w:rsidRPr="00A051B9"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Belaunde, V. A. (1968) </w:t>
      </w:r>
      <w:r w:rsidRPr="006F4638">
        <w:rPr>
          <w:rFonts w:ascii="Times New Roman" w:eastAsia="Times New Roman" w:hAnsi="Times New Roman" w:cs="Times New Roman"/>
          <w:b/>
          <w:i/>
          <w:color w:val="000000"/>
        </w:rPr>
        <w:t>Peruanidad</w:t>
      </w:r>
      <w:r>
        <w:rPr>
          <w:rFonts w:ascii="Times New Roman" w:eastAsia="Times New Roman" w:hAnsi="Times New Roman" w:cs="Times New Roman"/>
          <w:color w:val="000000"/>
        </w:rPr>
        <w:t>. PUCP. Instituto Riva-Agüero</w:t>
      </w:r>
    </w:p>
    <w:p w14:paraId="57786CAB" w14:textId="4C67CDE3" w:rsidR="006F4638" w:rsidRPr="00C177BB" w:rsidRDefault="006F4638"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Belaunde, V. A. (1980</w:t>
      </w:r>
      <w:r w:rsidRPr="006F4638">
        <w:rPr>
          <w:rFonts w:ascii="Times New Roman" w:eastAsia="Times New Roman" w:hAnsi="Times New Roman" w:cs="Times New Roman"/>
          <w:b/>
          <w:i/>
          <w:color w:val="000000"/>
        </w:rPr>
        <w:t>) La Realidad Nacional</w:t>
      </w:r>
      <w:r>
        <w:rPr>
          <w:rFonts w:ascii="Times New Roman" w:eastAsia="Times New Roman" w:hAnsi="Times New Roman" w:cs="Times New Roman"/>
          <w:color w:val="000000"/>
        </w:rPr>
        <w:t xml:space="preserve">. Banco Internacional del Perú </w:t>
      </w:r>
      <w:r w:rsidR="00C177B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Interbank</w:t>
      </w:r>
      <w:proofErr w:type="spellEnd"/>
    </w:p>
    <w:p w14:paraId="172B7D12" w14:textId="74F9582F" w:rsidR="00C177BB" w:rsidRPr="004837ED" w:rsidRDefault="00C177BB" w:rsidP="006F4638">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Castro, A. (1994) </w:t>
      </w:r>
      <w:r w:rsidRPr="00C177BB">
        <w:rPr>
          <w:rFonts w:ascii="Times New Roman" w:eastAsia="Times New Roman" w:hAnsi="Times New Roman" w:cs="Times New Roman"/>
          <w:b/>
          <w:i/>
          <w:color w:val="000000"/>
        </w:rPr>
        <w:t>El Perú, Un proyecto moderno.</w:t>
      </w:r>
      <w:r>
        <w:rPr>
          <w:rFonts w:ascii="Times New Roman" w:eastAsia="Times New Roman" w:hAnsi="Times New Roman" w:cs="Times New Roman"/>
          <w:color w:val="000000"/>
        </w:rPr>
        <w:t xml:space="preserve"> PUCP – IRA - CEP</w:t>
      </w:r>
    </w:p>
    <w:p w14:paraId="00000022"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rPr>
      </w:pPr>
      <w:r w:rsidRPr="004837ED">
        <w:rPr>
          <w:rFonts w:ascii="Times New Roman" w:eastAsia="Times New Roman" w:hAnsi="Times New Roman" w:cs="Times New Roman"/>
          <w:color w:val="000000"/>
        </w:rPr>
        <w:t xml:space="preserve">Franco, A. (2018). </w:t>
      </w:r>
      <w:r w:rsidRPr="006F4638">
        <w:rPr>
          <w:rFonts w:ascii="Times New Roman" w:eastAsia="Times New Roman" w:hAnsi="Times New Roman" w:cs="Times New Roman"/>
          <w:b/>
          <w:i/>
          <w:color w:val="000000"/>
        </w:rPr>
        <w:t>Amor y política: dos modos de entender el patriotismo en el tránsito del Virreinato a la República en el Perú</w:t>
      </w:r>
      <w:r w:rsidRPr="004837ED">
        <w:rPr>
          <w:rFonts w:ascii="Times New Roman" w:eastAsia="Times New Roman" w:hAnsi="Times New Roman" w:cs="Times New Roman"/>
          <w:color w:val="000000"/>
        </w:rPr>
        <w:t>. Boletín del Instituto Riva-Agüero 3(2): 17-54.</w:t>
      </w:r>
    </w:p>
    <w:p w14:paraId="00000023"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Guibovich</w:t>
      </w:r>
      <w:proofErr w:type="spellEnd"/>
      <w:r w:rsidRPr="004837ED">
        <w:rPr>
          <w:rFonts w:ascii="Times New Roman" w:eastAsia="Times New Roman" w:hAnsi="Times New Roman" w:cs="Times New Roman"/>
          <w:color w:val="000000"/>
        </w:rPr>
        <w:t xml:space="preserve">, P. (2005). </w:t>
      </w:r>
      <w:r w:rsidRPr="006F4638">
        <w:rPr>
          <w:rFonts w:ascii="Times New Roman" w:eastAsia="Times New Roman" w:hAnsi="Times New Roman" w:cs="Times New Roman"/>
          <w:b/>
          <w:i/>
          <w:color w:val="000000"/>
        </w:rPr>
        <w:t>Alcances y límites del proyecto ilustrado: la Sociedad Amantes del País y el Mercurio Peruano</w:t>
      </w:r>
      <w:r w:rsidRPr="004837ED">
        <w:rPr>
          <w:rFonts w:ascii="Times New Roman" w:eastAsia="Times New Roman" w:hAnsi="Times New Roman" w:cs="Times New Roman"/>
          <w:color w:val="000000"/>
        </w:rPr>
        <w:t>. Histórica 29(2): 45-66.</w:t>
      </w:r>
    </w:p>
    <w:p w14:paraId="00000024" w14:textId="2BE27DC4" w:rsidR="009D0CF5" w:rsidRPr="007B2D7F"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Hampe</w:t>
      </w:r>
      <w:proofErr w:type="spellEnd"/>
      <w:r w:rsidRPr="004837ED">
        <w:rPr>
          <w:rFonts w:ascii="Times New Roman" w:eastAsia="Times New Roman" w:hAnsi="Times New Roman" w:cs="Times New Roman"/>
          <w:color w:val="000000"/>
        </w:rPr>
        <w:t xml:space="preserve">, T. (1988). </w:t>
      </w:r>
      <w:r w:rsidRPr="006F4638">
        <w:rPr>
          <w:rFonts w:ascii="Times New Roman" w:eastAsia="Times New Roman" w:hAnsi="Times New Roman" w:cs="Times New Roman"/>
          <w:b/>
          <w:i/>
          <w:color w:val="000000"/>
        </w:rPr>
        <w:t>La Revolución Francesa vista por el Mercurio Peruano: cambio político vs. reformismo criollo</w:t>
      </w:r>
      <w:r w:rsidRPr="004837ED">
        <w:rPr>
          <w:rFonts w:ascii="Times New Roman" w:eastAsia="Times New Roman" w:hAnsi="Times New Roman" w:cs="Times New Roman"/>
          <w:color w:val="000000"/>
        </w:rPr>
        <w:t>. Boletín del Instituto Riva-Agüero 15: 163-178.</w:t>
      </w:r>
    </w:p>
    <w:p w14:paraId="2AFF9CB9" w14:textId="37749AEA" w:rsidR="007B2D7F" w:rsidRPr="004837ED" w:rsidRDefault="007B2D7F"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Planas, P. (1994) </w:t>
      </w:r>
      <w:r>
        <w:rPr>
          <w:rFonts w:ascii="Times New Roman" w:eastAsia="Times New Roman" w:hAnsi="Times New Roman" w:cs="Times New Roman"/>
          <w:b/>
          <w:i/>
          <w:color w:val="000000"/>
        </w:rPr>
        <w:t xml:space="preserve">El 900. Balance y recuperación. </w:t>
      </w:r>
      <w:r>
        <w:rPr>
          <w:rFonts w:ascii="Times New Roman" w:eastAsia="Times New Roman" w:hAnsi="Times New Roman" w:cs="Times New Roman"/>
          <w:color w:val="000000"/>
        </w:rPr>
        <w:t>CITDEC</w:t>
      </w:r>
    </w:p>
    <w:p w14:paraId="00000025" w14:textId="25994C87" w:rsidR="009D0CF5" w:rsidRPr="00A051B9" w:rsidRDefault="00D604D2" w:rsidP="004837ED">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sidRPr="004837ED">
        <w:rPr>
          <w:rFonts w:ascii="Times New Roman" w:eastAsia="Times New Roman" w:hAnsi="Times New Roman" w:cs="Times New Roman"/>
          <w:color w:val="000000"/>
        </w:rPr>
        <w:t xml:space="preserve">Rodríguez, M. (2003). </w:t>
      </w:r>
      <w:r w:rsidRPr="006F4638">
        <w:rPr>
          <w:rFonts w:ascii="Times New Roman" w:eastAsia="Times New Roman" w:hAnsi="Times New Roman" w:cs="Times New Roman"/>
          <w:b/>
          <w:i/>
          <w:color w:val="000000"/>
        </w:rPr>
        <w:t xml:space="preserve">El criollismo limeño y la idea de Nación en el Perú </w:t>
      </w:r>
      <w:proofErr w:type="spellStart"/>
      <w:r w:rsidRPr="006F4638">
        <w:rPr>
          <w:rFonts w:ascii="Times New Roman" w:eastAsia="Times New Roman" w:hAnsi="Times New Roman" w:cs="Times New Roman"/>
          <w:b/>
          <w:i/>
          <w:color w:val="000000"/>
        </w:rPr>
        <w:t>tardocolonial</w:t>
      </w:r>
      <w:proofErr w:type="spellEnd"/>
      <w:r w:rsidRPr="004837ED">
        <w:rPr>
          <w:rFonts w:ascii="Times New Roman" w:eastAsia="Times New Roman" w:hAnsi="Times New Roman" w:cs="Times New Roman"/>
          <w:color w:val="000000"/>
        </w:rPr>
        <w:t>. Araucaria, Nro.9, p. 139-162.</w:t>
      </w:r>
    </w:p>
    <w:p w14:paraId="21FB4B61" w14:textId="7CFA3117" w:rsidR="006F4638" w:rsidRPr="00DF44B0" w:rsidRDefault="00DF44B0">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rPr>
      </w:pPr>
      <w:r w:rsidRPr="00DF44B0">
        <w:rPr>
          <w:rFonts w:ascii="Times New Roman" w:eastAsia="Times New Roman" w:hAnsi="Times New Roman" w:cs="Times New Roman"/>
          <w:color w:val="000000"/>
        </w:rPr>
        <w:t>Salazar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Bondy</w:t>
      </w:r>
      <w:proofErr w:type="spellEnd"/>
      <w:r>
        <w:rPr>
          <w:rFonts w:ascii="Times New Roman" w:eastAsia="Times New Roman" w:hAnsi="Times New Roman" w:cs="Times New Roman"/>
          <w:color w:val="000000"/>
        </w:rPr>
        <w:t xml:space="preserve">, A. (1965) </w:t>
      </w:r>
      <w:r>
        <w:rPr>
          <w:rFonts w:ascii="Times New Roman" w:eastAsia="Times New Roman" w:hAnsi="Times New Roman" w:cs="Times New Roman"/>
          <w:b/>
          <w:i/>
          <w:color w:val="000000"/>
        </w:rPr>
        <w:t>Historia de las ideas en el Perú contemporáneo</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Francisco Moncloa Editores S.A.</w:t>
      </w:r>
    </w:p>
    <w:sectPr w:rsidR="006F4638" w:rsidRPr="00DF44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43438"/>
    <w:rsid w:val="00074BAF"/>
    <w:rsid w:val="000F2906"/>
    <w:rsid w:val="00115BD6"/>
    <w:rsid w:val="00157189"/>
    <w:rsid w:val="001B40DF"/>
    <w:rsid w:val="001D6A84"/>
    <w:rsid w:val="00252DA9"/>
    <w:rsid w:val="00304120"/>
    <w:rsid w:val="00363A90"/>
    <w:rsid w:val="004837ED"/>
    <w:rsid w:val="004A11CE"/>
    <w:rsid w:val="004B2110"/>
    <w:rsid w:val="004C5471"/>
    <w:rsid w:val="004C729F"/>
    <w:rsid w:val="00551614"/>
    <w:rsid w:val="00633B1B"/>
    <w:rsid w:val="00660B0F"/>
    <w:rsid w:val="006633CC"/>
    <w:rsid w:val="006A685C"/>
    <w:rsid w:val="006F4638"/>
    <w:rsid w:val="00793BB3"/>
    <w:rsid w:val="007B2D7F"/>
    <w:rsid w:val="00890022"/>
    <w:rsid w:val="00973621"/>
    <w:rsid w:val="009D0CF5"/>
    <w:rsid w:val="00A051B9"/>
    <w:rsid w:val="00A2316A"/>
    <w:rsid w:val="00A3272B"/>
    <w:rsid w:val="00A3463D"/>
    <w:rsid w:val="00A360E8"/>
    <w:rsid w:val="00B65CFA"/>
    <w:rsid w:val="00BF369D"/>
    <w:rsid w:val="00BF5B90"/>
    <w:rsid w:val="00C177BB"/>
    <w:rsid w:val="00CA7153"/>
    <w:rsid w:val="00CF7522"/>
    <w:rsid w:val="00D339AD"/>
    <w:rsid w:val="00D604D2"/>
    <w:rsid w:val="00DB0083"/>
    <w:rsid w:val="00DF44B0"/>
    <w:rsid w:val="00E02F4D"/>
    <w:rsid w:val="00E9131A"/>
    <w:rsid w:val="00E92B90"/>
    <w:rsid w:val="00F15AE5"/>
    <w:rsid w:val="00F52D62"/>
    <w:rsid w:val="00FA0E5A"/>
    <w:rsid w:val="00FA112A"/>
    <w:rsid w:val="00FD13FB"/>
    <w:rsid w:val="00FF1C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3958</Words>
  <Characters>21770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40</cp:revision>
  <dcterms:created xsi:type="dcterms:W3CDTF">2019-09-29T22:25:00Z</dcterms:created>
  <dcterms:modified xsi:type="dcterms:W3CDTF">2019-10-21T23:39:00Z</dcterms:modified>
</cp:coreProperties>
</file>