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6D2" w:rsidRPr="00D55C8D" w:rsidRDefault="00B416D2" w:rsidP="00B416D2">
      <w:pPr>
        <w:ind w:firstLine="708"/>
        <w:jc w:val="right"/>
        <w:rPr>
          <w:rFonts w:ascii="Times New Roman" w:hAnsi="Times New Roman" w:cs="Times New Roman"/>
          <w:sz w:val="20"/>
          <w:szCs w:val="20"/>
          <w:lang w:val="es-PE"/>
        </w:rPr>
      </w:pPr>
      <w:r w:rsidRPr="00D55C8D">
        <w:rPr>
          <w:rFonts w:ascii="Times New Roman" w:hAnsi="Times New Roman" w:cs="Times New Roman"/>
          <w:sz w:val="20"/>
          <w:szCs w:val="20"/>
          <w:lang w:val="es-PE"/>
        </w:rPr>
        <w:t>UNIVERSIDAD ANTONIO RUIZ DE MONTOYA</w:t>
      </w:r>
    </w:p>
    <w:p w:rsidR="00B416D2" w:rsidRPr="00D55C8D" w:rsidRDefault="00B416D2" w:rsidP="00B416D2">
      <w:pPr>
        <w:jc w:val="right"/>
        <w:rPr>
          <w:rFonts w:ascii="Times New Roman" w:hAnsi="Times New Roman" w:cs="Times New Roman"/>
          <w:b/>
          <w:sz w:val="20"/>
          <w:szCs w:val="20"/>
          <w:lang w:val="es-PE"/>
        </w:rPr>
      </w:pPr>
      <w:r w:rsidRPr="00D55C8D">
        <w:rPr>
          <w:rFonts w:ascii="Times New Roman" w:hAnsi="Times New Roman" w:cs="Times New Roman"/>
          <w:b/>
          <w:sz w:val="20"/>
          <w:szCs w:val="20"/>
          <w:lang w:val="es-PE"/>
        </w:rPr>
        <w:t>Introducción a la Filosofía</w:t>
      </w:r>
    </w:p>
    <w:p w:rsidR="00B416D2" w:rsidRPr="00D55C8D" w:rsidRDefault="00B416D2" w:rsidP="00B416D2">
      <w:pPr>
        <w:jc w:val="right"/>
        <w:rPr>
          <w:rFonts w:ascii="Times New Roman" w:hAnsi="Times New Roman" w:cs="Times New Roman"/>
          <w:sz w:val="20"/>
          <w:szCs w:val="20"/>
          <w:lang w:val="es-PE"/>
        </w:rPr>
      </w:pPr>
      <w:r w:rsidRPr="00D55C8D">
        <w:rPr>
          <w:rFonts w:ascii="Times New Roman" w:hAnsi="Times New Roman" w:cs="Times New Roman"/>
          <w:sz w:val="20"/>
          <w:szCs w:val="20"/>
          <w:lang w:val="es-PE"/>
        </w:rPr>
        <w:t>Soledad Escalante Beltrán</w:t>
      </w:r>
    </w:p>
    <w:p w:rsidR="00B416D2" w:rsidRDefault="00B416D2" w:rsidP="00B416D2">
      <w:pPr>
        <w:jc w:val="right"/>
        <w:rPr>
          <w:rFonts w:ascii="Times New Roman" w:hAnsi="Times New Roman" w:cs="Times New Roman"/>
          <w:sz w:val="20"/>
          <w:szCs w:val="20"/>
          <w:lang w:val="es-PE"/>
        </w:rPr>
      </w:pPr>
      <w:r w:rsidRPr="00D55C8D">
        <w:rPr>
          <w:rFonts w:ascii="Times New Roman" w:hAnsi="Times New Roman" w:cs="Times New Roman"/>
          <w:sz w:val="20"/>
          <w:szCs w:val="20"/>
          <w:lang w:val="es-PE"/>
        </w:rPr>
        <w:t>2019</w:t>
      </w:r>
    </w:p>
    <w:p w:rsidR="00D55C8D" w:rsidRPr="00D55C8D" w:rsidRDefault="00D55C8D" w:rsidP="00B416D2">
      <w:pPr>
        <w:jc w:val="right"/>
        <w:rPr>
          <w:rFonts w:ascii="Times New Roman" w:hAnsi="Times New Roman" w:cs="Times New Roman"/>
          <w:sz w:val="20"/>
          <w:szCs w:val="20"/>
          <w:lang w:val="es-PE"/>
        </w:rPr>
      </w:pPr>
    </w:p>
    <w:p w:rsidR="00B416D2" w:rsidRPr="00D55C8D" w:rsidRDefault="00B416D2" w:rsidP="00B416D2">
      <w:pPr>
        <w:jc w:val="center"/>
        <w:rPr>
          <w:rFonts w:ascii="Times New Roman" w:hAnsi="Times New Roman" w:cs="Times New Roman"/>
          <w:b/>
          <w:sz w:val="20"/>
          <w:szCs w:val="20"/>
          <w:u w:val="single"/>
          <w:lang w:val="es-PE"/>
        </w:rPr>
      </w:pPr>
      <w:r w:rsidRPr="00D55C8D">
        <w:rPr>
          <w:rFonts w:ascii="Times New Roman" w:hAnsi="Times New Roman" w:cs="Times New Roman"/>
          <w:b/>
          <w:sz w:val="20"/>
          <w:szCs w:val="20"/>
          <w:u w:val="single"/>
          <w:lang w:val="es-PE"/>
        </w:rPr>
        <w:t>Segundo</w:t>
      </w:r>
      <w:r w:rsidRPr="00D55C8D">
        <w:rPr>
          <w:rFonts w:ascii="Times New Roman" w:hAnsi="Times New Roman" w:cs="Times New Roman"/>
          <w:b/>
          <w:sz w:val="20"/>
          <w:szCs w:val="20"/>
          <w:u w:val="single"/>
          <w:lang w:val="es-PE"/>
        </w:rPr>
        <w:t xml:space="preserve"> Control De Lectura</w:t>
      </w:r>
    </w:p>
    <w:p w:rsidR="00B416D2" w:rsidRPr="00D55C8D" w:rsidRDefault="00B416D2" w:rsidP="00B416D2">
      <w:pPr>
        <w:tabs>
          <w:tab w:val="left" w:pos="7615"/>
        </w:tabs>
        <w:jc w:val="both"/>
        <w:rPr>
          <w:rFonts w:ascii="Times New Roman" w:hAnsi="Times New Roman" w:cs="Times New Roman"/>
          <w:b/>
          <w:sz w:val="20"/>
          <w:szCs w:val="20"/>
          <w:u w:val="single"/>
          <w:lang w:val="es-PE"/>
        </w:rPr>
      </w:pPr>
      <w:r w:rsidRPr="00D55C8D">
        <w:rPr>
          <w:rFonts w:ascii="Times New Roman" w:hAnsi="Times New Roman" w:cs="Times New Roman"/>
          <w:b/>
          <w:sz w:val="20"/>
          <w:szCs w:val="20"/>
          <w:u w:val="single"/>
          <w:lang w:val="es-PE"/>
        </w:rPr>
        <w:tab/>
      </w:r>
    </w:p>
    <w:p w:rsidR="00B416D2" w:rsidRPr="00D55C8D" w:rsidRDefault="00B416D2" w:rsidP="00D55C8D">
      <w:pPr>
        <w:jc w:val="both"/>
        <w:rPr>
          <w:rFonts w:ascii="Times New Roman" w:hAnsi="Times New Roman" w:cs="Times New Roman"/>
          <w:sz w:val="20"/>
          <w:szCs w:val="20"/>
          <w:lang w:val="es-PE"/>
        </w:rPr>
      </w:pPr>
      <w:r w:rsidRPr="00D55C8D">
        <w:rPr>
          <w:rFonts w:ascii="Times New Roman" w:hAnsi="Times New Roman" w:cs="Times New Roman"/>
          <w:sz w:val="20"/>
          <w:szCs w:val="20"/>
          <w:lang w:val="es-PE"/>
        </w:rPr>
        <w:t xml:space="preserve">Responda a la pregunta obligatoria y elegir </w:t>
      </w:r>
      <w:r w:rsidRPr="00D55C8D">
        <w:rPr>
          <w:rFonts w:ascii="Times New Roman" w:hAnsi="Times New Roman" w:cs="Times New Roman"/>
          <w:b/>
          <w:sz w:val="20"/>
          <w:szCs w:val="20"/>
          <w:u w:val="single"/>
          <w:lang w:val="es-PE"/>
        </w:rPr>
        <w:t>dos</w:t>
      </w:r>
      <w:r w:rsidRPr="00D55C8D">
        <w:rPr>
          <w:rFonts w:ascii="Times New Roman" w:hAnsi="Times New Roman" w:cs="Times New Roman"/>
          <w:sz w:val="20"/>
          <w:szCs w:val="20"/>
          <w:lang w:val="es-PE"/>
        </w:rPr>
        <w:t xml:space="preserve"> de las tres preguntas electivas. Sea sintético y conciso con la respuesta, respetando el </w:t>
      </w:r>
      <w:r w:rsidRPr="00D55C8D">
        <w:rPr>
          <w:rFonts w:ascii="Times New Roman" w:hAnsi="Times New Roman" w:cs="Times New Roman"/>
          <w:b/>
          <w:sz w:val="20"/>
          <w:szCs w:val="20"/>
          <w:u w:val="single"/>
          <w:lang w:val="es-PE"/>
        </w:rPr>
        <w:t>máximo de palabras</w:t>
      </w:r>
      <w:r w:rsidRPr="00D55C8D">
        <w:rPr>
          <w:rFonts w:ascii="Times New Roman" w:hAnsi="Times New Roman" w:cs="Times New Roman"/>
          <w:sz w:val="20"/>
          <w:szCs w:val="20"/>
          <w:lang w:val="es-PE"/>
        </w:rPr>
        <w:t xml:space="preserve"> establecido. </w:t>
      </w:r>
    </w:p>
    <w:p w:rsidR="00B416D2" w:rsidRPr="00D55C8D" w:rsidRDefault="00B416D2" w:rsidP="00D55C8D">
      <w:pPr>
        <w:jc w:val="both"/>
        <w:rPr>
          <w:rFonts w:ascii="Times New Roman" w:hAnsi="Times New Roman" w:cs="Times New Roman"/>
          <w:sz w:val="20"/>
          <w:szCs w:val="20"/>
          <w:lang w:val="es-PE"/>
        </w:rPr>
      </w:pPr>
      <w:r w:rsidRPr="00D55C8D">
        <w:rPr>
          <w:rFonts w:ascii="Times New Roman" w:hAnsi="Times New Roman" w:cs="Times New Roman"/>
          <w:sz w:val="20"/>
          <w:szCs w:val="20"/>
          <w:u w:val="single"/>
          <w:lang w:val="es-PE"/>
        </w:rPr>
        <w:t>Nota Importante</w:t>
      </w:r>
      <w:r w:rsidRPr="00D55C8D">
        <w:rPr>
          <w:rFonts w:ascii="Times New Roman" w:hAnsi="Times New Roman" w:cs="Times New Roman"/>
          <w:sz w:val="20"/>
          <w:szCs w:val="20"/>
          <w:lang w:val="es-PE"/>
        </w:rPr>
        <w:t>: En cualquier curso el plagio es algo inadmisible, porque tomar las ideas de otros, sin acreditarles es injusto, pero en el caso de la filosofía, es pa</w:t>
      </w:r>
      <w:r w:rsidR="001E13D0" w:rsidRPr="00D55C8D">
        <w:rPr>
          <w:rFonts w:ascii="Times New Roman" w:hAnsi="Times New Roman" w:cs="Times New Roman"/>
          <w:sz w:val="20"/>
          <w:szCs w:val="20"/>
          <w:lang w:val="es-PE"/>
        </w:rPr>
        <w:t xml:space="preserve">rticularmente contraproducente, en cuanto va por sentido opuesto a la integridad, rigurosidad y </w:t>
      </w:r>
      <w:r w:rsidR="00D55C8D">
        <w:rPr>
          <w:rFonts w:ascii="Times New Roman" w:hAnsi="Times New Roman" w:cs="Times New Roman"/>
          <w:sz w:val="20"/>
          <w:szCs w:val="20"/>
          <w:lang w:val="es-PE"/>
        </w:rPr>
        <w:t>a</w:t>
      </w:r>
      <w:r w:rsidR="001E13D0" w:rsidRPr="00D55C8D">
        <w:rPr>
          <w:rFonts w:ascii="Times New Roman" w:hAnsi="Times New Roman" w:cs="Times New Roman"/>
          <w:sz w:val="20"/>
          <w:szCs w:val="20"/>
          <w:lang w:val="es-PE"/>
        </w:rPr>
        <w:t>l pensamiento crítico. No citar adecuadamente, puede (mal)interpretarse como un plagio. Ello va en contra del reglamento académico de la UARM, en contra de la ley (si se trata de una obra publicada), pero especialmente, en contra de su formación, sea de cualquier especialidad</w:t>
      </w:r>
      <w:r w:rsidR="00D55C8D">
        <w:rPr>
          <w:rFonts w:ascii="Times New Roman" w:hAnsi="Times New Roman" w:cs="Times New Roman"/>
          <w:sz w:val="20"/>
          <w:szCs w:val="20"/>
          <w:lang w:val="es-PE"/>
        </w:rPr>
        <w:t xml:space="preserve"> o carrera</w:t>
      </w:r>
      <w:r w:rsidR="001E13D0" w:rsidRPr="00D55C8D">
        <w:rPr>
          <w:rFonts w:ascii="Times New Roman" w:hAnsi="Times New Roman" w:cs="Times New Roman"/>
          <w:sz w:val="20"/>
          <w:szCs w:val="20"/>
          <w:lang w:val="es-PE"/>
        </w:rPr>
        <w:t xml:space="preserve">. Para citar textualmente hace falta usar comillas y luego entre paréntesis el apellido del autor, el año de la edición del texto revisado y finalmente el número de página. Un ejemplo podría ser: </w:t>
      </w:r>
    </w:p>
    <w:p w:rsidR="001E13D0" w:rsidRDefault="00D55C8D" w:rsidP="00D55C8D">
      <w:pPr>
        <w:jc w:val="both"/>
        <w:rPr>
          <w:rFonts w:ascii="Times New Roman" w:hAnsi="Times New Roman" w:cs="Times New Roman"/>
          <w:sz w:val="20"/>
          <w:szCs w:val="20"/>
          <w:lang w:val="es-PE"/>
        </w:rPr>
      </w:pPr>
      <w:r w:rsidRPr="00D55C8D">
        <w:rPr>
          <w:rFonts w:ascii="Times New Roman" w:hAnsi="Times New Roman" w:cs="Times New Roman"/>
          <w:sz w:val="20"/>
          <w:szCs w:val="20"/>
          <w:lang w:val="es-PE"/>
        </w:rPr>
        <w:t>En ese sentido Kant refiere en el prólogo a la Crítica a la Razón Pura lo siguiente: “Cuando Galileo hizo bajar por el plano inclinado unas bolas de un peso elegido por él mismo (…) entonces los investigadores de la naturaleza comprendieron súbitamente algo” (Kant, 2005, p. 14)</w:t>
      </w:r>
    </w:p>
    <w:p w:rsidR="00D65063" w:rsidRPr="00D55C8D" w:rsidRDefault="00D65063" w:rsidP="00D55C8D">
      <w:pPr>
        <w:jc w:val="both"/>
        <w:rPr>
          <w:rFonts w:ascii="Times New Roman" w:hAnsi="Times New Roman" w:cs="Times New Roman"/>
          <w:sz w:val="20"/>
          <w:szCs w:val="20"/>
          <w:lang w:val="es-PE"/>
        </w:rPr>
      </w:pPr>
      <w:r>
        <w:rPr>
          <w:rFonts w:ascii="Times New Roman" w:hAnsi="Times New Roman" w:cs="Times New Roman"/>
          <w:sz w:val="20"/>
          <w:szCs w:val="20"/>
          <w:lang w:val="es-PE"/>
        </w:rPr>
        <w:t xml:space="preserve">Usar apuntes de estudio no tiene nada de malo (de hecho, es muy positivo), pero copiarlos literalmente, si supone un problema, debido a que se espera que se haga un esfuerzo reflexivo de los temas revisados, y no copiar/pegar una respuesta. El esfuerzo es tanto de pensamiento, como de redacción. </w:t>
      </w:r>
    </w:p>
    <w:p w:rsidR="00B416D2" w:rsidRPr="00D55C8D" w:rsidRDefault="00B416D2" w:rsidP="00B416D2">
      <w:pPr>
        <w:jc w:val="both"/>
        <w:rPr>
          <w:rFonts w:ascii="Times New Roman" w:hAnsi="Times New Roman" w:cs="Times New Roman"/>
          <w:sz w:val="20"/>
          <w:szCs w:val="20"/>
          <w:lang w:val="es-PE"/>
        </w:rPr>
      </w:pPr>
    </w:p>
    <w:p w:rsidR="00B416D2" w:rsidRPr="00D55C8D" w:rsidRDefault="00B416D2" w:rsidP="00B416D2">
      <w:pPr>
        <w:rPr>
          <w:rFonts w:ascii="Times New Roman" w:hAnsi="Times New Roman" w:cs="Times New Roman"/>
          <w:sz w:val="20"/>
          <w:szCs w:val="20"/>
          <w:lang w:val="es-PE"/>
        </w:rPr>
      </w:pPr>
      <w:r w:rsidRPr="00D55C8D">
        <w:rPr>
          <w:rFonts w:ascii="Times New Roman" w:hAnsi="Times New Roman" w:cs="Times New Roman"/>
          <w:sz w:val="20"/>
          <w:szCs w:val="20"/>
          <w:lang w:val="es-PE"/>
        </w:rPr>
        <w:t>Pregunta obligatoria: (Máximo 500 palabras, 8 pts.)</w:t>
      </w:r>
    </w:p>
    <w:p w:rsidR="00D55C8D" w:rsidRPr="00D55C8D" w:rsidRDefault="00D55C8D" w:rsidP="00D55C8D">
      <w:pPr>
        <w:pStyle w:val="Prrafodelista"/>
        <w:numPr>
          <w:ilvl w:val="0"/>
          <w:numId w:val="1"/>
        </w:numPr>
        <w:rPr>
          <w:rFonts w:ascii="Times New Roman" w:hAnsi="Times New Roman" w:cs="Times New Roman"/>
          <w:sz w:val="20"/>
          <w:szCs w:val="20"/>
          <w:lang w:val="es-PE"/>
        </w:rPr>
      </w:pPr>
      <w:r w:rsidRPr="00D55C8D">
        <w:rPr>
          <w:rFonts w:ascii="Times New Roman" w:hAnsi="Times New Roman" w:cs="Times New Roman"/>
          <w:sz w:val="20"/>
          <w:szCs w:val="20"/>
          <w:lang w:val="es-PE"/>
        </w:rPr>
        <w:t>¿En qué consiste la revolución del giro copernicano en la epistemología kantiana? ¿Qué diferencias se pueden establecer entre el fenómeno y la cosa-en-sí?</w:t>
      </w:r>
    </w:p>
    <w:p w:rsidR="00D55C8D" w:rsidRDefault="00D55C8D" w:rsidP="00B416D2">
      <w:pPr>
        <w:rPr>
          <w:rFonts w:ascii="Times New Roman" w:hAnsi="Times New Roman" w:cs="Times New Roman"/>
          <w:sz w:val="20"/>
          <w:szCs w:val="20"/>
          <w:lang w:val="es-PE"/>
        </w:rPr>
      </w:pPr>
    </w:p>
    <w:p w:rsidR="00B416D2" w:rsidRDefault="00B416D2" w:rsidP="00B416D2">
      <w:pPr>
        <w:rPr>
          <w:rFonts w:ascii="Times New Roman" w:hAnsi="Times New Roman" w:cs="Times New Roman"/>
          <w:sz w:val="20"/>
          <w:szCs w:val="20"/>
          <w:lang w:val="es-PE"/>
        </w:rPr>
      </w:pPr>
      <w:r w:rsidRPr="00D55C8D">
        <w:rPr>
          <w:rFonts w:ascii="Times New Roman" w:hAnsi="Times New Roman" w:cs="Times New Roman"/>
          <w:sz w:val="20"/>
          <w:szCs w:val="20"/>
          <w:lang w:val="es-PE"/>
        </w:rPr>
        <w:t>Preguntas electivas: (Máximo 200 palabras, 6 pts.</w:t>
      </w:r>
      <w:r w:rsidR="00D65063">
        <w:rPr>
          <w:rFonts w:ascii="Times New Roman" w:hAnsi="Times New Roman" w:cs="Times New Roman"/>
          <w:sz w:val="20"/>
          <w:szCs w:val="20"/>
          <w:lang w:val="es-PE"/>
        </w:rPr>
        <w:t xml:space="preserve"> Elegir sólo dos</w:t>
      </w:r>
      <w:bookmarkStart w:id="0" w:name="_GoBack"/>
      <w:bookmarkEnd w:id="0"/>
      <w:r w:rsidRPr="00D55C8D">
        <w:rPr>
          <w:rFonts w:ascii="Times New Roman" w:hAnsi="Times New Roman" w:cs="Times New Roman"/>
          <w:sz w:val="20"/>
          <w:szCs w:val="20"/>
          <w:lang w:val="es-PE"/>
        </w:rPr>
        <w:t>)</w:t>
      </w:r>
    </w:p>
    <w:p w:rsidR="00D55C8D" w:rsidRDefault="00D55C8D" w:rsidP="00D55C8D">
      <w:pPr>
        <w:pStyle w:val="Prrafodelista"/>
        <w:numPr>
          <w:ilvl w:val="0"/>
          <w:numId w:val="1"/>
        </w:numPr>
        <w:rPr>
          <w:rFonts w:ascii="Times New Roman" w:hAnsi="Times New Roman" w:cs="Times New Roman"/>
          <w:sz w:val="20"/>
          <w:szCs w:val="20"/>
          <w:lang w:val="es-PE"/>
        </w:rPr>
      </w:pPr>
      <w:r>
        <w:rPr>
          <w:rFonts w:ascii="Times New Roman" w:hAnsi="Times New Roman" w:cs="Times New Roman"/>
          <w:sz w:val="20"/>
          <w:szCs w:val="20"/>
          <w:lang w:val="es-PE"/>
        </w:rPr>
        <w:t>¿Qué representan los ídolos de Bacon? Discuta el sentido ejemplificando al menos uno.</w:t>
      </w:r>
    </w:p>
    <w:p w:rsidR="00D55C8D" w:rsidRDefault="00D55C8D" w:rsidP="00D55C8D">
      <w:pPr>
        <w:pStyle w:val="Prrafodelista"/>
        <w:numPr>
          <w:ilvl w:val="0"/>
          <w:numId w:val="1"/>
        </w:numPr>
        <w:rPr>
          <w:rFonts w:ascii="Times New Roman" w:hAnsi="Times New Roman" w:cs="Times New Roman"/>
          <w:sz w:val="20"/>
          <w:szCs w:val="20"/>
          <w:lang w:val="es-PE"/>
        </w:rPr>
      </w:pPr>
      <w:r>
        <w:rPr>
          <w:rFonts w:ascii="Times New Roman" w:hAnsi="Times New Roman" w:cs="Times New Roman"/>
          <w:sz w:val="20"/>
          <w:szCs w:val="20"/>
          <w:lang w:val="es-PE"/>
        </w:rPr>
        <w:t>¿Qué diferencia metodológica existe entre la inducción y la deducción?</w:t>
      </w:r>
      <w:r w:rsidR="00D65063">
        <w:rPr>
          <w:rFonts w:ascii="Times New Roman" w:hAnsi="Times New Roman" w:cs="Times New Roman"/>
          <w:sz w:val="20"/>
          <w:szCs w:val="20"/>
          <w:lang w:val="es-PE"/>
        </w:rPr>
        <w:t xml:space="preserve"> ¿Cuál </w:t>
      </w:r>
      <w:proofErr w:type="spellStart"/>
      <w:r w:rsidR="00D65063">
        <w:rPr>
          <w:rFonts w:ascii="Times New Roman" w:hAnsi="Times New Roman" w:cs="Times New Roman"/>
          <w:sz w:val="20"/>
          <w:szCs w:val="20"/>
          <w:lang w:val="es-PE"/>
        </w:rPr>
        <w:t>critica</w:t>
      </w:r>
      <w:proofErr w:type="spellEnd"/>
      <w:r w:rsidR="00D65063">
        <w:rPr>
          <w:rFonts w:ascii="Times New Roman" w:hAnsi="Times New Roman" w:cs="Times New Roman"/>
          <w:sz w:val="20"/>
          <w:szCs w:val="20"/>
          <w:lang w:val="es-PE"/>
        </w:rPr>
        <w:t xml:space="preserve"> y cuál sostiene el método de la ciencia moderna experimental?</w:t>
      </w:r>
    </w:p>
    <w:p w:rsidR="00D65063" w:rsidRDefault="00D65063" w:rsidP="00D55C8D">
      <w:pPr>
        <w:pStyle w:val="Prrafodelista"/>
        <w:numPr>
          <w:ilvl w:val="0"/>
          <w:numId w:val="1"/>
        </w:numPr>
        <w:rPr>
          <w:rFonts w:ascii="Times New Roman" w:hAnsi="Times New Roman" w:cs="Times New Roman"/>
          <w:sz w:val="20"/>
          <w:szCs w:val="20"/>
          <w:lang w:val="es-PE"/>
        </w:rPr>
      </w:pPr>
      <w:r>
        <w:rPr>
          <w:rFonts w:ascii="Times New Roman" w:hAnsi="Times New Roman" w:cs="Times New Roman"/>
          <w:sz w:val="20"/>
          <w:szCs w:val="20"/>
          <w:lang w:val="es-PE"/>
        </w:rPr>
        <w:t>¿En qué sentido Kant propone una “moral universal” y/o un cosmopolitismo?</w:t>
      </w:r>
    </w:p>
    <w:p w:rsidR="00D65063" w:rsidRPr="00D55C8D" w:rsidRDefault="00D65063" w:rsidP="00D55C8D">
      <w:pPr>
        <w:pStyle w:val="Prrafodelista"/>
        <w:numPr>
          <w:ilvl w:val="0"/>
          <w:numId w:val="1"/>
        </w:numPr>
        <w:rPr>
          <w:rFonts w:ascii="Times New Roman" w:hAnsi="Times New Roman" w:cs="Times New Roman"/>
          <w:sz w:val="20"/>
          <w:szCs w:val="20"/>
          <w:lang w:val="es-PE"/>
        </w:rPr>
      </w:pPr>
      <w:r>
        <w:rPr>
          <w:rFonts w:ascii="Times New Roman" w:hAnsi="Times New Roman" w:cs="Times New Roman"/>
          <w:sz w:val="20"/>
          <w:szCs w:val="20"/>
          <w:lang w:val="es-PE"/>
        </w:rPr>
        <w:t xml:space="preserve">Kant armoniza dos tradiciones en disputa. ¿Cuáles son, porqué se distinguen y a cuál pertenece Bacon, que conduce, junto con </w:t>
      </w:r>
      <w:proofErr w:type="spellStart"/>
      <w:r>
        <w:rPr>
          <w:rFonts w:ascii="Times New Roman" w:hAnsi="Times New Roman" w:cs="Times New Roman"/>
          <w:sz w:val="20"/>
          <w:szCs w:val="20"/>
          <w:lang w:val="es-PE"/>
        </w:rPr>
        <w:t>Hume</w:t>
      </w:r>
      <w:proofErr w:type="spellEnd"/>
      <w:r>
        <w:rPr>
          <w:rFonts w:ascii="Times New Roman" w:hAnsi="Times New Roman" w:cs="Times New Roman"/>
          <w:sz w:val="20"/>
          <w:szCs w:val="20"/>
          <w:lang w:val="es-PE"/>
        </w:rPr>
        <w:t>, a “despertarle de su sueño dogmático”?</w:t>
      </w:r>
    </w:p>
    <w:p w:rsidR="00B416D2" w:rsidRPr="00D55C8D" w:rsidRDefault="00B416D2" w:rsidP="00B416D2">
      <w:pPr>
        <w:jc w:val="both"/>
        <w:rPr>
          <w:rFonts w:ascii="Times New Roman" w:hAnsi="Times New Roman" w:cs="Times New Roman"/>
          <w:sz w:val="20"/>
          <w:szCs w:val="20"/>
          <w:lang w:val="es-PE"/>
        </w:rPr>
      </w:pPr>
    </w:p>
    <w:p w:rsidR="00B416D2" w:rsidRPr="00D55C8D" w:rsidRDefault="00B416D2" w:rsidP="00B416D2">
      <w:pPr>
        <w:jc w:val="both"/>
        <w:rPr>
          <w:rFonts w:ascii="Times New Roman" w:hAnsi="Times New Roman" w:cs="Times New Roman"/>
          <w:sz w:val="20"/>
          <w:szCs w:val="20"/>
          <w:lang w:val="es-PE"/>
        </w:rPr>
      </w:pPr>
    </w:p>
    <w:p w:rsidR="001866E7" w:rsidRPr="00D55C8D" w:rsidRDefault="001866E7">
      <w:pPr>
        <w:rPr>
          <w:rFonts w:ascii="Times New Roman" w:hAnsi="Times New Roman" w:cs="Times New Roman"/>
          <w:sz w:val="20"/>
          <w:szCs w:val="20"/>
        </w:rPr>
      </w:pPr>
    </w:p>
    <w:sectPr w:rsidR="001866E7" w:rsidRPr="00D55C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00826"/>
    <w:multiLevelType w:val="hybridMultilevel"/>
    <w:tmpl w:val="5AA848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6D2"/>
    <w:rsid w:val="001866E7"/>
    <w:rsid w:val="001E13D0"/>
    <w:rsid w:val="00330B6C"/>
    <w:rsid w:val="00B416D2"/>
    <w:rsid w:val="00D55C8D"/>
    <w:rsid w:val="00D650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9346"/>
  <w15:chartTrackingRefBased/>
  <w15:docId w15:val="{E35EBDCC-3955-44C6-B872-E6DE1097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6D2"/>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5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365</Words>
  <Characters>2010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2019-11-11T23:44:00Z</dcterms:created>
  <dcterms:modified xsi:type="dcterms:W3CDTF">2019-11-12T00:28:00Z</dcterms:modified>
</cp:coreProperties>
</file>