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967" w:rsidRDefault="001C3F47">
      <w:pPr>
        <w:ind w:left="1610" w:right="1603"/>
        <w:jc w:val="center"/>
      </w:pPr>
      <w:r>
        <w:rPr>
          <w:b/>
        </w:rPr>
        <w:t xml:space="preserve">UNIVERSIDAD ANTONIO RUIZ DE MONTOYA </w:t>
      </w:r>
    </w:p>
    <w:p w:rsidR="00900967" w:rsidRDefault="001C3F47">
      <w:pPr>
        <w:spacing w:after="144"/>
        <w:ind w:left="58" w:firstLine="0"/>
        <w:jc w:val="center"/>
      </w:pPr>
      <w:r>
        <w:rPr>
          <w:b/>
        </w:rPr>
        <w:t xml:space="preserve"> </w:t>
      </w:r>
    </w:p>
    <w:p w:rsidR="00900967" w:rsidRDefault="001C3F47">
      <w:pPr>
        <w:spacing w:after="0" w:line="375" w:lineRule="auto"/>
        <w:ind w:left="1610" w:right="1541"/>
        <w:jc w:val="center"/>
      </w:pPr>
      <w:r>
        <w:rPr>
          <w:b/>
        </w:rPr>
        <w:t xml:space="preserve">“THE TRUMAN SHOW Y EL MITO DE LA CAVERNA: Una aproximación sobre la búsqueda del sentido” </w:t>
      </w:r>
    </w:p>
    <w:p w:rsidR="00900967" w:rsidRDefault="001C3F47">
      <w:pPr>
        <w:spacing w:after="107"/>
        <w:ind w:left="0" w:firstLine="0"/>
        <w:jc w:val="left"/>
      </w:pPr>
      <w:r>
        <w:rPr>
          <w:b/>
        </w:rPr>
        <w:t xml:space="preserve"> </w:t>
      </w:r>
    </w:p>
    <w:p w:rsidR="00900967" w:rsidRDefault="001C3F47">
      <w:pPr>
        <w:numPr>
          <w:ilvl w:val="0"/>
          <w:numId w:val="1"/>
        </w:numPr>
        <w:spacing w:after="106"/>
        <w:ind w:hanging="360"/>
        <w:jc w:val="left"/>
      </w:pPr>
      <w:r>
        <w:rPr>
          <w:b/>
        </w:rPr>
        <w:t xml:space="preserve">Planteamiento del problema: </w:t>
      </w:r>
    </w:p>
    <w:p w:rsidR="00900967" w:rsidRDefault="001C3F47">
      <w:pPr>
        <w:spacing w:after="146"/>
        <w:ind w:left="0" w:firstLine="0"/>
        <w:jc w:val="left"/>
      </w:pPr>
      <w:r>
        <w:rPr>
          <w:b/>
        </w:rPr>
        <w:t xml:space="preserve"> </w:t>
      </w:r>
    </w:p>
    <w:p w:rsidR="00900967" w:rsidRDefault="001C3F47">
      <w:pPr>
        <w:spacing w:after="109"/>
        <w:ind w:left="0" w:firstLine="0"/>
        <w:jc w:val="left"/>
      </w:pPr>
      <w:r>
        <w:rPr>
          <w:i/>
        </w:rPr>
        <w:t xml:space="preserve">“Admitimos todo lo que nos rodea como lo real”. </w:t>
      </w:r>
    </w:p>
    <w:p w:rsidR="00900967" w:rsidRDefault="001C3F47">
      <w:pPr>
        <w:spacing w:after="0" w:line="359" w:lineRule="auto"/>
      </w:pPr>
      <w:r>
        <w:t xml:space="preserve">Deseo iniciar con la presentación de mi ensayo final citando las palabras de </w:t>
      </w:r>
      <w:r>
        <w:rPr>
          <w:i/>
        </w:rPr>
        <w:t>“</w:t>
      </w:r>
      <w:proofErr w:type="spellStart"/>
      <w:r>
        <w:rPr>
          <w:i/>
        </w:rPr>
        <w:t>Cristoff</w:t>
      </w:r>
      <w:proofErr w:type="spellEnd"/>
      <w:r>
        <w:rPr>
          <w:i/>
        </w:rPr>
        <w:t>”</w:t>
      </w:r>
      <w:r>
        <w:t>, uno de los personajes más controversiales del largometraje titulado</w:t>
      </w:r>
      <w:r>
        <w:rPr>
          <w:i/>
        </w:rPr>
        <w:t xml:space="preserve"> “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Truman Show”</w:t>
      </w:r>
      <w:r>
        <w:t xml:space="preserve">, film que será uno de los objetos de estudio de mi análisis el día de hoy. Es un </w:t>
      </w:r>
      <w:r>
        <w:t xml:space="preserve">hecho humano que a partir de nuestras mayores aseveraciones dejamos pasar por </w:t>
      </w:r>
      <w:proofErr w:type="gramStart"/>
      <w:r>
        <w:t>inadvertido</w:t>
      </w:r>
      <w:r w:rsidRPr="001C3F47">
        <w:rPr>
          <w:color w:val="FF0000"/>
        </w:rPr>
        <w:t>(</w:t>
      </w:r>
      <w:proofErr w:type="gramEnd"/>
      <w:r>
        <w:rPr>
          <w:color w:val="FF0000"/>
        </w:rPr>
        <w:t>as una</w:t>
      </w:r>
      <w:r w:rsidRPr="001C3F47">
        <w:rPr>
          <w:color w:val="FF0000"/>
        </w:rPr>
        <w:t>)</w:t>
      </w:r>
      <w:r>
        <w:t xml:space="preserve"> infinidad de sucesos que constantemente asaltan o pretenden asaltar nuestro enfoque de atención. Estamos rodeados por un sinfín de estímulos audiovisuales que están p</w:t>
      </w:r>
      <w:r>
        <w:t xml:space="preserve">rogramados, por efecto de la mercadotecnia y las investigaciones más recientes en </w:t>
      </w:r>
      <w:proofErr w:type="spellStart"/>
      <w:r>
        <w:t>neuromarketing</w:t>
      </w:r>
      <w:proofErr w:type="spellEnd"/>
      <w:r>
        <w:t>, a captar nuestros sentidos y poner en suspenso nuestra actitud reflexiva-crítica, frente a los acontecimientos más relevantes a esfera global y personal. El p</w:t>
      </w:r>
      <w:r>
        <w:t>rimero de ellos, con todas las problemáticas que implican y que demandan un cambio urgentemente, y el segundo, como depósito de nuestro propio juicio, axiología y nuestra actitud existencial frente a la vida. Es por esta razón que, veo pertinente un anális</w:t>
      </w:r>
      <w:r>
        <w:t xml:space="preserve">is haciendo un paralelismo entre dos obras tan cronológicamente distantes, como los son </w:t>
      </w:r>
      <w:r>
        <w:rPr>
          <w:i/>
        </w:rPr>
        <w:t>“La República”</w:t>
      </w:r>
      <w:r>
        <w:t xml:space="preserve"> de Platón y el largometraje dirigido por Peter </w:t>
      </w:r>
      <w:proofErr w:type="spellStart"/>
      <w:r>
        <w:t>Weir</w:t>
      </w:r>
      <w:proofErr w:type="spellEnd"/>
      <w:r>
        <w:t xml:space="preserve">, para ilustrar la idea que </w:t>
      </w:r>
      <w:r w:rsidRPr="001C3F47">
        <w:rPr>
          <w:color w:val="FF0000"/>
        </w:rPr>
        <w:t>el hombre contemporáneo del siglo XX y el hombre ateniense del siglo IV A.</w:t>
      </w:r>
      <w:r w:rsidRPr="001C3F47">
        <w:rPr>
          <w:color w:val="FF0000"/>
        </w:rPr>
        <w:t>C no se distancian mucho en su perspectiva ontológica</w:t>
      </w:r>
      <w:r>
        <w:t xml:space="preserve"> </w:t>
      </w:r>
      <w:r w:rsidRPr="001C3F47">
        <w:rPr>
          <w:color w:val="FF0000"/>
        </w:rPr>
        <w:t>(</w:t>
      </w:r>
      <w:r>
        <w:rPr>
          <w:color w:val="FF0000"/>
        </w:rPr>
        <w:t>¡Esto me parece que puede ser muy discutible!</w:t>
      </w:r>
      <w:r w:rsidRPr="001C3F47">
        <w:rPr>
          <w:color w:val="FF0000"/>
        </w:rPr>
        <w:t>)</w:t>
      </w:r>
      <w:r>
        <w:t xml:space="preserve">, siempre de espaldas a la luz del mediodía del saber. </w:t>
      </w:r>
      <w:r>
        <w:rPr>
          <w:b/>
        </w:rPr>
        <w:t>Me propongo diagnosticar, apoyado en estas dos obras, al ser humano como una criatura frágil, atemorizada y herida que prefiere la seguridad de su c</w:t>
      </w:r>
      <w:r>
        <w:rPr>
          <w:b/>
        </w:rPr>
        <w:t xml:space="preserve">elda y/o caverna frente al reto de asumir la incertidumbre de ejercer su propia voluntad y construir así, su propio sentido. </w:t>
      </w:r>
      <w:r w:rsidRPr="001C3F47">
        <w:rPr>
          <w:color w:val="FF0000"/>
        </w:rPr>
        <w:t>(</w:t>
      </w:r>
      <w:r>
        <w:rPr>
          <w:color w:val="FF0000"/>
        </w:rPr>
        <w:t xml:space="preserve">Me suena a que </w:t>
      </w:r>
      <w:proofErr w:type="spellStart"/>
      <w:r>
        <w:rPr>
          <w:color w:val="FF0000"/>
        </w:rPr>
        <w:t>Lipovetsky</w:t>
      </w:r>
      <w:proofErr w:type="spellEnd"/>
      <w:r>
        <w:rPr>
          <w:color w:val="FF0000"/>
        </w:rPr>
        <w:t xml:space="preserve"> te puede servir mucho</w:t>
      </w:r>
      <w:r w:rsidRPr="001C3F47">
        <w:rPr>
          <w:color w:val="FF0000"/>
        </w:rPr>
        <w:t>)</w:t>
      </w:r>
      <w:r>
        <w:rPr>
          <w:b/>
          <w:i/>
        </w:rPr>
        <w:t xml:space="preserve"> </w:t>
      </w:r>
    </w:p>
    <w:p w:rsidR="00900967" w:rsidRDefault="001C3F47">
      <w:pPr>
        <w:spacing w:after="106"/>
        <w:ind w:left="0" w:firstLine="0"/>
        <w:jc w:val="left"/>
      </w:pPr>
      <w:r>
        <w:rPr>
          <w:b/>
        </w:rPr>
        <w:t xml:space="preserve"> </w:t>
      </w:r>
    </w:p>
    <w:p w:rsidR="00900967" w:rsidRDefault="001C3F47">
      <w:pPr>
        <w:numPr>
          <w:ilvl w:val="0"/>
          <w:numId w:val="1"/>
        </w:numPr>
        <w:spacing w:after="106"/>
        <w:ind w:hanging="360"/>
        <w:jc w:val="left"/>
      </w:pPr>
      <w:r>
        <w:rPr>
          <w:b/>
        </w:rPr>
        <w:t xml:space="preserve">Justificación de la Bibliografía: </w:t>
      </w:r>
    </w:p>
    <w:p w:rsidR="00900967" w:rsidRDefault="001C3F47">
      <w:pPr>
        <w:spacing w:after="109"/>
        <w:ind w:left="0" w:firstLine="0"/>
        <w:jc w:val="left"/>
      </w:pPr>
      <w:r>
        <w:rPr>
          <w:b/>
        </w:rPr>
        <w:t xml:space="preserve"> </w:t>
      </w:r>
    </w:p>
    <w:p w:rsidR="00900967" w:rsidRDefault="001C3F47">
      <w:pPr>
        <w:numPr>
          <w:ilvl w:val="0"/>
          <w:numId w:val="2"/>
        </w:numPr>
        <w:spacing w:after="106"/>
        <w:ind w:hanging="360"/>
      </w:pPr>
      <w:r>
        <w:t>WEIR, Peter (Director). (1998) “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Truman Show: Historia de una vida”</w:t>
      </w:r>
      <w:r>
        <w:t xml:space="preserve"> (Film). USA: </w:t>
      </w:r>
    </w:p>
    <w:p w:rsidR="00900967" w:rsidRDefault="001C3F47">
      <w:pPr>
        <w:ind w:left="730"/>
      </w:pPr>
      <w:r>
        <w:t xml:space="preserve">Paramount </w:t>
      </w:r>
      <w:proofErr w:type="spellStart"/>
      <w:r>
        <w:t>Pictures</w:t>
      </w:r>
      <w:proofErr w:type="spellEnd"/>
      <w:r>
        <w:t xml:space="preserve">. </w:t>
      </w:r>
    </w:p>
    <w:p w:rsidR="00900967" w:rsidRDefault="001C3F47">
      <w:pPr>
        <w:ind w:left="0" w:firstLine="0"/>
        <w:jc w:val="left"/>
      </w:pPr>
      <w:r>
        <w:t xml:space="preserve"> </w:t>
      </w:r>
    </w:p>
    <w:p w:rsidR="00900967" w:rsidRDefault="001C3F47">
      <w:pPr>
        <w:spacing w:line="361" w:lineRule="auto"/>
      </w:pPr>
      <w:r>
        <w:t xml:space="preserve">Para tal acometido, haré uso este largometraje de fines de los años 90s, que desarrolla la historia de Truman </w:t>
      </w:r>
      <w:proofErr w:type="spellStart"/>
      <w:r>
        <w:t>Burbank</w:t>
      </w:r>
      <w:proofErr w:type="spellEnd"/>
      <w:r>
        <w:t xml:space="preserve">, (interpretado por el comediante </w:t>
      </w:r>
      <w:proofErr w:type="spellStart"/>
      <w:r>
        <w:t>Jim</w:t>
      </w:r>
      <w:proofErr w:type="spellEnd"/>
      <w:r>
        <w:t xml:space="preserve"> </w:t>
      </w:r>
      <w:proofErr w:type="spellStart"/>
      <w:r>
        <w:t>Carrey</w:t>
      </w:r>
      <w:proofErr w:type="spellEnd"/>
      <w:r>
        <w:t xml:space="preserve">) quien encarna el </w:t>
      </w:r>
      <w:r>
        <w:lastRenderedPageBreak/>
        <w:t>arquetipo de una vida predecible y autómata que logra</w:t>
      </w:r>
      <w:r>
        <w:t xml:space="preserve"> salir de esa condición de “domesticidad” nociva a través de la ruptura de sus más férreas convicciones e ideales. </w:t>
      </w:r>
    </w:p>
    <w:p w:rsidR="00900967" w:rsidRDefault="001C3F47">
      <w:pPr>
        <w:numPr>
          <w:ilvl w:val="0"/>
          <w:numId w:val="2"/>
        </w:numPr>
        <w:ind w:hanging="360"/>
      </w:pPr>
      <w:r>
        <w:t xml:space="preserve">PLATÓN (1969). </w:t>
      </w:r>
      <w:r>
        <w:rPr>
          <w:i/>
        </w:rPr>
        <w:t>La República.</w:t>
      </w:r>
      <w:r>
        <w:t xml:space="preserve"> Lima: Editorial Universo S.A </w:t>
      </w:r>
    </w:p>
    <w:p w:rsidR="00900967" w:rsidRDefault="001C3F47">
      <w:pPr>
        <w:ind w:left="720" w:firstLine="0"/>
        <w:jc w:val="left"/>
      </w:pPr>
      <w:r>
        <w:t xml:space="preserve"> </w:t>
      </w:r>
    </w:p>
    <w:p w:rsidR="00900967" w:rsidRDefault="001C3F47">
      <w:pPr>
        <w:spacing w:after="0" w:line="359" w:lineRule="auto"/>
      </w:pPr>
      <w:r>
        <w:t>Usaré esta obra para darle a mi tesis principal, solvencia histórica, ya que, p</w:t>
      </w:r>
      <w:r>
        <w:t>ostulo la idea de que esta problemática antropológica por la conquista del sentido, no es reciente, sino que ha acompañado al ser humano desde el inicio de su formación filosófica-cultural. Platón es una herencia innegable y en este texto en particular nos</w:t>
      </w:r>
      <w:r>
        <w:t xml:space="preserve"> ofrece una alegoría sobre el aprisionamiento y domesticación humana. </w:t>
      </w:r>
    </w:p>
    <w:p w:rsidR="00900967" w:rsidRDefault="001C3F47">
      <w:pPr>
        <w:spacing w:after="106"/>
        <w:ind w:left="720" w:firstLine="0"/>
        <w:jc w:val="left"/>
      </w:pPr>
      <w:r>
        <w:t xml:space="preserve"> </w:t>
      </w:r>
    </w:p>
    <w:p w:rsidR="00900967" w:rsidRDefault="001C3F47">
      <w:pPr>
        <w:numPr>
          <w:ilvl w:val="0"/>
          <w:numId w:val="2"/>
        </w:numPr>
        <w:spacing w:after="0" w:line="359" w:lineRule="auto"/>
        <w:ind w:hanging="360"/>
      </w:pPr>
      <w:r>
        <w:t xml:space="preserve">FERRATER MORA, José (1951) Diccionario de Filosofía. Buenos Aires: Editorial Sudamericana </w:t>
      </w:r>
    </w:p>
    <w:p w:rsidR="00900967" w:rsidRDefault="001C3F47">
      <w:pPr>
        <w:ind w:left="0" w:firstLine="0"/>
        <w:jc w:val="left"/>
      </w:pPr>
      <w:r>
        <w:t xml:space="preserve"> </w:t>
      </w:r>
    </w:p>
    <w:p w:rsidR="00900967" w:rsidRDefault="001C3F47">
      <w:pPr>
        <w:spacing w:after="0" w:line="359" w:lineRule="auto"/>
      </w:pPr>
      <w:r>
        <w:t>También me serviré de este amplio diccionario para precisar términos que ha recogido la tr</w:t>
      </w:r>
      <w:r>
        <w:t xml:space="preserve">adición occidental a lo largo de la historia. Contrastaré, opondré y sintetizaré conceptos de la tradición con los protagonistas y personajes para extraer una resolución final donde verteré las conclusiones de cómo podemos </w:t>
      </w:r>
      <w:proofErr w:type="spellStart"/>
      <w:r>
        <w:t>resemantizar</w:t>
      </w:r>
      <w:proofErr w:type="spellEnd"/>
      <w:r>
        <w:t xml:space="preserve"> y aplicarlos en la e</w:t>
      </w:r>
      <w:r>
        <w:t xml:space="preserve">scena contemporánea y más puntualmente, en el continente Latinoamericano. </w:t>
      </w:r>
    </w:p>
    <w:p w:rsidR="00900967" w:rsidRDefault="001C3F47">
      <w:pPr>
        <w:ind w:left="0" w:firstLine="0"/>
        <w:jc w:val="left"/>
      </w:pPr>
      <w:r>
        <w:rPr>
          <w:b/>
        </w:rPr>
        <w:t xml:space="preserve"> </w:t>
      </w:r>
    </w:p>
    <w:p w:rsidR="00900967" w:rsidRDefault="001C3F47">
      <w:pPr>
        <w:spacing w:after="106"/>
        <w:ind w:left="355"/>
        <w:jc w:val="left"/>
      </w:pPr>
      <w:r>
        <w:rPr>
          <w:b/>
        </w:rPr>
        <w:t xml:space="preserve">3. La metodología: </w:t>
      </w:r>
    </w:p>
    <w:p w:rsidR="00900967" w:rsidRDefault="001C3F47">
      <w:pPr>
        <w:spacing w:after="108"/>
        <w:ind w:left="720" w:firstLine="0"/>
        <w:jc w:val="left"/>
      </w:pPr>
      <w:r>
        <w:rPr>
          <w:b/>
        </w:rPr>
        <w:t xml:space="preserve"> </w:t>
      </w:r>
    </w:p>
    <w:p w:rsidR="00900967" w:rsidRDefault="001C3F47">
      <w:pPr>
        <w:spacing w:after="0" w:line="358" w:lineRule="auto"/>
      </w:pPr>
      <w:r>
        <w:t>Si bien este esquema, que a continuación presento, es una hoja de ruta que ilustra el sistema que trataré de seguir, este podría sufrir alteraciones a medida</w:t>
      </w:r>
      <w:r>
        <w:t xml:space="preserve"> de como desarrollo mi ensayo final. Es el siguiente: </w:t>
      </w:r>
    </w:p>
    <w:p w:rsidR="00900967" w:rsidRDefault="001C3F47">
      <w:pPr>
        <w:ind w:left="0" w:firstLine="0"/>
        <w:jc w:val="left"/>
      </w:pPr>
      <w:r>
        <w:t xml:space="preserve"> </w:t>
      </w:r>
    </w:p>
    <w:p w:rsidR="00900967" w:rsidRDefault="001C3F47">
      <w:pPr>
        <w:spacing w:after="106"/>
        <w:ind w:left="730"/>
        <w:jc w:val="left"/>
      </w:pPr>
      <w:r>
        <w:rPr>
          <w:b/>
        </w:rPr>
        <w:t xml:space="preserve">Esquema tentativo del ensayo: </w:t>
      </w:r>
    </w:p>
    <w:p w:rsidR="00900967" w:rsidRDefault="001C3F47">
      <w:pPr>
        <w:numPr>
          <w:ilvl w:val="0"/>
          <w:numId w:val="3"/>
        </w:numPr>
        <w:spacing w:after="0" w:line="361" w:lineRule="auto"/>
        <w:ind w:right="5148" w:hanging="360"/>
        <w:jc w:val="left"/>
      </w:pPr>
      <w:r>
        <w:rPr>
          <w:b/>
        </w:rPr>
        <w:t xml:space="preserve">Introducción </w:t>
      </w:r>
      <w:r>
        <w:t xml:space="preserve">Epígrafe </w:t>
      </w:r>
    </w:p>
    <w:p w:rsidR="00900967" w:rsidRDefault="001C3F47">
      <w:pPr>
        <w:ind w:left="1435"/>
      </w:pPr>
      <w:r>
        <w:t xml:space="preserve">Contextualización </w:t>
      </w:r>
    </w:p>
    <w:p w:rsidR="00900967" w:rsidRDefault="001C3F47">
      <w:pPr>
        <w:numPr>
          <w:ilvl w:val="0"/>
          <w:numId w:val="3"/>
        </w:numPr>
        <w:spacing w:after="106"/>
        <w:ind w:right="5148" w:hanging="360"/>
        <w:jc w:val="left"/>
      </w:pPr>
      <w:r>
        <w:rPr>
          <w:b/>
        </w:rPr>
        <w:t xml:space="preserve">Marco conceptual </w:t>
      </w:r>
    </w:p>
    <w:p w:rsidR="00900967" w:rsidRDefault="001C3F47">
      <w:pPr>
        <w:ind w:left="1435"/>
      </w:pPr>
      <w:r>
        <w:t xml:space="preserve">Análisis del protagonista Truman </w:t>
      </w:r>
      <w:proofErr w:type="spellStart"/>
      <w:r>
        <w:t>Burbank</w:t>
      </w:r>
      <w:proofErr w:type="spellEnd"/>
      <w:r>
        <w:t xml:space="preserve"> </w:t>
      </w:r>
    </w:p>
    <w:p w:rsidR="00900967" w:rsidRDefault="001C3F47">
      <w:pPr>
        <w:ind w:left="1435"/>
      </w:pPr>
      <w:r>
        <w:t xml:space="preserve">Mito de la caverna de Platón </w:t>
      </w:r>
    </w:p>
    <w:p w:rsidR="00900967" w:rsidRDefault="001C3F47">
      <w:pPr>
        <w:ind w:left="1435"/>
      </w:pPr>
      <w:r>
        <w:t xml:space="preserve">Sintomatología: Paranoia, vértigo y parálisis </w:t>
      </w:r>
    </w:p>
    <w:p w:rsidR="00900967" w:rsidRDefault="001C3F47">
      <w:pPr>
        <w:ind w:left="1435"/>
      </w:pPr>
      <w:r>
        <w:t xml:space="preserve">Cura: La construcción de un nuevo modelo de Autarquía. </w:t>
      </w:r>
    </w:p>
    <w:p w:rsidR="00900967" w:rsidRDefault="001C3F47">
      <w:pPr>
        <w:numPr>
          <w:ilvl w:val="0"/>
          <w:numId w:val="3"/>
        </w:numPr>
        <w:spacing w:after="0" w:line="361" w:lineRule="auto"/>
        <w:ind w:right="5148" w:hanging="360"/>
        <w:jc w:val="left"/>
      </w:pPr>
      <w:r>
        <w:rPr>
          <w:b/>
        </w:rPr>
        <w:t xml:space="preserve">Conclusiones </w:t>
      </w:r>
      <w:r>
        <w:t xml:space="preserve">Cavernas del siglo XX </w:t>
      </w:r>
    </w:p>
    <w:p w:rsidR="00900967" w:rsidRDefault="001C3F47">
      <w:pPr>
        <w:ind w:left="1435"/>
      </w:pPr>
      <w:r>
        <w:t xml:space="preserve">Sentencia </w:t>
      </w:r>
    </w:p>
    <w:p w:rsidR="00900967" w:rsidRDefault="001C3F47">
      <w:pPr>
        <w:spacing w:after="0"/>
        <w:ind w:left="1440" w:firstLine="0"/>
        <w:jc w:val="left"/>
        <w:rPr>
          <w:color w:val="FF0000"/>
        </w:rPr>
      </w:pPr>
      <w:r w:rsidRPr="001C3F47">
        <w:rPr>
          <w:color w:val="FF0000"/>
        </w:rPr>
        <w:lastRenderedPageBreak/>
        <w:t>(</w:t>
      </w:r>
      <w:r>
        <w:rPr>
          <w:color w:val="FF0000"/>
        </w:rPr>
        <w:t>Bien, la bibliografía parece un poco general, pero espero que puedas ubicar los puntos precisos</w:t>
      </w:r>
      <w:r w:rsidRPr="001C3F47">
        <w:rPr>
          <w:color w:val="FF0000"/>
        </w:rPr>
        <w:t>)</w:t>
      </w:r>
    </w:p>
    <w:p w:rsidR="001C3F47" w:rsidRDefault="001C3F47">
      <w:pPr>
        <w:spacing w:after="0"/>
        <w:ind w:left="1440" w:firstLine="0"/>
        <w:jc w:val="left"/>
      </w:pPr>
      <w:r>
        <w:rPr>
          <w:color w:val="FF0000"/>
        </w:rPr>
        <w:t>Puntos: 12/15</w:t>
      </w:r>
      <w:bookmarkStart w:id="0" w:name="_GoBack"/>
      <w:bookmarkEnd w:id="0"/>
    </w:p>
    <w:sectPr w:rsidR="001C3F47">
      <w:pgSz w:w="11909" w:h="16834"/>
      <w:pgMar w:top="1442" w:right="1435" w:bottom="1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1141E"/>
    <w:multiLevelType w:val="hybridMultilevel"/>
    <w:tmpl w:val="ED8A5612"/>
    <w:lvl w:ilvl="0" w:tplc="57C0D75C">
      <w:start w:val="1"/>
      <w:numFmt w:val="decimal"/>
      <w:lvlText w:val="%1.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762D5C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64A9D6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A29BCC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3E0568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7E3B0A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EE927A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8209C2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1C318E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594F2C"/>
    <w:multiLevelType w:val="hybridMultilevel"/>
    <w:tmpl w:val="1B807348"/>
    <w:lvl w:ilvl="0" w:tplc="094E54C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ECC89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64E09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2EB88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0C60A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A62BE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DEC4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346E8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6A78E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E62A18"/>
    <w:multiLevelType w:val="hybridMultilevel"/>
    <w:tmpl w:val="31DAEA5A"/>
    <w:lvl w:ilvl="0" w:tplc="FC10773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7A1E8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A48C6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EE524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6E6B0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C4278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580B8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0CD82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36486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967"/>
    <w:rsid w:val="001C3F47"/>
    <w:rsid w:val="0090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1261E4"/>
  <w15:docId w15:val="{2C357699-98F1-4A66-94D1-ADB67ED6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5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634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Usuario de Windows</cp:lastModifiedBy>
  <cp:revision>3</cp:revision>
  <dcterms:created xsi:type="dcterms:W3CDTF">2021-07-08T12:19:00Z</dcterms:created>
  <dcterms:modified xsi:type="dcterms:W3CDTF">2021-07-08T12:19:00Z</dcterms:modified>
</cp:coreProperties>
</file>