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862741" w:rsidRDefault="004E62B9">
      <w:pPr>
        <w:jc w:val="both"/>
      </w:pPr>
      <w:r>
        <w:rPr>
          <w:noProof/>
        </w:rPr>
        <w:drawing>
          <wp:anchor distT="0" distB="0" distL="114300" distR="114300" simplePos="0" relativeHeight="251658240" behindDoc="0" locked="0" layoutInCell="1" hidden="0" allowOverlap="1" wp14:anchorId="5CE66A43" wp14:editId="07777777">
            <wp:simplePos x="0" y="0"/>
            <wp:positionH relativeFrom="column">
              <wp:posOffset>-127633</wp:posOffset>
            </wp:positionH>
            <wp:positionV relativeFrom="paragraph">
              <wp:posOffset>0</wp:posOffset>
            </wp:positionV>
            <wp:extent cx="1885950" cy="918210"/>
            <wp:effectExtent l="0" t="0" r="0" b="0"/>
            <wp:wrapSquare wrapText="bothSides" distT="0" distB="0" distL="114300" distR="114300"/>
            <wp:docPr id="1" name="image1.jpg" descr="EXPOPOSTULANTE - La mejor Web de Orientación Vocacional"/>
            <wp:cNvGraphicFramePr/>
            <a:graphic xmlns:a="http://schemas.openxmlformats.org/drawingml/2006/main">
              <a:graphicData uri="http://schemas.openxmlformats.org/drawingml/2006/picture">
                <pic:pic xmlns:pic="http://schemas.openxmlformats.org/drawingml/2006/picture">
                  <pic:nvPicPr>
                    <pic:cNvPr id="0" name="image1.jpg" descr="EXPOPOSTULANTE - La mejor Web de Orientación Vocacional"/>
                    <pic:cNvPicPr preferRelativeResize="0"/>
                  </pic:nvPicPr>
                  <pic:blipFill>
                    <a:blip r:embed="rId5"/>
                    <a:srcRect/>
                    <a:stretch>
                      <a:fillRect/>
                    </a:stretch>
                  </pic:blipFill>
                  <pic:spPr>
                    <a:xfrm>
                      <a:off x="0" y="0"/>
                      <a:ext cx="1885950" cy="918210"/>
                    </a:xfrm>
                    <a:prstGeom prst="rect">
                      <a:avLst/>
                    </a:prstGeom>
                    <a:ln/>
                  </pic:spPr>
                </pic:pic>
              </a:graphicData>
            </a:graphic>
          </wp:anchor>
        </w:drawing>
      </w:r>
    </w:p>
    <w:p w14:paraId="00000002" w14:textId="77777777" w:rsidR="00862741" w:rsidRDefault="004E62B9">
      <w:pPr>
        <w:tabs>
          <w:tab w:val="left" w:pos="3345"/>
        </w:tabs>
        <w:jc w:val="right"/>
        <w:rPr>
          <w:b/>
        </w:rPr>
      </w:pPr>
      <w:r>
        <w:rPr>
          <w:b/>
        </w:rPr>
        <w:t>Pensamiento Crítico 2021</w:t>
      </w:r>
    </w:p>
    <w:p w14:paraId="00000003" w14:textId="77777777" w:rsidR="00862741" w:rsidRDefault="004E62B9">
      <w:pPr>
        <w:tabs>
          <w:tab w:val="left" w:pos="3345"/>
        </w:tabs>
        <w:jc w:val="right"/>
      </w:pPr>
      <w:r>
        <w:t xml:space="preserve">Grupo de César </w:t>
      </w:r>
      <w:proofErr w:type="spellStart"/>
      <w:r>
        <w:t>Escajadillo</w:t>
      </w:r>
      <w:proofErr w:type="spellEnd"/>
      <w:r>
        <w:t xml:space="preserve"> y Fernando García</w:t>
      </w:r>
    </w:p>
    <w:p w14:paraId="00000004" w14:textId="77777777" w:rsidR="00862741" w:rsidRDefault="004E62B9">
      <w:pPr>
        <w:tabs>
          <w:tab w:val="left" w:pos="3345"/>
        </w:tabs>
        <w:jc w:val="right"/>
      </w:pPr>
      <w:r>
        <w:t>Viernes 21 de abril</w:t>
      </w:r>
    </w:p>
    <w:p w14:paraId="00000005" w14:textId="77777777" w:rsidR="00862741" w:rsidRDefault="00862741">
      <w:pPr>
        <w:tabs>
          <w:tab w:val="left" w:pos="3345"/>
        </w:tabs>
        <w:jc w:val="both"/>
        <w:rPr>
          <w:b/>
          <w:sz w:val="28"/>
          <w:szCs w:val="28"/>
          <w:u w:val="single"/>
        </w:rPr>
      </w:pPr>
    </w:p>
    <w:p w14:paraId="00000006" w14:textId="77777777" w:rsidR="00862741" w:rsidRDefault="004E62B9">
      <w:pPr>
        <w:tabs>
          <w:tab w:val="left" w:pos="3345"/>
        </w:tabs>
        <w:jc w:val="center"/>
        <w:rPr>
          <w:b/>
          <w:sz w:val="28"/>
          <w:szCs w:val="28"/>
          <w:u w:val="single"/>
        </w:rPr>
      </w:pPr>
      <w:r>
        <w:rPr>
          <w:b/>
          <w:sz w:val="28"/>
          <w:szCs w:val="28"/>
          <w:u w:val="single"/>
        </w:rPr>
        <w:t>Primer control</w:t>
      </w:r>
    </w:p>
    <w:p w14:paraId="00000007" w14:textId="77777777" w:rsidR="00862741" w:rsidRDefault="00862741">
      <w:pPr>
        <w:tabs>
          <w:tab w:val="left" w:pos="3345"/>
        </w:tabs>
        <w:jc w:val="both"/>
      </w:pPr>
    </w:p>
    <w:p w14:paraId="00000008" w14:textId="304FD5E9" w:rsidR="00862741" w:rsidRDefault="280684C6">
      <w:pPr>
        <w:tabs>
          <w:tab w:val="left" w:pos="3345"/>
        </w:tabs>
        <w:spacing w:line="360" w:lineRule="auto"/>
        <w:jc w:val="both"/>
      </w:pPr>
      <w:r>
        <w:t>Nombre: Fátima Mercedes Rojas Vilca</w:t>
      </w:r>
    </w:p>
    <w:p w14:paraId="00000009" w14:textId="77777777" w:rsidR="00862741" w:rsidRDefault="004E62B9">
      <w:pPr>
        <w:tabs>
          <w:tab w:val="left" w:pos="3345"/>
        </w:tabs>
        <w:spacing w:line="360" w:lineRule="auto"/>
        <w:jc w:val="both"/>
      </w:pPr>
      <w:r>
        <w:t xml:space="preserve">Correo para regresar el control corregido: </w:t>
      </w:r>
      <w:hyperlink r:id="rId6">
        <w:r>
          <w:rPr>
            <w:color w:val="1155CC"/>
            <w:u w:val="single"/>
          </w:rPr>
          <w:t>a1910143@uarm.pe</w:t>
        </w:r>
      </w:hyperlink>
      <w:r>
        <w:t xml:space="preserve"> </w:t>
      </w:r>
    </w:p>
    <w:p w14:paraId="0000000A" w14:textId="77E13168" w:rsidR="00862741" w:rsidRDefault="004E62B9">
      <w:pPr>
        <w:tabs>
          <w:tab w:val="left" w:pos="3345"/>
        </w:tabs>
        <w:spacing w:line="360" w:lineRule="auto"/>
        <w:jc w:val="both"/>
      </w:pPr>
      <w:r>
        <w:t>Nota de Control: 11</w:t>
      </w:r>
      <w:bookmarkStart w:id="0" w:name="_GoBack"/>
      <w:bookmarkEnd w:id="0"/>
      <w:r>
        <w:t>/15</w:t>
      </w:r>
    </w:p>
    <w:p w14:paraId="0000000B" w14:textId="19780375" w:rsidR="00862741" w:rsidRDefault="004E62B9">
      <w:pPr>
        <w:tabs>
          <w:tab w:val="left" w:pos="3345"/>
        </w:tabs>
        <w:spacing w:line="360" w:lineRule="auto"/>
        <w:jc w:val="both"/>
      </w:pPr>
      <w:r>
        <w:t xml:space="preserve">Nota del informe: </w:t>
      </w:r>
      <w:r w:rsidR="00C04A1C">
        <w:t>4</w:t>
      </w:r>
      <w:r>
        <w:t>/5</w:t>
      </w:r>
    </w:p>
    <w:p w14:paraId="0000000C" w14:textId="77777777" w:rsidR="00862741" w:rsidRDefault="00862741">
      <w:pPr>
        <w:pBdr>
          <w:bottom w:val="single" w:sz="12" w:space="1" w:color="000000"/>
        </w:pBdr>
        <w:tabs>
          <w:tab w:val="left" w:pos="3345"/>
        </w:tabs>
        <w:jc w:val="both"/>
      </w:pPr>
    </w:p>
    <w:p w14:paraId="0000000D" w14:textId="77777777" w:rsidR="00862741" w:rsidRDefault="004E62B9">
      <w:pPr>
        <w:tabs>
          <w:tab w:val="left" w:pos="3345"/>
        </w:tabs>
        <w:spacing w:line="360" w:lineRule="auto"/>
        <w:jc w:val="both"/>
      </w:pPr>
      <w:r>
        <w:t>Indicaciones:</w:t>
      </w:r>
    </w:p>
    <w:p w14:paraId="0000000E" w14:textId="77777777" w:rsidR="00862741" w:rsidRDefault="004E62B9">
      <w:pPr>
        <w:numPr>
          <w:ilvl w:val="0"/>
          <w:numId w:val="1"/>
        </w:numPr>
        <w:pBdr>
          <w:top w:val="nil"/>
          <w:left w:val="nil"/>
          <w:bottom w:val="nil"/>
          <w:right w:val="nil"/>
          <w:between w:val="nil"/>
        </w:pBdr>
        <w:tabs>
          <w:tab w:val="left" w:pos="3345"/>
        </w:tabs>
        <w:spacing w:after="0" w:line="360" w:lineRule="auto"/>
        <w:jc w:val="both"/>
      </w:pPr>
      <w:r>
        <w:rPr>
          <w:color w:val="000000"/>
        </w:rPr>
        <w:t xml:space="preserve">Leer cuidadosamente las preguntas propuestas y responder sólo </w:t>
      </w:r>
      <w:r>
        <w:rPr>
          <w:b/>
          <w:color w:val="000000"/>
          <w:u w:val="single"/>
        </w:rPr>
        <w:t>TRES</w:t>
      </w:r>
      <w:r>
        <w:rPr>
          <w:color w:val="000000"/>
        </w:rPr>
        <w:t xml:space="preserve"> (5 puntos c/u + 5 puntos del informe = 20 puntos).</w:t>
      </w:r>
    </w:p>
    <w:p w14:paraId="0000000F" w14:textId="75EC05D5" w:rsidR="00862741" w:rsidRDefault="280684C6" w:rsidP="280684C6">
      <w:pPr>
        <w:numPr>
          <w:ilvl w:val="0"/>
          <w:numId w:val="1"/>
        </w:numPr>
        <w:pBdr>
          <w:top w:val="nil"/>
          <w:left w:val="nil"/>
          <w:bottom w:val="nil"/>
          <w:right w:val="nil"/>
          <w:between w:val="nil"/>
        </w:pBdr>
        <w:tabs>
          <w:tab w:val="left" w:pos="3345"/>
        </w:tabs>
        <w:spacing w:after="0" w:line="360" w:lineRule="auto"/>
        <w:jc w:val="both"/>
      </w:pPr>
      <w:r w:rsidRPr="280684C6">
        <w:rPr>
          <w:color w:val="000000"/>
        </w:rPr>
        <w:t xml:space="preserve">Cuide el estilo, formato y contenido, realice una redacción atenta. Relea y corrija su control antes de enviarlo a </w:t>
      </w:r>
      <w:hyperlink r:id="rId7">
        <w:r w:rsidRPr="280684C6">
          <w:rPr>
            <w:color w:val="0563C1"/>
            <w:u w:val="single"/>
          </w:rPr>
          <w:t>cletothar@gmail.com</w:t>
        </w:r>
      </w:hyperlink>
      <w:r w:rsidRPr="280684C6">
        <w:rPr>
          <w:color w:val="000000"/>
        </w:rPr>
        <w:t xml:space="preserve"> o </w:t>
      </w:r>
      <w:hyperlink r:id="rId8">
        <w:r w:rsidRPr="280684C6">
          <w:rPr>
            <w:color w:val="0563C1"/>
            <w:u w:val="single"/>
          </w:rPr>
          <w:t>fernandogarcia.alcala@uarm.pe</w:t>
        </w:r>
      </w:hyperlink>
      <w:r w:rsidRPr="280684C6">
        <w:rPr>
          <w:color w:val="000000"/>
        </w:rPr>
        <w:t xml:space="preserve"> antes del </w:t>
      </w:r>
      <w:r>
        <w:t>30</w:t>
      </w:r>
      <w:r w:rsidRPr="280684C6">
        <w:rPr>
          <w:color w:val="000000"/>
        </w:rPr>
        <w:t xml:space="preserve"> de abril.</w:t>
      </w:r>
    </w:p>
    <w:p w14:paraId="00000010" w14:textId="77777777" w:rsidR="00862741" w:rsidRDefault="004E62B9">
      <w:pPr>
        <w:numPr>
          <w:ilvl w:val="0"/>
          <w:numId w:val="1"/>
        </w:numPr>
        <w:pBdr>
          <w:top w:val="nil"/>
          <w:left w:val="nil"/>
          <w:bottom w:val="nil"/>
          <w:right w:val="nil"/>
          <w:between w:val="nil"/>
        </w:pBdr>
        <w:tabs>
          <w:tab w:val="left" w:pos="3345"/>
        </w:tabs>
        <w:spacing w:after="0" w:line="360" w:lineRule="auto"/>
        <w:jc w:val="both"/>
      </w:pPr>
      <w:r>
        <w:rPr>
          <w:color w:val="000000"/>
        </w:rPr>
        <w:t xml:space="preserve">Si va a utilizar una cita, hágalo de modo apropiado, indicando el año de edición de la obra revisada, el autor y el número de página. </w:t>
      </w:r>
    </w:p>
    <w:p w14:paraId="00000011" w14:textId="77777777" w:rsidR="00862741" w:rsidRDefault="004E62B9">
      <w:pPr>
        <w:numPr>
          <w:ilvl w:val="0"/>
          <w:numId w:val="1"/>
        </w:numPr>
        <w:pBdr>
          <w:top w:val="nil"/>
          <w:left w:val="nil"/>
          <w:bottom w:val="nil"/>
          <w:right w:val="nil"/>
          <w:between w:val="nil"/>
        </w:pBdr>
        <w:tabs>
          <w:tab w:val="left" w:pos="3345"/>
        </w:tabs>
        <w:spacing w:after="0" w:line="360" w:lineRule="auto"/>
        <w:jc w:val="both"/>
      </w:pPr>
      <w:r>
        <w:rPr>
          <w:color w:val="000000"/>
        </w:rPr>
        <w:t xml:space="preserve">Recuerde que el curso invita a pensar críticamente los contenidos y </w:t>
      </w:r>
      <w:r>
        <w:rPr>
          <w:color w:val="000000"/>
        </w:rPr>
        <w:t>no meramente a repetir discursos o ideas.</w:t>
      </w:r>
    </w:p>
    <w:p w14:paraId="00000012" w14:textId="77777777" w:rsidR="00862741" w:rsidRDefault="004E62B9">
      <w:pPr>
        <w:numPr>
          <w:ilvl w:val="0"/>
          <w:numId w:val="1"/>
        </w:numPr>
        <w:pBdr>
          <w:top w:val="nil"/>
          <w:left w:val="nil"/>
          <w:bottom w:val="nil"/>
          <w:right w:val="nil"/>
          <w:between w:val="nil"/>
        </w:pBdr>
        <w:tabs>
          <w:tab w:val="left" w:pos="3345"/>
        </w:tabs>
        <w:spacing w:after="0" w:line="360" w:lineRule="auto"/>
        <w:jc w:val="both"/>
      </w:pPr>
      <w:r>
        <w:rPr>
          <w:color w:val="000000"/>
        </w:rPr>
        <w:t>En el sentido anterior, el plagio, la copia literal, las respuestas en equipo o cualquier tipo de atentado en contra de la honradez y honestidad intelectual, no sólo implican un quebrantamiento del reglamento unive</w:t>
      </w:r>
      <w:r>
        <w:rPr>
          <w:color w:val="000000"/>
        </w:rPr>
        <w:t xml:space="preserve">rsitario, sino que, especialmente, juega en contra de su propia educación y desarrollo. </w:t>
      </w:r>
    </w:p>
    <w:p w14:paraId="00000013" w14:textId="77777777" w:rsidR="00862741" w:rsidRDefault="004E62B9">
      <w:pPr>
        <w:numPr>
          <w:ilvl w:val="0"/>
          <w:numId w:val="1"/>
        </w:numPr>
        <w:pBdr>
          <w:top w:val="nil"/>
          <w:left w:val="nil"/>
          <w:bottom w:val="nil"/>
          <w:right w:val="nil"/>
          <w:between w:val="nil"/>
        </w:pBdr>
        <w:tabs>
          <w:tab w:val="left" w:pos="3345"/>
        </w:tabs>
        <w:spacing w:line="360" w:lineRule="auto"/>
        <w:jc w:val="both"/>
      </w:pPr>
      <w:r>
        <w:rPr>
          <w:color w:val="000000"/>
        </w:rPr>
        <w:t xml:space="preserve">La respuesta mínima por pregunta es de media cara y la máxima de una. Sea conciso en la elaboración de la respuesta. </w:t>
      </w:r>
    </w:p>
    <w:p w14:paraId="00000014" w14:textId="77777777" w:rsidR="00862741" w:rsidRDefault="00862741">
      <w:pPr>
        <w:tabs>
          <w:tab w:val="left" w:pos="3345"/>
        </w:tabs>
        <w:jc w:val="both"/>
      </w:pPr>
    </w:p>
    <w:p w14:paraId="00000015" w14:textId="77777777" w:rsidR="00862741" w:rsidRDefault="00862741">
      <w:pPr>
        <w:tabs>
          <w:tab w:val="left" w:pos="3345"/>
        </w:tabs>
        <w:spacing w:line="360" w:lineRule="auto"/>
        <w:jc w:val="both"/>
      </w:pPr>
    </w:p>
    <w:p w14:paraId="00000016" w14:textId="77777777" w:rsidR="00862741" w:rsidRDefault="004E62B9">
      <w:pPr>
        <w:tabs>
          <w:tab w:val="left" w:pos="3345"/>
        </w:tabs>
        <w:spacing w:line="360" w:lineRule="auto"/>
        <w:jc w:val="both"/>
      </w:pPr>
      <w:r>
        <w:lastRenderedPageBreak/>
        <w:t xml:space="preserve">Preguntas: (desarrollar solo </w:t>
      </w:r>
      <w:r>
        <w:rPr>
          <w:b/>
        </w:rPr>
        <w:t>tres</w:t>
      </w:r>
      <w:r>
        <w:t xml:space="preserve">) </w:t>
      </w:r>
    </w:p>
    <w:p w14:paraId="00000017" w14:textId="77777777" w:rsidR="00862741" w:rsidRDefault="004E62B9">
      <w:pPr>
        <w:numPr>
          <w:ilvl w:val="0"/>
          <w:numId w:val="1"/>
        </w:numPr>
        <w:pBdr>
          <w:top w:val="nil"/>
          <w:left w:val="nil"/>
          <w:bottom w:val="nil"/>
          <w:right w:val="nil"/>
          <w:between w:val="nil"/>
        </w:pBdr>
        <w:tabs>
          <w:tab w:val="left" w:pos="3345"/>
        </w:tabs>
        <w:spacing w:after="0" w:line="360" w:lineRule="auto"/>
        <w:jc w:val="both"/>
        <w:rPr>
          <w:b/>
        </w:rPr>
      </w:pPr>
      <w:r>
        <w:rPr>
          <w:b/>
          <w:color w:val="000000"/>
        </w:rPr>
        <w:t xml:space="preserve">¿Qué idea de persuasión defiende </w:t>
      </w:r>
      <w:proofErr w:type="spellStart"/>
      <w:r>
        <w:rPr>
          <w:b/>
          <w:color w:val="000000"/>
        </w:rPr>
        <w:t>Gorgias</w:t>
      </w:r>
      <w:proofErr w:type="spellEnd"/>
      <w:r>
        <w:rPr>
          <w:b/>
          <w:color w:val="000000"/>
        </w:rPr>
        <w:t xml:space="preserve"> y qué idea de retórica defiende Sócrates?</w:t>
      </w:r>
    </w:p>
    <w:p w14:paraId="00000018" w14:textId="48C42764" w:rsidR="00862741" w:rsidRDefault="280684C6" w:rsidP="280684C6">
      <w:pPr>
        <w:pBdr>
          <w:top w:val="nil"/>
          <w:left w:val="nil"/>
          <w:bottom w:val="nil"/>
          <w:right w:val="nil"/>
          <w:between w:val="nil"/>
        </w:pBdr>
        <w:tabs>
          <w:tab w:val="left" w:pos="3345"/>
        </w:tabs>
        <w:spacing w:after="0" w:line="360" w:lineRule="auto"/>
        <w:ind w:left="720"/>
        <w:jc w:val="both"/>
      </w:pPr>
      <w:r>
        <w:t xml:space="preserve">Las ideas que expresan </w:t>
      </w:r>
      <w:proofErr w:type="spellStart"/>
      <w:r>
        <w:t>Gorgias</w:t>
      </w:r>
      <w:proofErr w:type="spellEnd"/>
      <w:r>
        <w:t xml:space="preserve"> y Sócrates acerca de la persuasión y retórica, respectivamente, son definiciones que no se comparten; A pesar de que </w:t>
      </w:r>
      <w:proofErr w:type="spellStart"/>
      <w:r>
        <w:t>Gorgias</w:t>
      </w:r>
      <w:proofErr w:type="spellEnd"/>
      <w:r>
        <w:t xml:space="preserve"> nos explica que el uso de la persuasión en la retórica como herramienta, es para expresar lo justo; Por otro lado, Sócrates refuta diciendo que la persuasión en la retórica puede ser utilizada injustamente, dejando así a la retórica como un arte que llega a contradecirse. </w:t>
      </w:r>
    </w:p>
    <w:p w14:paraId="00000019" w14:textId="4078EB3A" w:rsidR="00862741" w:rsidRDefault="004E62B9">
      <w:pPr>
        <w:pBdr>
          <w:top w:val="nil"/>
          <w:left w:val="nil"/>
          <w:bottom w:val="nil"/>
          <w:right w:val="nil"/>
          <w:between w:val="nil"/>
        </w:pBdr>
        <w:tabs>
          <w:tab w:val="left" w:pos="3345"/>
        </w:tabs>
        <w:spacing w:after="0" w:line="360" w:lineRule="auto"/>
        <w:ind w:left="720"/>
        <w:jc w:val="both"/>
      </w:pPr>
      <w:proofErr w:type="spellStart"/>
      <w:r>
        <w:t>Gorgias</w:t>
      </w:r>
      <w:proofErr w:type="spellEnd"/>
      <w:r>
        <w:t>, por su parte, nos menciona que la persuasión es la herramienta fundamental y la actividad que es artífice de lo que llama “retórica”, es decir, el discurso que se logra dar de cualquier tema puede ser llamado retórica si se utiliza en toda la pres</w:t>
      </w:r>
      <w:r>
        <w:t>entación, la persuasión, de otro modo, sólo sería un discurso. Sin embargo, la persuasión no se debería utilizar de manera injusta, como en algún momento se ha dado. Por otro lado, Sócrates, define a la retórica, como los discursos que son presentados a mo</w:t>
      </w:r>
      <w:r>
        <w:t xml:space="preserve">do de persuadir a la multitud sobre lo que es justo e injusto, también relata que tenía una idea acerca de la retórica; expresa que la retórica sólo debería expresar discursos sobre lo justo </w:t>
      </w:r>
      <w:r>
        <w:rPr>
          <w:color w:val="FF0000"/>
        </w:rPr>
        <w:t>(</w:t>
      </w:r>
      <w:r>
        <w:rPr>
          <w:color w:val="FF0000"/>
        </w:rPr>
        <w:t>Creo que esto es discutible e impreciso</w:t>
      </w:r>
      <w:r>
        <w:rPr>
          <w:color w:val="FF0000"/>
        </w:rPr>
        <w:t>)</w:t>
      </w:r>
      <w:r>
        <w:t>. A modo de conclusión, se puede decir que Sócrates define a la re</w:t>
      </w:r>
      <w:r>
        <w:t xml:space="preserve">tórica como un arte que no es coherente con las prácticas y a </w:t>
      </w:r>
      <w:proofErr w:type="spellStart"/>
      <w:r>
        <w:t>Gorgias</w:t>
      </w:r>
      <w:proofErr w:type="spellEnd"/>
      <w:r>
        <w:t xml:space="preserve"> como un representante que no pudo utilizar su arte para persuadir a Sócrates sobre lo que es llamado retórica.</w:t>
      </w:r>
    </w:p>
    <w:p w14:paraId="79E4EE7A" w14:textId="41AEF9CC" w:rsidR="004E62B9" w:rsidRDefault="004E62B9">
      <w:pPr>
        <w:pBdr>
          <w:top w:val="nil"/>
          <w:left w:val="nil"/>
          <w:bottom w:val="nil"/>
          <w:right w:val="nil"/>
          <w:between w:val="nil"/>
        </w:pBdr>
        <w:tabs>
          <w:tab w:val="left" w:pos="3345"/>
        </w:tabs>
        <w:spacing w:after="0" w:line="360" w:lineRule="auto"/>
        <w:ind w:left="720"/>
        <w:jc w:val="both"/>
        <w:rPr>
          <w:color w:val="FF0000"/>
        </w:rPr>
      </w:pPr>
      <w:r>
        <w:rPr>
          <w:color w:val="FF0000"/>
        </w:rPr>
        <w:t>(</w:t>
      </w:r>
      <w:r>
        <w:rPr>
          <w:color w:val="FF0000"/>
        </w:rPr>
        <w:t>Bien, pero que pasas por alto un elemento fundamental; Sócrates defiende lo fundamental de la justicia para el papel de la persuasión</w:t>
      </w:r>
      <w:proofErr w:type="gramStart"/>
      <w:r>
        <w:rPr>
          <w:color w:val="FF0000"/>
        </w:rPr>
        <w:t xml:space="preserve">. </w:t>
      </w:r>
      <w:proofErr w:type="gramEnd"/>
      <w:r>
        <w:rPr>
          <w:color w:val="FF0000"/>
        </w:rPr>
        <w:t>No expresas claramente que hayas interpretado esta idea.</w:t>
      </w:r>
      <w:r>
        <w:rPr>
          <w:color w:val="FF0000"/>
        </w:rPr>
        <w:t>)</w:t>
      </w:r>
    </w:p>
    <w:p w14:paraId="70B1E49E" w14:textId="7EB2B26F" w:rsidR="004E62B9" w:rsidRDefault="004E62B9">
      <w:pPr>
        <w:pBdr>
          <w:top w:val="nil"/>
          <w:left w:val="nil"/>
          <w:bottom w:val="nil"/>
          <w:right w:val="nil"/>
          <w:between w:val="nil"/>
        </w:pBdr>
        <w:tabs>
          <w:tab w:val="left" w:pos="3345"/>
        </w:tabs>
        <w:spacing w:after="0" w:line="360" w:lineRule="auto"/>
        <w:ind w:left="720"/>
        <w:jc w:val="both"/>
        <w:rPr>
          <w:color w:val="000000"/>
        </w:rPr>
      </w:pPr>
      <w:r>
        <w:rPr>
          <w:color w:val="FF0000"/>
        </w:rPr>
        <w:t>Puntos: 3</w:t>
      </w:r>
    </w:p>
    <w:p w14:paraId="0000001A" w14:textId="77777777" w:rsidR="00862741" w:rsidRDefault="004E62B9">
      <w:pPr>
        <w:numPr>
          <w:ilvl w:val="0"/>
          <w:numId w:val="1"/>
        </w:numPr>
        <w:pBdr>
          <w:top w:val="nil"/>
          <w:left w:val="nil"/>
          <w:bottom w:val="nil"/>
          <w:right w:val="nil"/>
          <w:between w:val="nil"/>
        </w:pBdr>
        <w:tabs>
          <w:tab w:val="left" w:pos="3345"/>
        </w:tabs>
        <w:spacing w:after="0" w:line="360" w:lineRule="auto"/>
        <w:jc w:val="both"/>
        <w:rPr>
          <w:b/>
        </w:rPr>
      </w:pPr>
      <w:r>
        <w:rPr>
          <w:b/>
          <w:color w:val="000000"/>
        </w:rPr>
        <w:t xml:space="preserve">¿El curso de pensamiento crítico es teórico o práctico? ¿En qué sentido el </w:t>
      </w:r>
      <w:r>
        <w:rPr>
          <w:b/>
          <w:color w:val="000000"/>
        </w:rPr>
        <w:t>pensar es un "acto"? Fundamente la respuesta.</w:t>
      </w:r>
    </w:p>
    <w:p w14:paraId="0000001B" w14:textId="2A623433" w:rsidR="00862741" w:rsidRDefault="280684C6" w:rsidP="280684C6">
      <w:pPr>
        <w:pBdr>
          <w:top w:val="nil"/>
          <w:left w:val="nil"/>
          <w:bottom w:val="nil"/>
          <w:right w:val="nil"/>
          <w:between w:val="nil"/>
        </w:pBdr>
        <w:tabs>
          <w:tab w:val="left" w:pos="3345"/>
        </w:tabs>
        <w:spacing w:after="0" w:line="360" w:lineRule="auto"/>
        <w:ind w:left="720"/>
        <w:jc w:val="both"/>
      </w:pPr>
      <w:r>
        <w:t>Considero que el curso es práctico, si bien se separa en dos secciones que se titulan: teoría y práctica; en las dos se presentan los textos que tienen las ideas, definiciones y opiniones de los primeros pensadores. Tanto estos escritos como el curso tienen el objetivo de poder desarrollar el pensamiento crítico de cada lector/estudiante. Siendo así, el curso pasa a ser práctico, por el hecho de incentivar y promover el pensamiento crítico desde la lectura de cada texto y en la formación constante del propio conocimiento a partir de la recolección de información dada y su debido proceso por el pensar.</w:t>
      </w:r>
    </w:p>
    <w:p w14:paraId="0000001C" w14:textId="77777777" w:rsidR="00862741" w:rsidRDefault="004E62B9">
      <w:pPr>
        <w:pBdr>
          <w:top w:val="nil"/>
          <w:left w:val="nil"/>
          <w:bottom w:val="nil"/>
          <w:right w:val="nil"/>
          <w:between w:val="nil"/>
        </w:pBdr>
        <w:tabs>
          <w:tab w:val="left" w:pos="3345"/>
        </w:tabs>
        <w:spacing w:after="0" w:line="360" w:lineRule="auto"/>
        <w:ind w:left="720"/>
        <w:jc w:val="both"/>
      </w:pPr>
      <w:r>
        <w:lastRenderedPageBreak/>
        <w:t>En esta misma línea, se puede entender que el pensar también es parte de la pr</w:t>
      </w:r>
      <w:r>
        <w:t>áctica y por ende es un acto, porque trabaja de manera conjunta con la actividad/movimiento que se realizará luego, es decir, el pensar es lo previo del actuar, ya que se procesa los conocimientos que se tiene y procede a formarse lo que se llamaría un con</w:t>
      </w:r>
      <w:r>
        <w:t>ocimiento o reflexión de lo visto, leído y/o sentido. Vale recalcar que toda actividad/movimiento que se realiza después de pensar, no necesariamente se entiende como la acción del cuerpo, pues posiblemente luego del acto de pensar se llegan a tomar decisi</w:t>
      </w:r>
      <w:r>
        <w:t xml:space="preserve">ones que no traen como consecuencia una actividad física. </w:t>
      </w:r>
    </w:p>
    <w:p w14:paraId="0000001D" w14:textId="2874596A" w:rsidR="00862741" w:rsidRDefault="004E62B9">
      <w:pPr>
        <w:pBdr>
          <w:top w:val="nil"/>
          <w:left w:val="nil"/>
          <w:bottom w:val="nil"/>
          <w:right w:val="nil"/>
          <w:between w:val="nil"/>
        </w:pBdr>
        <w:tabs>
          <w:tab w:val="left" w:pos="3345"/>
        </w:tabs>
        <w:spacing w:after="0" w:line="360" w:lineRule="auto"/>
        <w:ind w:left="720"/>
        <w:jc w:val="both"/>
      </w:pPr>
      <w:r>
        <w:t>A modo de conclusión, se puede decir que el curso de pensamiento crítico es práctico, porque promueve el acto de pensar originando la actividad cerebral y física (presente o no) para la toma de dec</w:t>
      </w:r>
      <w:r>
        <w:t>isiones sobre lo que realizaremos tanto en nosotros como en nuestro alrededor.</w:t>
      </w:r>
    </w:p>
    <w:p w14:paraId="1297128C" w14:textId="0DE9C052" w:rsidR="004E62B9" w:rsidRDefault="004E62B9">
      <w:pPr>
        <w:pBdr>
          <w:top w:val="nil"/>
          <w:left w:val="nil"/>
          <w:bottom w:val="nil"/>
          <w:right w:val="nil"/>
          <w:between w:val="nil"/>
        </w:pBdr>
        <w:tabs>
          <w:tab w:val="left" w:pos="3345"/>
        </w:tabs>
        <w:spacing w:after="0" w:line="360" w:lineRule="auto"/>
        <w:ind w:left="720"/>
        <w:jc w:val="both"/>
        <w:rPr>
          <w:color w:val="FF0000"/>
        </w:rPr>
      </w:pPr>
      <w:r>
        <w:rPr>
          <w:color w:val="FF0000"/>
        </w:rPr>
        <w:t>(</w:t>
      </w:r>
      <w:r>
        <w:rPr>
          <w:color w:val="FF0000"/>
        </w:rPr>
        <w:t>Bien</w:t>
      </w:r>
      <w:r>
        <w:rPr>
          <w:color w:val="FF0000"/>
        </w:rPr>
        <w:t>)</w:t>
      </w:r>
    </w:p>
    <w:p w14:paraId="5B83C3DB" w14:textId="622EEE19" w:rsidR="004E62B9" w:rsidRDefault="004E62B9">
      <w:pPr>
        <w:pBdr>
          <w:top w:val="nil"/>
          <w:left w:val="nil"/>
          <w:bottom w:val="nil"/>
          <w:right w:val="nil"/>
          <w:between w:val="nil"/>
        </w:pBdr>
        <w:tabs>
          <w:tab w:val="left" w:pos="3345"/>
        </w:tabs>
        <w:spacing w:after="0" w:line="360" w:lineRule="auto"/>
        <w:ind w:left="720"/>
        <w:jc w:val="both"/>
      </w:pPr>
      <w:r>
        <w:rPr>
          <w:color w:val="FF0000"/>
        </w:rPr>
        <w:t>Puntos: 4</w:t>
      </w:r>
    </w:p>
    <w:p w14:paraId="0000001E" w14:textId="77777777" w:rsidR="00862741" w:rsidRDefault="004E62B9">
      <w:pPr>
        <w:numPr>
          <w:ilvl w:val="0"/>
          <w:numId w:val="1"/>
        </w:numPr>
        <w:pBdr>
          <w:top w:val="nil"/>
          <w:left w:val="nil"/>
          <w:bottom w:val="nil"/>
          <w:right w:val="nil"/>
          <w:between w:val="nil"/>
        </w:pBdr>
        <w:tabs>
          <w:tab w:val="left" w:pos="3345"/>
        </w:tabs>
        <w:spacing w:line="360" w:lineRule="auto"/>
        <w:jc w:val="both"/>
        <w:rPr>
          <w:b/>
        </w:rPr>
      </w:pPr>
      <w:r>
        <w:rPr>
          <w:b/>
          <w:color w:val="000000"/>
        </w:rPr>
        <w:t>¿Qué relación se puede establecer entre el pensamiento crítico y el actuar político/social en nuestro contexto actual?</w:t>
      </w:r>
    </w:p>
    <w:p w14:paraId="0000001F" w14:textId="77777777" w:rsidR="00862741" w:rsidRDefault="004E62B9">
      <w:pPr>
        <w:pBdr>
          <w:top w:val="nil"/>
          <w:left w:val="nil"/>
          <w:bottom w:val="nil"/>
          <w:right w:val="nil"/>
          <w:between w:val="nil"/>
        </w:pBdr>
        <w:tabs>
          <w:tab w:val="left" w:pos="3345"/>
        </w:tabs>
        <w:spacing w:line="360" w:lineRule="auto"/>
        <w:ind w:left="720"/>
        <w:jc w:val="both"/>
      </w:pPr>
      <w:r>
        <w:t>Considero que la relación que hay entre el pensamiento crítico y el actuar en el ámbito político/social en la actualidad es ausente, pero en crecimiento, es decir, la mayoría de las personas en el Perú se conforman con lo que escuchan o ven por primera vez</w:t>
      </w:r>
      <w:r>
        <w:t xml:space="preserve"> y no indagan o piensan en el por qué deberían de creer lo que se ha dicho como verdad.  Sin embargo, en los últimos meses se ha notado un incremento del interés por parte de los jóvenes en la decisión sobre la elección de gobernantes, originando el pensam</w:t>
      </w:r>
      <w:r>
        <w:t xml:space="preserve">iento crítico sobre la información recibida por medios exteriores. </w:t>
      </w:r>
    </w:p>
    <w:p w14:paraId="00000020" w14:textId="3D71166A" w:rsidR="00862741" w:rsidRDefault="280684C6" w:rsidP="280684C6">
      <w:pPr>
        <w:pBdr>
          <w:top w:val="nil"/>
          <w:left w:val="nil"/>
          <w:bottom w:val="nil"/>
          <w:right w:val="nil"/>
          <w:between w:val="nil"/>
        </w:pBdr>
        <w:tabs>
          <w:tab w:val="left" w:pos="3345"/>
        </w:tabs>
        <w:spacing w:line="360" w:lineRule="auto"/>
        <w:ind w:left="720"/>
        <w:jc w:val="both"/>
      </w:pPr>
      <w:r>
        <w:t>Por otro lado, podemos mencionar que el actuar de las personas en sociedad carece de un previo pensamiento crítico, es decir, si bien todos tenemos un pensamiento crítico, parece ser que siempre se está buscando un beneficio propio y no un bien común, por lo tanto este pensamiento se ve apartado de las actividades que se realizarán con el objetivo de un beneficio individual, estas acciones pueden ser vistas de manera consecutiva dentro de nuestra sociedad cuando en las noticias se mencionan robos, asesinatos, estafas, difamaciones y diferentes crímenes que son realizados sin importar el daño que se le ocasionará a la otra persona. Como se mencionó, estas acciones son realizadas sin un previo pensamiento crítico, y es puesto a que muchas veces las personas que realizan dichos actos recién son capaces de analizar la situación luego de cometer dicha acción.</w:t>
      </w:r>
    </w:p>
    <w:p w14:paraId="3675B879" w14:textId="60B16C5D" w:rsidR="004E62B9" w:rsidRDefault="004E62B9" w:rsidP="280684C6">
      <w:pPr>
        <w:pBdr>
          <w:top w:val="nil"/>
          <w:left w:val="nil"/>
          <w:bottom w:val="nil"/>
          <w:right w:val="nil"/>
          <w:between w:val="nil"/>
        </w:pBdr>
        <w:tabs>
          <w:tab w:val="left" w:pos="3345"/>
        </w:tabs>
        <w:spacing w:line="360" w:lineRule="auto"/>
        <w:ind w:left="720"/>
        <w:jc w:val="both"/>
        <w:rPr>
          <w:color w:val="FF0000"/>
        </w:rPr>
      </w:pPr>
      <w:r>
        <w:rPr>
          <w:color w:val="FF0000"/>
        </w:rPr>
        <w:lastRenderedPageBreak/>
        <w:t>(</w:t>
      </w:r>
      <w:r>
        <w:rPr>
          <w:color w:val="FF0000"/>
        </w:rPr>
        <w:t>Bien, pero creo que pudiste profundizar un poco más</w:t>
      </w:r>
      <w:proofErr w:type="gramStart"/>
      <w:r>
        <w:rPr>
          <w:color w:val="FF0000"/>
        </w:rPr>
        <w:t>. Buen trabajo!</w:t>
      </w:r>
      <w:proofErr w:type="gramEnd"/>
      <w:r>
        <w:rPr>
          <w:color w:val="FF0000"/>
        </w:rPr>
        <w:t>)</w:t>
      </w:r>
    </w:p>
    <w:p w14:paraId="11970E78" w14:textId="08781435" w:rsidR="004E62B9" w:rsidRDefault="004E62B9" w:rsidP="280684C6">
      <w:pPr>
        <w:pBdr>
          <w:top w:val="nil"/>
          <w:left w:val="nil"/>
          <w:bottom w:val="nil"/>
          <w:right w:val="nil"/>
          <w:between w:val="nil"/>
        </w:pBdr>
        <w:tabs>
          <w:tab w:val="left" w:pos="3345"/>
        </w:tabs>
        <w:spacing w:line="360" w:lineRule="auto"/>
        <w:ind w:left="720"/>
        <w:jc w:val="both"/>
      </w:pPr>
      <w:r>
        <w:rPr>
          <w:color w:val="FF0000"/>
        </w:rPr>
        <w:t>Puntos: 4</w:t>
      </w:r>
    </w:p>
    <w:sectPr w:rsidR="004E62B9">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DF68D6"/>
    <w:multiLevelType w:val="multilevel"/>
    <w:tmpl w:val="29C23C2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0684C6"/>
    <w:rsid w:val="004E62B9"/>
    <w:rsid w:val="00862741"/>
    <w:rsid w:val="00C04A1C"/>
    <w:rsid w:val="280684C6"/>
    <w:rsid w:val="3D29FBE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66A43"/>
  <w15:docId w15:val="{074CABAE-4EEA-474E-98DA-D6E02FB4E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fernandogarcia.alcala@uarm.pe" TargetMode="External"/><Relationship Id="rId3" Type="http://schemas.openxmlformats.org/officeDocument/2006/relationships/settings" Target="settings.xml"/><Relationship Id="rId7" Type="http://schemas.openxmlformats.org/officeDocument/2006/relationships/hyperlink" Target="mailto:cletotha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1910143@uarm.pe"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992</Words>
  <Characters>5456</Characters>
  <Application>Microsoft Office Word</Application>
  <DocSecurity>0</DocSecurity>
  <Lines>45</Lines>
  <Paragraphs>12</Paragraphs>
  <ScaleCrop>false</ScaleCrop>
  <Company/>
  <LinksUpToDate>false</LinksUpToDate>
  <CharactersWithSpaces>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Windows</cp:lastModifiedBy>
  <cp:revision>3</cp:revision>
  <dcterms:created xsi:type="dcterms:W3CDTF">2021-05-01T21:27:00Z</dcterms:created>
  <dcterms:modified xsi:type="dcterms:W3CDTF">2021-05-01T21:33:00Z</dcterms:modified>
</cp:coreProperties>
</file>