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94B" w:rsidRDefault="007C2BED">
      <w:pPr>
        <w:rPr>
          <w:b/>
        </w:rPr>
      </w:pPr>
      <w:r>
        <w:rPr>
          <w:noProof/>
          <w:lang w:val="es-PE"/>
        </w:rPr>
        <w:drawing>
          <wp:inline distT="114300" distB="114300" distL="114300" distR="114300">
            <wp:extent cx="1885950" cy="7762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76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               </w:t>
      </w:r>
      <w:r>
        <w:rPr>
          <w:b/>
        </w:rPr>
        <w:t>Pensamiento Crítico 2021</w:t>
      </w:r>
    </w:p>
    <w:p w:rsidR="00B6094B" w:rsidRDefault="007C2BED">
      <w:pPr>
        <w:spacing w:before="240" w:after="240"/>
        <w:jc w:val="center"/>
      </w:pPr>
      <w:r>
        <w:t xml:space="preserve">                                                                               Grupo de </w:t>
      </w:r>
      <w:proofErr w:type="spellStart"/>
      <w:r>
        <w:t>Raschid</w:t>
      </w:r>
      <w:proofErr w:type="spellEnd"/>
      <w:r>
        <w:t xml:space="preserve"> Rabí y Fernando García</w:t>
      </w:r>
    </w:p>
    <w:p w:rsidR="00B6094B" w:rsidRDefault="007C2BED">
      <w:pPr>
        <w:spacing w:before="240" w:after="240"/>
        <w:jc w:val="right"/>
      </w:pPr>
      <w:r>
        <w:t>Viernes 21 de abril</w:t>
      </w:r>
    </w:p>
    <w:p w:rsidR="00B6094B" w:rsidRDefault="00B6094B">
      <w:pPr>
        <w:spacing w:before="240" w:after="240"/>
      </w:pPr>
    </w:p>
    <w:p w:rsidR="00B6094B" w:rsidRDefault="007C2BED">
      <w:pPr>
        <w:spacing w:before="240" w:after="24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Primer control</w:t>
      </w:r>
    </w:p>
    <w:p w:rsidR="00B6094B" w:rsidRDefault="007C2BED">
      <w:pPr>
        <w:spacing w:before="240" w:after="240"/>
        <w:jc w:val="both"/>
      </w:pPr>
      <w:r>
        <w:t xml:space="preserve"> </w:t>
      </w:r>
    </w:p>
    <w:p w:rsidR="00B6094B" w:rsidRDefault="007C2BED">
      <w:pPr>
        <w:spacing w:before="240" w:after="240"/>
        <w:jc w:val="both"/>
        <w:rPr>
          <w:rFonts w:ascii="Fondamento" w:eastAsia="Fondamento" w:hAnsi="Fondamento" w:cs="Fondamento"/>
          <w:b/>
          <w:sz w:val="24"/>
          <w:szCs w:val="24"/>
        </w:rPr>
      </w:pPr>
      <w:r>
        <w:rPr>
          <w:b/>
        </w:rPr>
        <w:t>Nombre</w:t>
      </w:r>
      <w:r>
        <w:t>:</w:t>
      </w:r>
      <w:r>
        <w:rPr>
          <w:b/>
        </w:rPr>
        <w:t xml:space="preserve"> </w:t>
      </w:r>
      <w:r>
        <w:rPr>
          <w:rFonts w:ascii="Fondamento" w:eastAsia="Fondamento" w:hAnsi="Fondamento" w:cs="Fondamento"/>
          <w:b/>
          <w:sz w:val="24"/>
          <w:szCs w:val="24"/>
        </w:rPr>
        <w:t>Camilo Eligio Ronceros Tagle</w:t>
      </w:r>
    </w:p>
    <w:p w:rsidR="00B6094B" w:rsidRDefault="007C2BED">
      <w:pPr>
        <w:spacing w:before="240" w:after="240"/>
        <w:jc w:val="both"/>
        <w:rPr>
          <w:b/>
        </w:rPr>
      </w:pPr>
      <w:r>
        <w:rPr>
          <w:b/>
        </w:rPr>
        <w:t>Correo para regresar el control corregido:</w:t>
      </w:r>
    </w:p>
    <w:p w:rsidR="00B6094B" w:rsidRDefault="007C2BED">
      <w:pPr>
        <w:spacing w:before="240" w:after="240"/>
        <w:jc w:val="both"/>
      </w:pPr>
      <w:r>
        <w:rPr>
          <w:b/>
        </w:rPr>
        <w:t xml:space="preserve">Nota de Control: </w:t>
      </w:r>
      <w:r>
        <w:t>8</w:t>
      </w:r>
      <w:r>
        <w:t>/15</w:t>
      </w:r>
    </w:p>
    <w:p w:rsidR="00B6094B" w:rsidRDefault="007C2BED">
      <w:pPr>
        <w:spacing w:before="240" w:after="240"/>
        <w:jc w:val="both"/>
      </w:pPr>
      <w:r>
        <w:rPr>
          <w:b/>
        </w:rPr>
        <w:t xml:space="preserve">Nota del informe: </w:t>
      </w:r>
      <w:r>
        <w:t>3</w:t>
      </w:r>
      <w:r>
        <w:t>/5</w:t>
      </w:r>
      <w:bookmarkStart w:id="0" w:name="_GoBack"/>
      <w:bookmarkEnd w:id="0"/>
    </w:p>
    <w:p w:rsidR="00B6094B" w:rsidRDefault="007C2BED">
      <w:pPr>
        <w:spacing w:before="240" w:after="24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Indicaciones:</w:t>
      </w:r>
    </w:p>
    <w:p w:rsidR="00B6094B" w:rsidRDefault="007C2BED">
      <w:pPr>
        <w:spacing w:before="240" w:after="240"/>
        <w:ind w:left="36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-</w:t>
      </w:r>
      <w:r>
        <w:rPr>
          <w:rFonts w:ascii="Georgia" w:eastAsia="Georgia" w:hAnsi="Georgia" w:cs="Georgia"/>
          <w:sz w:val="14"/>
          <w:szCs w:val="14"/>
        </w:rPr>
        <w:t xml:space="preserve"> </w:t>
      </w:r>
      <w:r>
        <w:rPr>
          <w:rFonts w:ascii="Georgia" w:eastAsia="Georgia" w:hAnsi="Georgia" w:cs="Georgia"/>
        </w:rPr>
        <w:t xml:space="preserve">Leer cuidadosamente las preguntas propuestas y responder sólo </w:t>
      </w:r>
      <w:r>
        <w:rPr>
          <w:rFonts w:ascii="Georgia" w:eastAsia="Georgia" w:hAnsi="Georgia" w:cs="Georgia"/>
          <w:b/>
          <w:u w:val="single"/>
        </w:rPr>
        <w:t>TRES</w:t>
      </w:r>
      <w:r>
        <w:rPr>
          <w:rFonts w:ascii="Georgia" w:eastAsia="Georgia" w:hAnsi="Georgia" w:cs="Georgia"/>
        </w:rPr>
        <w:t xml:space="preserve"> (5 puntos c/u + 5 puntos del informe = 20 puntos).</w:t>
      </w:r>
    </w:p>
    <w:p w:rsidR="00B6094B" w:rsidRDefault="007C2BED">
      <w:pPr>
        <w:spacing w:before="240" w:after="240"/>
        <w:ind w:left="36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-</w:t>
      </w:r>
      <w:r>
        <w:rPr>
          <w:rFonts w:ascii="Georgia" w:eastAsia="Georgia" w:hAnsi="Georgia" w:cs="Georgia"/>
          <w:sz w:val="14"/>
          <w:szCs w:val="14"/>
        </w:rPr>
        <w:t xml:space="preserve">     </w:t>
      </w:r>
      <w:r>
        <w:rPr>
          <w:rFonts w:ascii="Georgia" w:eastAsia="Georgia" w:hAnsi="Georgia" w:cs="Georgia"/>
          <w:sz w:val="14"/>
          <w:szCs w:val="14"/>
        </w:rPr>
        <w:t xml:space="preserve">     </w:t>
      </w:r>
      <w:r>
        <w:rPr>
          <w:rFonts w:ascii="Georgia" w:eastAsia="Georgia" w:hAnsi="Georgia" w:cs="Georgia"/>
        </w:rPr>
        <w:t>Si va a utilizar una cita, hágalo de modo apropiado, indicando el año de edición de la obra revisada, el autor y el número de página.</w:t>
      </w:r>
    </w:p>
    <w:p w:rsidR="00B6094B" w:rsidRDefault="007C2BED">
      <w:pPr>
        <w:spacing w:before="240" w:after="240"/>
        <w:ind w:left="36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-</w:t>
      </w:r>
      <w:r>
        <w:rPr>
          <w:rFonts w:ascii="Georgia" w:eastAsia="Georgia" w:hAnsi="Georgia" w:cs="Georgia"/>
          <w:sz w:val="14"/>
          <w:szCs w:val="14"/>
        </w:rPr>
        <w:t xml:space="preserve">          </w:t>
      </w:r>
      <w:r>
        <w:rPr>
          <w:rFonts w:ascii="Georgia" w:eastAsia="Georgia" w:hAnsi="Georgia" w:cs="Georgia"/>
        </w:rPr>
        <w:t>Recuerde que el curso invita a pensar críticamente los contenidos y no meramente a repetir discursos o ide</w:t>
      </w:r>
      <w:r>
        <w:rPr>
          <w:rFonts w:ascii="Georgia" w:eastAsia="Georgia" w:hAnsi="Georgia" w:cs="Georgia"/>
        </w:rPr>
        <w:t>as.</w:t>
      </w:r>
    </w:p>
    <w:p w:rsidR="00B6094B" w:rsidRDefault="007C2BED">
      <w:pPr>
        <w:spacing w:before="240" w:after="240"/>
        <w:ind w:left="36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-</w:t>
      </w:r>
      <w:r>
        <w:rPr>
          <w:rFonts w:ascii="Georgia" w:eastAsia="Georgia" w:hAnsi="Georgia" w:cs="Georgia"/>
          <w:sz w:val="14"/>
          <w:szCs w:val="14"/>
        </w:rPr>
        <w:t xml:space="preserve">          </w:t>
      </w:r>
      <w:r>
        <w:rPr>
          <w:rFonts w:ascii="Georgia" w:eastAsia="Georgia" w:hAnsi="Georgia" w:cs="Georgia"/>
        </w:rPr>
        <w:t>En el sentido anterior, el plagio, la copia literal, las respuestas en equipo o cualquier tipo de atentado en contra de la honradez y honestidad intelectual, no sólo implican un quebrantamiento del reglamento universitario, sino que, especia</w:t>
      </w:r>
      <w:r>
        <w:rPr>
          <w:rFonts w:ascii="Georgia" w:eastAsia="Georgia" w:hAnsi="Georgia" w:cs="Georgia"/>
        </w:rPr>
        <w:t>lmente, juega en contra de su propia educación y desarrollo.</w:t>
      </w:r>
    </w:p>
    <w:p w:rsidR="00B6094B" w:rsidRDefault="007C2BED">
      <w:pPr>
        <w:spacing w:before="240" w:after="240"/>
        <w:ind w:left="36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-</w:t>
      </w:r>
      <w:r>
        <w:rPr>
          <w:rFonts w:ascii="Georgia" w:eastAsia="Georgia" w:hAnsi="Georgia" w:cs="Georgia"/>
          <w:sz w:val="14"/>
          <w:szCs w:val="14"/>
        </w:rPr>
        <w:t xml:space="preserve">          </w:t>
      </w:r>
      <w:r>
        <w:rPr>
          <w:rFonts w:ascii="Georgia" w:eastAsia="Georgia" w:hAnsi="Georgia" w:cs="Georgia"/>
        </w:rPr>
        <w:t>La respuesta mínima por pregunta es de media cara y la máxima de una. Sea conciso en la elaboración de la respuesta.</w:t>
      </w:r>
    </w:p>
    <w:p w:rsidR="00B6094B" w:rsidRDefault="007C2BED">
      <w:pPr>
        <w:spacing w:before="240" w:after="240"/>
        <w:jc w:val="both"/>
      </w:pPr>
      <w:r>
        <w:rPr>
          <w:rFonts w:ascii="Georgia" w:eastAsia="Georgia" w:hAnsi="Georgia" w:cs="Georgia"/>
          <w:b/>
        </w:rPr>
        <w:t>Preguntas</w:t>
      </w:r>
      <w:r>
        <w:t>:</w:t>
      </w:r>
    </w:p>
    <w:p w:rsidR="00B6094B" w:rsidRDefault="007C2BED">
      <w:pPr>
        <w:numPr>
          <w:ilvl w:val="0"/>
          <w:numId w:val="1"/>
        </w:numPr>
        <w:spacing w:before="240" w:after="240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De acuerdo a </w:t>
      </w:r>
      <w:proofErr w:type="spellStart"/>
      <w:r>
        <w:rPr>
          <w:rFonts w:ascii="Georgia" w:eastAsia="Georgia" w:hAnsi="Georgia" w:cs="Georgia"/>
          <w:b/>
        </w:rPr>
        <w:t>Santuc</w:t>
      </w:r>
      <w:proofErr w:type="spellEnd"/>
      <w:r>
        <w:rPr>
          <w:rFonts w:ascii="Georgia" w:eastAsia="Georgia" w:hAnsi="Georgia" w:cs="Georgia"/>
          <w:b/>
        </w:rPr>
        <w:t xml:space="preserve"> y otros autores revisados: ¿todos somos capaces de ejercer el pensamiento crítico, o se trata de una actividad restringida? ¿Porqué? ¿El curso de pensamiento crítico es teórico o práctico? ¿En qué sentido el pensar es un "acto"? Fundame</w:t>
      </w:r>
      <w:r>
        <w:rPr>
          <w:rFonts w:ascii="Georgia" w:eastAsia="Georgia" w:hAnsi="Georgia" w:cs="Georgia"/>
          <w:b/>
        </w:rPr>
        <w:t>nte la respuesta.</w:t>
      </w:r>
    </w:p>
    <w:p w:rsidR="00B6094B" w:rsidRDefault="007C2BED">
      <w:pPr>
        <w:spacing w:before="240" w:after="240"/>
        <w:ind w:left="720"/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lastRenderedPageBreak/>
        <w:t xml:space="preserve">El pensamiento crítico es una actividad restringida </w:t>
      </w:r>
      <w:r>
        <w:rPr>
          <w:color w:val="FF0000"/>
        </w:rPr>
        <w:t>(</w:t>
      </w:r>
      <w:r>
        <w:rPr>
          <w:color w:val="FF0000"/>
        </w:rPr>
        <w:t>¿?</w:t>
      </w:r>
      <w:r>
        <w:rPr>
          <w:color w:val="FF0000"/>
        </w:rPr>
        <w:t>)</w:t>
      </w:r>
      <w:r>
        <w:rPr>
          <w:rFonts w:ascii="Fondamento" w:eastAsia="Fondamento" w:hAnsi="Fondamento" w:cs="Fondamento"/>
          <w:sz w:val="24"/>
          <w:szCs w:val="24"/>
        </w:rPr>
        <w:t xml:space="preserve"> que nos permite analizar y evaluar la consistencia de los razonamientos que la sociedad acepta como verdaderas. Ya </w:t>
      </w:r>
      <w:proofErr w:type="gramStart"/>
      <w:r>
        <w:rPr>
          <w:rFonts w:ascii="Fondamento" w:eastAsia="Fondamento" w:hAnsi="Fondamento" w:cs="Fondamento"/>
          <w:sz w:val="24"/>
          <w:szCs w:val="24"/>
        </w:rPr>
        <w:t>que</w:t>
      </w:r>
      <w:r>
        <w:rPr>
          <w:color w:val="FF0000"/>
        </w:rPr>
        <w:t>(</w:t>
      </w:r>
      <w:proofErr w:type="gramEnd"/>
      <w:r>
        <w:rPr>
          <w:color w:val="FF0000"/>
        </w:rPr>
        <w:t>,</w:t>
      </w:r>
      <w:r>
        <w:rPr>
          <w:color w:val="FF0000"/>
        </w:rPr>
        <w:t>)</w:t>
      </w:r>
      <w:r>
        <w:rPr>
          <w:rFonts w:ascii="Fondamento" w:eastAsia="Fondamento" w:hAnsi="Fondamento" w:cs="Fondamento"/>
          <w:sz w:val="24"/>
          <w:szCs w:val="24"/>
        </w:rPr>
        <w:t xml:space="preserve"> si  bien todos tenemos la capacidad de poder ejercerla, no todos ll</w:t>
      </w:r>
      <w:r>
        <w:rPr>
          <w:rFonts w:ascii="Fondamento" w:eastAsia="Fondamento" w:hAnsi="Fondamento" w:cs="Fondamento"/>
          <w:sz w:val="24"/>
          <w:szCs w:val="24"/>
        </w:rPr>
        <w:t xml:space="preserve">egan a desarrollarla por los diversos factores que dependen del entorno socio-cultural, al no haber diálogo y discusión no  se estimula el pensamiento crítico. </w:t>
      </w:r>
      <w:r>
        <w:rPr>
          <w:color w:val="FF0000"/>
        </w:rPr>
        <w:t>(</w:t>
      </w:r>
      <w:r>
        <w:rPr>
          <w:color w:val="FF0000"/>
        </w:rPr>
        <w:t>En el sentido que planteas, que es una lectura muy buena, el pensamiento crítico no está restringido, sino que simplemente no es popular.</w:t>
      </w:r>
      <w:r>
        <w:rPr>
          <w:color w:val="FF0000"/>
        </w:rPr>
        <w:t>)</w:t>
      </w:r>
    </w:p>
    <w:p w:rsidR="00B6094B" w:rsidRDefault="007C2BED">
      <w:pPr>
        <w:spacing w:before="240" w:after="240"/>
        <w:ind w:left="720"/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>El curso de pensamiento crítico es teórico y práctico al mismo tiempo, ya que con la teoría tene</w:t>
      </w:r>
      <w:r>
        <w:rPr>
          <w:rFonts w:ascii="Fondamento" w:eastAsia="Fondamento" w:hAnsi="Fondamento" w:cs="Fondamento"/>
          <w:sz w:val="24"/>
          <w:szCs w:val="24"/>
        </w:rPr>
        <w:t xml:space="preserve">mos las bases y estímulos suficientes para ponerlos en práctica y contribuir </w:t>
      </w:r>
      <w:proofErr w:type="gramStart"/>
      <w:r>
        <w:rPr>
          <w:rFonts w:ascii="Fondamento" w:eastAsia="Fondamento" w:hAnsi="Fondamento" w:cs="Fondamento"/>
          <w:sz w:val="24"/>
          <w:szCs w:val="24"/>
        </w:rPr>
        <w:t>al  desarrollo</w:t>
      </w:r>
      <w:proofErr w:type="gramEnd"/>
      <w:r>
        <w:rPr>
          <w:rFonts w:ascii="Fondamento" w:eastAsia="Fondamento" w:hAnsi="Fondamento" w:cs="Fondamento"/>
          <w:sz w:val="24"/>
          <w:szCs w:val="24"/>
        </w:rPr>
        <w:t xml:space="preserve"> de la persona. </w:t>
      </w:r>
    </w:p>
    <w:p w:rsidR="00B6094B" w:rsidRDefault="007C2BED">
      <w:pPr>
        <w:spacing w:before="240" w:after="240"/>
        <w:ind w:left="720"/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 xml:space="preserve">El pensar es un “acto”, en el sentido que es una acción en la cual una persona puede interpretar, analizar y reflexionar conceptos sobre un tema en </w:t>
      </w:r>
      <w:r>
        <w:rPr>
          <w:rFonts w:ascii="Fondamento" w:eastAsia="Fondamento" w:hAnsi="Fondamento" w:cs="Fondamento"/>
          <w:sz w:val="24"/>
          <w:szCs w:val="24"/>
        </w:rPr>
        <w:t>particular con el fin de entender la realidad.</w:t>
      </w:r>
    </w:p>
    <w:p w:rsidR="007C2BED" w:rsidRDefault="007C2BED">
      <w:pPr>
        <w:spacing w:before="240" w:after="240"/>
        <w:ind w:left="720"/>
        <w:jc w:val="both"/>
        <w:rPr>
          <w:color w:val="FF0000"/>
        </w:rPr>
      </w:pPr>
      <w:r>
        <w:rPr>
          <w:color w:val="FF0000"/>
        </w:rPr>
        <w:t>(</w:t>
      </w:r>
      <w:r>
        <w:rPr>
          <w:color w:val="FF0000"/>
        </w:rPr>
        <w:t>Bien, pudiste profundizar un poco lo último</w:t>
      </w:r>
      <w:proofErr w:type="gramStart"/>
      <w:r>
        <w:rPr>
          <w:color w:val="FF0000"/>
        </w:rPr>
        <w:t xml:space="preserve">. </w:t>
      </w:r>
      <w:proofErr w:type="gramEnd"/>
      <w:r>
        <w:rPr>
          <w:color w:val="FF0000"/>
        </w:rPr>
        <w:t>También lo primero que te comento</w:t>
      </w:r>
      <w:proofErr w:type="gramStart"/>
      <w:r>
        <w:rPr>
          <w:color w:val="FF0000"/>
        </w:rPr>
        <w:t xml:space="preserve">. </w:t>
      </w:r>
      <w:proofErr w:type="gramEnd"/>
      <w:r>
        <w:rPr>
          <w:color w:val="FF0000"/>
        </w:rPr>
        <w:t xml:space="preserve">Por el contrario, </w:t>
      </w:r>
      <w:proofErr w:type="spellStart"/>
      <w:r>
        <w:rPr>
          <w:color w:val="FF0000"/>
        </w:rPr>
        <w:t>Santuc</w:t>
      </w:r>
      <w:proofErr w:type="spellEnd"/>
      <w:r>
        <w:rPr>
          <w:color w:val="FF0000"/>
        </w:rPr>
        <w:t xml:space="preserve"> y los otros autores revisados defienden que todos tenemos acceso y la necesidad de pensar.</w:t>
      </w:r>
      <w:r>
        <w:rPr>
          <w:color w:val="FF0000"/>
        </w:rPr>
        <w:t>)</w:t>
      </w:r>
    </w:p>
    <w:p w:rsidR="007C2BED" w:rsidRDefault="007C2BED">
      <w:pPr>
        <w:spacing w:before="240" w:after="240"/>
        <w:ind w:left="720"/>
        <w:jc w:val="both"/>
      </w:pPr>
      <w:r>
        <w:rPr>
          <w:color w:val="FF0000"/>
        </w:rPr>
        <w:t>Puntos: 3</w:t>
      </w:r>
    </w:p>
    <w:p w:rsidR="00B6094B" w:rsidRDefault="007C2BED">
      <w:pPr>
        <w:numPr>
          <w:ilvl w:val="0"/>
          <w:numId w:val="3"/>
        </w:numPr>
        <w:spacing w:before="240" w:after="240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¿Está de acuerdo con "la figura de la vaca"? ¿porqué? ¿Qué otra figura podría caracterizar al pensar?</w:t>
      </w:r>
    </w:p>
    <w:p w:rsidR="00B6094B" w:rsidRDefault="007C2BED">
      <w:pPr>
        <w:spacing w:before="240" w:after="240"/>
        <w:ind w:left="720"/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 xml:space="preserve">La “figura de la vaca” caracteriza el pensar, porque la vaca es un animal que rumia, convierte la hierba en alimento al comer, tragar y regurgitar el material consumido, lo mismo ocurre con el pensar al analizar un concepto </w:t>
      </w:r>
      <w:proofErr w:type="spellStart"/>
      <w:r>
        <w:rPr>
          <w:rFonts w:ascii="Fondamento" w:eastAsia="Fondamento" w:hAnsi="Fondamento" w:cs="Fondamento"/>
          <w:sz w:val="24"/>
          <w:szCs w:val="24"/>
        </w:rPr>
        <w:t>deconstruyendo</w:t>
      </w:r>
      <w:proofErr w:type="spellEnd"/>
      <w:r>
        <w:rPr>
          <w:rFonts w:ascii="Fondamento" w:eastAsia="Fondamento" w:hAnsi="Fondamento" w:cs="Fondamento"/>
          <w:sz w:val="24"/>
          <w:szCs w:val="24"/>
        </w:rPr>
        <w:t xml:space="preserve"> ideas, para así p</w:t>
      </w:r>
      <w:r>
        <w:rPr>
          <w:rFonts w:ascii="Fondamento" w:eastAsia="Fondamento" w:hAnsi="Fondamento" w:cs="Fondamento"/>
          <w:sz w:val="24"/>
          <w:szCs w:val="24"/>
        </w:rPr>
        <w:t>oder llegar a una síntesis.</w:t>
      </w:r>
    </w:p>
    <w:p w:rsidR="007C2BED" w:rsidRDefault="007C2BED">
      <w:pPr>
        <w:spacing w:before="240" w:after="240"/>
        <w:ind w:left="720"/>
        <w:jc w:val="both"/>
        <w:rPr>
          <w:color w:val="FF0000"/>
        </w:rPr>
      </w:pPr>
      <w:r>
        <w:rPr>
          <w:color w:val="FF0000"/>
        </w:rPr>
        <w:t>(</w:t>
      </w:r>
      <w:r>
        <w:rPr>
          <w:color w:val="FF0000"/>
        </w:rPr>
        <w:t>Me temo que no has respondido ninguna de las tres preguntas</w:t>
      </w:r>
      <w:proofErr w:type="gramStart"/>
      <w:r>
        <w:rPr>
          <w:color w:val="FF0000"/>
        </w:rPr>
        <w:t xml:space="preserve">. </w:t>
      </w:r>
      <w:proofErr w:type="gramEnd"/>
      <w:r>
        <w:rPr>
          <w:color w:val="FF0000"/>
        </w:rPr>
        <w:t xml:space="preserve">Te has limitado a explicar el ejemplo de </w:t>
      </w:r>
      <w:proofErr w:type="spellStart"/>
      <w:r>
        <w:rPr>
          <w:color w:val="FF0000"/>
        </w:rPr>
        <w:t>Santuc</w:t>
      </w:r>
      <w:proofErr w:type="spellEnd"/>
      <w:r>
        <w:rPr>
          <w:color w:val="FF0000"/>
        </w:rPr>
        <w:t xml:space="preserve"> que rescata de Hegel, pero no has señalado si te encuentras a favor o en contra de la figura</w:t>
      </w:r>
      <w:proofErr w:type="gramStart"/>
      <w:r>
        <w:rPr>
          <w:color w:val="FF0000"/>
        </w:rPr>
        <w:t xml:space="preserve">. </w:t>
      </w:r>
      <w:proofErr w:type="gramEnd"/>
      <w:r>
        <w:rPr>
          <w:color w:val="FF0000"/>
        </w:rPr>
        <w:t>Peor aún, no has señalado la razón de porqué sostienes esa postura</w:t>
      </w:r>
      <w:proofErr w:type="gramStart"/>
      <w:r>
        <w:rPr>
          <w:color w:val="FF0000"/>
        </w:rPr>
        <w:t xml:space="preserve">. </w:t>
      </w:r>
      <w:proofErr w:type="gramEnd"/>
      <w:r>
        <w:rPr>
          <w:color w:val="FF0000"/>
        </w:rPr>
        <w:t>Finalmente, no presentas una alternativa posible para representar el pensamiento.</w:t>
      </w:r>
      <w:r>
        <w:rPr>
          <w:color w:val="FF0000"/>
        </w:rPr>
        <w:t>)</w:t>
      </w:r>
    </w:p>
    <w:p w:rsidR="007C2BED" w:rsidRDefault="007C2BED">
      <w:pPr>
        <w:spacing w:before="240" w:after="240"/>
        <w:ind w:left="720"/>
        <w:jc w:val="both"/>
        <w:rPr>
          <w:sz w:val="24"/>
          <w:szCs w:val="24"/>
        </w:rPr>
      </w:pPr>
      <w:r>
        <w:rPr>
          <w:color w:val="FF0000"/>
        </w:rPr>
        <w:t>Puntos: 2</w:t>
      </w:r>
    </w:p>
    <w:p w:rsidR="00B6094B" w:rsidRDefault="007C2BED">
      <w:pPr>
        <w:numPr>
          <w:ilvl w:val="0"/>
          <w:numId w:val="2"/>
        </w:numPr>
        <w:spacing w:before="240" w:after="240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¿Qué relación es posible entre el concepto de la banalidad del mal y el pensamiento crítico?</w:t>
      </w:r>
    </w:p>
    <w:p w:rsidR="00B6094B" w:rsidRDefault="007C2BED">
      <w:pPr>
        <w:spacing w:before="240" w:after="240"/>
        <w:ind w:left="720"/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t>Desde mi perspectiva la única relación posible entre el concepto de la banalidad del mal y el pensamiento crítico, es de objeto de estu</w:t>
      </w:r>
      <w:r>
        <w:rPr>
          <w:rFonts w:ascii="Fondamento" w:eastAsia="Fondamento" w:hAnsi="Fondamento" w:cs="Fondamento"/>
          <w:sz w:val="24"/>
          <w:szCs w:val="24"/>
        </w:rPr>
        <w:t xml:space="preserve">dio. </w:t>
      </w:r>
    </w:p>
    <w:p w:rsidR="00B6094B" w:rsidRDefault="007C2BED">
      <w:pPr>
        <w:spacing w:before="240" w:after="240"/>
        <w:ind w:left="720"/>
        <w:jc w:val="both"/>
        <w:rPr>
          <w:rFonts w:ascii="Fondamento" w:eastAsia="Fondamento" w:hAnsi="Fondamento" w:cs="Fondamento"/>
          <w:sz w:val="24"/>
          <w:szCs w:val="24"/>
        </w:rPr>
      </w:pPr>
      <w:r>
        <w:rPr>
          <w:rFonts w:ascii="Fondamento" w:eastAsia="Fondamento" w:hAnsi="Fondamento" w:cs="Fondamento"/>
          <w:sz w:val="24"/>
          <w:szCs w:val="24"/>
        </w:rPr>
        <w:lastRenderedPageBreak/>
        <w:t xml:space="preserve">En la banalidad del mal, </w:t>
      </w:r>
      <w:proofErr w:type="spellStart"/>
      <w:r>
        <w:rPr>
          <w:rFonts w:ascii="Fondamento" w:eastAsia="Fondamento" w:hAnsi="Fondamento" w:cs="Fondamento"/>
          <w:sz w:val="24"/>
          <w:szCs w:val="24"/>
        </w:rPr>
        <w:t>Arendt</w:t>
      </w:r>
      <w:proofErr w:type="spellEnd"/>
      <w:r>
        <w:rPr>
          <w:rFonts w:ascii="Fondamento" w:eastAsia="Fondamento" w:hAnsi="Fondamento" w:cs="Fondamento"/>
          <w:sz w:val="24"/>
          <w:szCs w:val="24"/>
        </w:rPr>
        <w:t xml:space="preserve"> da cuenta de que cualquier persona supuestamente </w:t>
      </w:r>
      <w:r>
        <w:rPr>
          <w:rFonts w:ascii="Fondamento" w:eastAsia="Fondamento" w:hAnsi="Fondamento" w:cs="Fondamento"/>
          <w:color w:val="222222"/>
          <w:sz w:val="24"/>
          <w:szCs w:val="24"/>
          <w:highlight w:val="white"/>
        </w:rPr>
        <w:t>«normal»</w:t>
      </w:r>
      <w:r>
        <w:rPr>
          <w:rFonts w:ascii="Fondamento" w:eastAsia="Fondamento" w:hAnsi="Fondamento" w:cs="Fondamento"/>
          <w:sz w:val="24"/>
          <w:szCs w:val="24"/>
        </w:rPr>
        <w:t xml:space="preserve"> puede cometer atrocidades simplemente lo que se debe hacer es dejar de pensar, al seguir una obediencia ciega, esto permitió que los soldados nazis cometieron l</w:t>
      </w:r>
      <w:r>
        <w:rPr>
          <w:rFonts w:ascii="Fondamento" w:eastAsia="Fondamento" w:hAnsi="Fondamento" w:cs="Fondamento"/>
          <w:sz w:val="24"/>
          <w:szCs w:val="24"/>
        </w:rPr>
        <w:t xml:space="preserve">as más terribles atrocidades sin pensar en sus consecuencias y es a través del pensamiento crítico </w:t>
      </w:r>
      <w:proofErr w:type="spellStart"/>
      <w:r>
        <w:rPr>
          <w:rFonts w:ascii="Fondamento" w:eastAsia="Fondamento" w:hAnsi="Fondamento" w:cs="Fondamento"/>
          <w:sz w:val="24"/>
          <w:szCs w:val="24"/>
        </w:rPr>
        <w:t>deconstruyendo</w:t>
      </w:r>
      <w:proofErr w:type="spellEnd"/>
      <w:r>
        <w:rPr>
          <w:rFonts w:ascii="Fondamento" w:eastAsia="Fondamento" w:hAnsi="Fondamento" w:cs="Fondamento"/>
          <w:sz w:val="24"/>
          <w:szCs w:val="24"/>
        </w:rPr>
        <w:t xml:space="preserve"> y analizando esta problemática se llega a la conclusión que no hace falta ser malvado, simplemente dependiendo del entorno socio-cultural en e</w:t>
      </w:r>
      <w:r>
        <w:rPr>
          <w:rFonts w:ascii="Fondamento" w:eastAsia="Fondamento" w:hAnsi="Fondamento" w:cs="Fondamento"/>
          <w:sz w:val="24"/>
          <w:szCs w:val="24"/>
        </w:rPr>
        <w:t>l que estén acondicionados al quitarle la responsabilidad de sus acciones cualquier persona será capaz de hacer cualquier atrocidad sin pensar en sus consecuencias.</w:t>
      </w:r>
    </w:p>
    <w:p w:rsidR="007C2BED" w:rsidRDefault="007C2BED">
      <w:pPr>
        <w:spacing w:before="240" w:after="240"/>
        <w:ind w:left="720"/>
        <w:jc w:val="both"/>
        <w:rPr>
          <w:color w:val="FF0000"/>
        </w:rPr>
      </w:pPr>
      <w:r>
        <w:rPr>
          <w:color w:val="FF0000"/>
        </w:rPr>
        <w:t>(</w:t>
      </w:r>
      <w:r>
        <w:rPr>
          <w:color w:val="FF0000"/>
        </w:rPr>
        <w:t xml:space="preserve">Camilo, tú has hecho un buen informe del texto de </w:t>
      </w:r>
      <w:proofErr w:type="spellStart"/>
      <w:r>
        <w:rPr>
          <w:color w:val="FF0000"/>
        </w:rPr>
        <w:t>Arendt</w:t>
      </w:r>
      <w:proofErr w:type="spellEnd"/>
      <w:r>
        <w:rPr>
          <w:color w:val="FF0000"/>
        </w:rPr>
        <w:t xml:space="preserve">, creo que podrías haber hecho una respuesta más </w:t>
      </w:r>
      <w:proofErr w:type="gramStart"/>
      <w:r>
        <w:rPr>
          <w:color w:val="FF0000"/>
        </w:rPr>
        <w:t xml:space="preserve">sólida. </w:t>
      </w:r>
      <w:proofErr w:type="gramEnd"/>
      <w:r>
        <w:rPr>
          <w:color w:val="FF0000"/>
        </w:rPr>
        <w:t>Hay muchos elementos que dejas de lado.</w:t>
      </w:r>
      <w:r>
        <w:rPr>
          <w:color w:val="FF0000"/>
        </w:rPr>
        <w:t>)</w:t>
      </w:r>
    </w:p>
    <w:p w:rsidR="007C2BED" w:rsidRDefault="007C2BED">
      <w:pPr>
        <w:spacing w:before="240" w:after="240"/>
        <w:ind w:left="720"/>
        <w:jc w:val="both"/>
        <w:rPr>
          <w:sz w:val="24"/>
          <w:szCs w:val="24"/>
        </w:rPr>
      </w:pPr>
      <w:r>
        <w:rPr>
          <w:color w:val="FF0000"/>
        </w:rPr>
        <w:t>Puntos: 3</w:t>
      </w:r>
    </w:p>
    <w:p w:rsidR="00B6094B" w:rsidRDefault="00B6094B">
      <w:pPr>
        <w:spacing w:before="240" w:after="240"/>
        <w:ind w:left="360"/>
        <w:jc w:val="both"/>
      </w:pPr>
    </w:p>
    <w:p w:rsidR="00B6094B" w:rsidRDefault="00B6094B">
      <w:pPr>
        <w:spacing w:before="240" w:after="240"/>
        <w:ind w:left="360"/>
        <w:jc w:val="both"/>
      </w:pPr>
    </w:p>
    <w:p w:rsidR="00B6094B" w:rsidRDefault="00B6094B"/>
    <w:sectPr w:rsidR="00B609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damento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B60C1"/>
    <w:multiLevelType w:val="multilevel"/>
    <w:tmpl w:val="3B4E98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2A7CB1"/>
    <w:multiLevelType w:val="multilevel"/>
    <w:tmpl w:val="D9342C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CA6CE1"/>
    <w:multiLevelType w:val="multilevel"/>
    <w:tmpl w:val="6EC4F2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4B"/>
    <w:rsid w:val="007C2BED"/>
    <w:rsid w:val="00B6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1E3D2"/>
  <w15:docId w15:val="{8FD9EC4A-2E2E-4BA5-81E8-AAD76C3B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686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2021-05-01T21:38:00Z</dcterms:created>
  <dcterms:modified xsi:type="dcterms:W3CDTF">2021-05-01T21:45:00Z</dcterms:modified>
</cp:coreProperties>
</file>