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Pr>
        <w:drawing>
          <wp:inline distB="114300" distT="114300" distL="114300" distR="114300">
            <wp:extent cx="1357313" cy="633413"/>
            <wp:effectExtent b="0" l="0" r="0" t="0"/>
            <wp:docPr id="1" name="image1.png"/>
            <a:graphic>
              <a:graphicData uri="http://schemas.openxmlformats.org/drawingml/2006/picture">
                <pic:pic>
                  <pic:nvPicPr>
                    <pic:cNvPr id="0" name="image1.png"/>
                    <pic:cNvPicPr preferRelativeResize="0"/>
                  </pic:nvPicPr>
                  <pic:blipFill>
                    <a:blip r:embed="rId6"/>
                    <a:srcRect b="81120" l="3156" r="89036" t="12389"/>
                    <a:stretch>
                      <a:fillRect/>
                    </a:stretch>
                  </pic:blipFill>
                  <pic:spPr>
                    <a:xfrm>
                      <a:off x="0" y="0"/>
                      <a:ext cx="1357313" cy="633413"/>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Tercer Control de Lectura de Pensamiento Crítico</w:t>
      </w:r>
    </w:p>
    <w:p w:rsidR="00000000" w:rsidDel="00000000" w:rsidP="00000000" w:rsidRDefault="00000000" w:rsidRPr="00000000" w14:paraId="00000002">
      <w:pPr>
        <w:spacing w:line="360" w:lineRule="auto"/>
        <w:ind w:left="0" w:firstLine="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Alumna: Liza La Madrid, María Natalia</w:t>
      </w:r>
    </w:p>
    <w:p w:rsidR="00000000" w:rsidDel="00000000" w:rsidP="00000000" w:rsidRDefault="00000000" w:rsidRPr="00000000" w14:paraId="00000004">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¿En qué sentido todas las culturas parecen aspirar a una sociedad justa? ¿Qué relación existe entre esto y el contractualismo?</w:t>
      </w:r>
    </w:p>
    <w:p w:rsidR="00000000" w:rsidDel="00000000" w:rsidP="00000000" w:rsidRDefault="00000000" w:rsidRPr="00000000" w14:paraId="00000006">
      <w:pPr>
        <w:spacing w:line="276"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Rawls (1958) hace alusión a la sociedad justa en el sentido moral y político, puesto que considera que debe de existir una buena concepción respecto a la justicia. Es decir, “las personas reflexionan sobre sus instituciones” (Rawls, 1958, p. 142), permitiéndonos conocer que una sociedad justa es en donde se lleva como punto de partida la práctica y la reflexión, quedarse con la teoría es meramente nulo para una sociedad bien constituida. De igual forma, esta sociedad justa guarda bastante relación con el contractualismo, puesto a que el autor nos comenta que es posible salir de esa burbuja tradicional con la que convivimos, si realmente nos lo proponemos. Tomar en consideración que “es una parte esencial del concepto de justicia” (Rawls, 1958, p. 157), haciendo referencia a que el contrato social no se trata solamente de la manera en la que el Estado realiza acuerdos en torno a nuestros deberes y derechos. Sino, considerando que la justicia tiene mucho que ver en estos casos, puesto que lo que Rawls a lo largo del texto plantea, es no ver a la justicia desde el ámbito de distribución, sino desde la misma acción que beneficia a todos los individuos miembros de una sociedad.</w:t>
      </w:r>
    </w:p>
    <w:p w:rsidR="00000000" w:rsidDel="00000000" w:rsidP="00000000" w:rsidRDefault="00000000" w:rsidRPr="00000000" w14:paraId="00000008">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¿Qué son “la posición original” y “el velo de la ignorancia”? ¿Para qué sirven?</w:t>
      </w:r>
    </w:p>
    <w:p w:rsidR="00000000" w:rsidDel="00000000" w:rsidP="00000000" w:rsidRDefault="00000000" w:rsidRPr="00000000" w14:paraId="0000000A">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posición original que Rawls (1958) nos plantea hace referencia a la justicia tomando en cuenta lo siguiente: “confundir la justicia con una visión omni-inclusiva de una sociedad buena” (Rawls, 1958, p. 130), es decir la posición original viene a ser la postura que asume una persona a partir de la reflexión que esta tiene de la justicia y cómo la concibe. De igual forma, el velo de la ignorancia viene a ser una figura abstracta, el autor nos hace alusión de que esta abstracción hace referencia a que nos olvidamos de las diferencias existentes entre las personas en términos sociales. Asimismo, “se necesita una firme comprensión del concepto de justicia” (Rawls, 1958, p. 158), permitiendo al individuo que se cuestione en torno a cuáles vienen a ser esos principios que hacen referencia a la justicia y cómo llevarlos a la práctica, teniendo como única consideración las capacidades básicas y necesarias de los individuos. Ambos conceptos, sirven para reflexionar respecto a lo que vamos entendiendo como justicia y cómo la podemos aplicar de manera equitativa, tomando en cuenta que la justicia tiene una consideración respecto a la buena distribución de valores equitativos, oportunidades, beneficios y una buena calidad de vida. </w:t>
      </w:r>
    </w:p>
    <w:p w:rsidR="00000000" w:rsidDel="00000000" w:rsidP="00000000" w:rsidRDefault="00000000" w:rsidRPr="00000000" w14:paraId="0000000B">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ind w:left="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Referencias Bibliográficas:</w:t>
      </w:r>
    </w:p>
    <w:p w:rsidR="00000000" w:rsidDel="00000000" w:rsidP="00000000" w:rsidRDefault="00000000" w:rsidRPr="00000000" w14:paraId="0000000D">
      <w:pPr>
        <w:spacing w:line="276" w:lineRule="auto"/>
        <w:ind w:left="0" w:firstLine="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E">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Rawls, J. (1958). Justicia como equidad. </w:t>
      </w:r>
      <w:r w:rsidDel="00000000" w:rsidR="00000000" w:rsidRPr="00000000">
        <w:rPr>
          <w:rFonts w:ascii="Times New Roman" w:cs="Times New Roman" w:eastAsia="Times New Roman" w:hAnsi="Times New Roman"/>
          <w:i w:val="1"/>
          <w:rtl w:val="0"/>
        </w:rPr>
        <w:t xml:space="preserve">Revista Española de Control Externo. </w:t>
      </w:r>
      <w:r w:rsidDel="00000000" w:rsidR="00000000" w:rsidRPr="00000000">
        <w:rPr>
          <w:rFonts w:ascii="Times New Roman" w:cs="Times New Roman" w:eastAsia="Times New Roman" w:hAnsi="Times New Roman"/>
          <w:rtl w:val="0"/>
        </w:rPr>
        <w:t xml:space="preserve">pp. 129 - pp. 158. Recuperado de: </w:t>
      </w:r>
      <w:hyperlink r:id="rId7">
        <w:r w:rsidDel="00000000" w:rsidR="00000000" w:rsidRPr="00000000">
          <w:rPr>
            <w:rFonts w:ascii="Times New Roman" w:cs="Times New Roman" w:eastAsia="Times New Roman" w:hAnsi="Times New Roman"/>
            <w:color w:val="1155cc"/>
            <w:u w:val="single"/>
            <w:rtl w:val="0"/>
          </w:rPr>
          <w:t xml:space="preserve">https://correouarmedu.sharepoint.com/sites/Pens.Crit.PrcticasGamioGarca/Documentos%20compartidos/Lecturas/Rawls%20-%20JusticiaComoEquidad.pdf</w:t>
        </w:r>
      </w:hyperlink>
      <w:r w:rsidDel="00000000" w:rsidR="00000000" w:rsidRPr="00000000">
        <w:rPr>
          <w:rtl w:val="0"/>
        </w:rPr>
      </w:r>
    </w:p>
    <w:p w:rsidR="00000000" w:rsidDel="00000000" w:rsidP="00000000" w:rsidRDefault="00000000" w:rsidRPr="00000000" w14:paraId="0000000F">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rreouarmedu.sharepoint.com/sites/Pens.Crit.PrcticasGamioGarca/Documentos%20compartidos/Lecturas/Rawls%20-%20JusticiaComoEquid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