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glossary/document.xml" ContentType="application/vnd.openxmlformats-officedocument.wordprocessingml.document.glossary+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2c53e4c87e9e463a"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86AAA92" wp14:paraId="2577B60B" wp14:textId="24CF43E0">
      <w:pPr>
        <w:pStyle w:val="Normal"/>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0C9A3BFC">
        <w:rPr/>
        <w:t xml:space="preserve"> </w:t>
      </w:r>
      <w:r w:rsidRPr="186AAA92" w:rsidR="6AF5D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UARM                                                                                                            Octubre 2023</w:t>
      </w:r>
    </w:p>
    <w:p xmlns:wp14="http://schemas.microsoft.com/office/word/2010/wordml" w:rsidP="186AAA92" wp14:paraId="2C49CA9D" wp14:textId="1302104E">
      <w:pPr>
        <w:spacing w:after="16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86AAA92" w:rsidR="6AF5D55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Pensamiento Cítrico                                                                                Jefatura de Prácticas</w:t>
      </w:r>
    </w:p>
    <w:p xmlns:wp14="http://schemas.microsoft.com/office/word/2010/wordml" w:rsidP="186AAA92" wp14:paraId="2F443B43" wp14:textId="0034194A">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186AAA92" w:rsidR="6AF5D55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s-PE"/>
        </w:rPr>
        <w:t>Control de Lectura Nº 2</w:t>
      </w:r>
    </w:p>
    <w:p xmlns:wp14="http://schemas.microsoft.com/office/word/2010/wordml" w:rsidP="186AAA92" wp14:paraId="20693EFF" wp14:textId="54A61CBA">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pPr>
      <w:r w:rsidRPr="186AAA92" w:rsidR="10E163C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s-PE"/>
        </w:rPr>
        <w:t xml:space="preserve">Nombre: </w:t>
      </w:r>
      <w:r w:rsidRPr="186AAA92" w:rsidR="10E163C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PE"/>
        </w:rPr>
        <w:t>Mantilla Angélica María</w:t>
      </w:r>
    </w:p>
    <w:p xmlns:wp14="http://schemas.microsoft.com/office/word/2010/wordml" w:rsidP="186AAA92" wp14:paraId="5C1A07E2" wp14:textId="06875BFE">
      <w:pPr>
        <w:pStyle w:val="ListParagraph"/>
        <w:numPr>
          <w:ilvl w:val="0"/>
          <w:numId w:val="4"/>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pPr>
      <w:r w:rsidRPr="186AAA92" w:rsidR="00B721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w:t>
      </w:r>
      <w:r w:rsidRPr="186AAA92" w:rsidR="00B721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En qué consiste “</w:t>
      </w:r>
      <w:r w:rsidRPr="186AAA92" w:rsidR="00B721A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s-PE"/>
        </w:rPr>
        <w:t>la angustia cartesiana</w:t>
      </w:r>
      <w:r w:rsidRPr="186AAA92" w:rsidR="00B721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 xml:space="preserve">”? Ofrezca al menos </w:t>
      </w:r>
      <w:r w:rsidRPr="186AAA92" w:rsidR="00B721A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PE"/>
        </w:rPr>
        <w:t>dos</w:t>
      </w:r>
      <w:r w:rsidRPr="186AAA92" w:rsidR="00B721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 xml:space="preserve"> ejemplos de esta mentalidad para ilustrar cómo se caracteriza.</w:t>
      </w:r>
    </w:p>
    <w:p w:rsidR="7743FE2C" w:rsidP="186AAA92" w:rsidRDefault="7743FE2C" w14:paraId="33E27104" w14:textId="5E8DE4AD">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pPr>
      <w:r w:rsidRPr="186AAA92" w:rsidR="7743FE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 xml:space="preserve">En las Meditaciones Metafísicas de Descartes se puede encontrar un carácter disposicional en su forma de filosofar. La idea de buscar un absoluto que pueda erigirse como punto de partida para erigir conocimiento, lleva a Descartes a dudar de todo, algo que Bernstein (2006) califica como “ansiedad cartesiana". Esta duda cartesiana pone en cuestionamiento cualquier idea que pueda hacer pensar que se encuentra en un error, lo que le hace excluir aquello que considere confuso, equívoco o que no ayuden al conocimiento. Dos manifestaciones de ella serían el “pienso luego existo” y el método cartesiano. La primera, construida desde la alegoría del genio maligno, propone el pensar como inicio de las ideas claras, pues el solo hecho de pensar – por más que desencadene en conclusiones incorrectas- otorga la capacidad de ser considerado alguien pensante, lo que quiere decir que puede equivocarse en pensar, pero no en que piensa. </w:t>
      </w:r>
    </w:p>
    <w:p w:rsidR="7743FE2C" w:rsidP="186AAA92" w:rsidRDefault="7743FE2C" w14:paraId="2FA2276F" w14:textId="518FCAD7">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pPr>
      <w:r w:rsidRPr="186AAA92" w:rsidR="7743FE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En el método cartesiano, el autor propone la existencia de cuatro características para dividir el conocimiento y de este modo llegar a un razonamiento correcto: que las ideas solo sean aceptadas como verdaderas si son claras y distintas, el seccionar las ideas complejas en partes más simples, realizar un resumen complejo de las ideas simples y la necesidad de la investigación profunda que toma en cuenta todos los elementos correspondientes (Vásquez, 2008).</w:t>
      </w:r>
    </w:p>
    <w:p w:rsidR="49465442" w:rsidP="43A9D1D7" w:rsidRDefault="49465442" w14:paraId="7462EE30" w14:textId="5CA59D5E">
      <w:pPr>
        <w:pStyle w:val="ListParagraph"/>
        <w:numPr>
          <w:ilvl w:val="0"/>
          <w:numId w:val="4"/>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pPr>
      <w:r w:rsidRPr="43A9D1D7" w:rsidR="5634BE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 xml:space="preserve">Explique el significado del siguiente pasaje: “Todos los pragmáticos rechazaron las doctrinas del determinismo mecánico que no dejan espacio para la libertad y la agencia humana genuina” </w:t>
      </w:r>
      <w:sdt>
        <w:sdtPr>
          <w:id w:val="344577949"/>
          <w15:appearance w15:val="hidden"/>
          <w:tag w:val="tii-citations-84c77592-8c0c-4843-b475-683ea17480e4"/>
          <w:placeholder>
            <w:docPart w:val="DefaultPlaceholder_1081868574"/>
          </w:placeholder>
        </w:sdtPr>
        <w:sdtContent>
          <w:r w:rsidRPr="43A9D1D7" w:rsidR="5634BE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(p.46)</w:t>
          </w:r>
        </w:sdtContent>
      </w:sdt>
      <w:r w:rsidRPr="43A9D1D7" w:rsidR="5634BE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 xml:space="preserve"> (¿se relaciona al demonio laplaciano?)</w:t>
      </w:r>
    </w:p>
    <w:p w:rsidR="186AAA92" w:rsidP="186AAA92" w:rsidRDefault="186AAA92" w14:paraId="780A50DA" w14:textId="7A5E8059">
      <w:pPr>
        <w:pStyle w:val="Normal"/>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pPr>
    </w:p>
    <w:p w:rsidR="287EC417" w:rsidP="186AAA92" w:rsidRDefault="287EC417" w14:paraId="13680FC5" w14:textId="27E31DAA">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pPr>
      <w:r w:rsidRPr="186AAA92" w:rsidR="287EC4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 xml:space="preserve">El determinismo mecánico hace referencia a las leyes de la mecánica, </w:t>
      </w:r>
      <w:r w:rsidRPr="186AAA92" w:rsidR="5ADAAE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 xml:space="preserve">aquellas que permiten predecir el movimiento de los cuerpos y que no dejan espacio al azar. </w:t>
      </w:r>
      <w:r w:rsidRPr="186AAA92" w:rsidR="5ADAAEA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En ese sentido, Laplace</w:t>
      </w:r>
      <w:r w:rsidRPr="186AAA92" w:rsidR="6D8A3F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 xml:space="preserve"> propone la figura de un demonio determinista, aquel que es capaz de conocer el inicio de todo </w:t>
      </w:r>
      <w:r w:rsidRPr="186AAA92" w:rsidR="2C2F24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y que tiene el poder de manejar todas las leyes de la naturaleza para predecir el estado de las cosas y el futuro de las mismas.</w:t>
      </w:r>
      <w:r w:rsidRPr="186AAA92" w:rsidR="2C2F24D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 xml:space="preserve"> Tanta es la capacidad de este demonio que puede, incluso, </w:t>
      </w:r>
      <w:r w:rsidRPr="186AAA92" w:rsidR="7F389C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anticiparse a la sinfonía de Mahler</w:t>
      </w:r>
      <w:r w:rsidRPr="186AAA92" w:rsidR="31B523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 xml:space="preserve"> (Calabrese, 1999)</w:t>
      </w:r>
      <w:r w:rsidRPr="186AAA92" w:rsidR="7F389C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 xml:space="preserve">. </w:t>
      </w:r>
    </w:p>
    <w:p w:rsidR="7F389CD0" w:rsidP="186AAA92" w:rsidRDefault="7F389CD0" w14:paraId="047F75A9" w14:textId="4933A506">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pPr>
      <w:r w:rsidRPr="186AAA92" w:rsidR="7F389CD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En contraste a esta teoría, Peirce sostiene que el determinismo no es una postura justificable, ni como antecedente</w:t>
      </w:r>
      <w:r w:rsidRPr="186AAA92" w:rsidR="2978EF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 xml:space="preserve"> ni como conclusión. Este puede entenderse como un prejuicio pues para tener un entendi</w:t>
      </w:r>
      <w:r w:rsidRPr="186AAA92" w:rsidR="681DD47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 xml:space="preserve">miento real de las leyes de la naturaleza, debe tomarse en cuenta al azar dentro de ella. </w:t>
      </w:r>
      <w:r w:rsidRPr="186AAA92" w:rsidR="73659B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 xml:space="preserve">Así mismo, Dewey y James le otorgan una lectura más humana, llevándolo al campo de la ética y la política donde </w:t>
      </w:r>
      <w:r w:rsidRPr="186AAA92" w:rsidR="2B4E8CE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resalta</w:t>
      </w:r>
      <w:r w:rsidRPr="186AAA92" w:rsidR="73659B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 xml:space="preserve"> el papel </w:t>
      </w:r>
      <w:r w:rsidRPr="186AAA92" w:rsidR="52B80D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 xml:space="preserve">del humano como agente activo de cambio </w:t>
      </w:r>
      <w:r w:rsidRPr="186AAA92" w:rsidR="654DC5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y su capacidad de influencia en el mundo (Bernstein, 2006).</w:t>
      </w:r>
      <w:r w:rsidRPr="186AAA92" w:rsidR="654DC54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 xml:space="preserve"> </w:t>
      </w:r>
    </w:p>
    <w:p w:rsidR="186AAA92" w:rsidP="186AAA92" w:rsidRDefault="186AAA92" w14:paraId="18AC4240" w14:textId="7726BE96">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pPr>
    </w:p>
    <w:p w:rsidR="0ED28B25" w:rsidP="186AAA92" w:rsidRDefault="0ED28B25" w14:paraId="292BEDAA" w14:textId="0EF657C3">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pPr>
      <w:r w:rsidRPr="186AAA92" w:rsidR="0ED28B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 xml:space="preserve">Referencias </w:t>
      </w:r>
      <w:r w:rsidRPr="186AAA92" w:rsidR="6C699F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t>Bibliográficas</w:t>
      </w:r>
    </w:p>
    <w:p w:rsidR="186AAA92" w:rsidP="186AAA92" w:rsidRDefault="186AAA92" w14:paraId="0EEBC6E2" w14:textId="36CB10E5">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pPr>
    </w:p>
    <w:p w:rsidR="6C699F78" w:rsidP="43A9D1D7" w:rsidRDefault="6C699F78" w14:paraId="5900F2E4" w14:textId="3119F5B1">
      <w:pPr>
        <w:pStyle w:val="Normal"/>
        <w:ind w:left="450" w:hanging="450"/>
        <w:jc w:val="both"/>
        <w:rPr>
          <w:rFonts w:ascii="Times New Roman" w:hAnsi="Times New Roman" w:eastAsia="Times New Roman" w:cs="Times New Roman"/>
          <w:b w:val="0"/>
          <w:bCs w:val="0"/>
          <w:i w:val="0"/>
          <w:iCs w:val="0"/>
          <w:caps w:val="0"/>
          <w:smallCaps w:val="0"/>
          <w:noProof w:val="0"/>
          <w:color w:val="222222"/>
          <w:sz w:val="24"/>
          <w:szCs w:val="24"/>
          <w:lang w:val="es-PE"/>
        </w:rPr>
      </w:pPr>
      <w:r w:rsidRPr="43A9D1D7" w:rsidR="76BA37BF">
        <w:rPr>
          <w:rFonts w:ascii="Times New Roman" w:hAnsi="Times New Roman" w:eastAsia="Times New Roman" w:cs="Times New Roman"/>
          <w:b w:val="0"/>
          <w:bCs w:val="0"/>
          <w:i w:val="0"/>
          <w:iCs w:val="0"/>
          <w:caps w:val="0"/>
          <w:smallCaps w:val="0"/>
          <w:noProof w:val="0"/>
          <w:color w:val="222222"/>
          <w:sz w:val="24"/>
          <w:szCs w:val="24"/>
          <w:highlight w:val="white"/>
          <w:lang w:val="es-PE"/>
        </w:rPr>
        <w:t xml:space="preserve">Bernstein, R. (2006). </w:t>
      </w:r>
      <w:r w:rsidRPr="43A9D1D7" w:rsidR="76BA37BF">
        <w:rPr>
          <w:rFonts w:ascii="Times New Roman" w:hAnsi="Times New Roman" w:eastAsia="Times New Roman" w:cs="Times New Roman"/>
          <w:b w:val="0"/>
          <w:bCs w:val="0"/>
          <w:i w:val="1"/>
          <w:iCs w:val="1"/>
          <w:caps w:val="0"/>
          <w:smallCaps w:val="0"/>
          <w:noProof w:val="0"/>
          <w:color w:val="222222"/>
          <w:sz w:val="24"/>
          <w:szCs w:val="24"/>
          <w:highlight w:val="white"/>
          <w:lang w:val="es-PE"/>
        </w:rPr>
        <w:t>El abuso del mal: la corrupción de la política y la religión desde el</w:t>
      </w:r>
      <w:r w:rsidRPr="43A9D1D7" w:rsidR="76BA37BF">
        <w:rPr>
          <w:rFonts w:ascii="Times New Roman" w:hAnsi="Times New Roman" w:eastAsia="Times New Roman" w:cs="Times New Roman"/>
          <w:b w:val="0"/>
          <w:bCs w:val="0"/>
          <w:i w:val="1"/>
          <w:iCs w:val="1"/>
          <w:caps w:val="0"/>
          <w:smallCaps w:val="0"/>
          <w:noProof w:val="0"/>
          <w:color w:val="222222"/>
          <w:sz w:val="24"/>
          <w:szCs w:val="24"/>
          <w:lang w:val="es-PE"/>
        </w:rPr>
        <w:t xml:space="preserve"> </w:t>
      </w:r>
      <w:r w:rsidRPr="43A9D1D7" w:rsidR="76BA37BF">
        <w:rPr>
          <w:rFonts w:ascii="Times New Roman" w:hAnsi="Times New Roman" w:eastAsia="Times New Roman" w:cs="Times New Roman"/>
          <w:b w:val="0"/>
          <w:bCs w:val="0"/>
          <w:i w:val="1"/>
          <w:iCs w:val="1"/>
          <w:caps w:val="0"/>
          <w:smallCaps w:val="0"/>
          <w:noProof w:val="0"/>
          <w:color w:val="222222"/>
          <w:sz w:val="24"/>
          <w:szCs w:val="24"/>
          <w:highlight w:val="white"/>
          <w:lang w:val="es-PE"/>
        </w:rPr>
        <w:t>11/9</w:t>
      </w:r>
      <w:r w:rsidRPr="43A9D1D7" w:rsidR="76BA37BF">
        <w:rPr>
          <w:rFonts w:ascii="Times New Roman" w:hAnsi="Times New Roman" w:eastAsia="Times New Roman" w:cs="Times New Roman"/>
          <w:b w:val="0"/>
          <w:bCs w:val="0"/>
          <w:i w:val="0"/>
          <w:iCs w:val="0"/>
          <w:caps w:val="0"/>
          <w:smallCaps w:val="0"/>
          <w:noProof w:val="0"/>
          <w:color w:val="222222"/>
          <w:sz w:val="24"/>
          <w:szCs w:val="24"/>
          <w:highlight w:val="white"/>
          <w:lang w:val="es-PE"/>
        </w:rPr>
        <w:t>. Katz Editores</w:t>
      </w:r>
      <w:r w:rsidRPr="43A9D1D7" w:rsidR="76BA37BF">
        <w:rPr>
          <w:rFonts w:ascii="Times New Roman" w:hAnsi="Times New Roman" w:eastAsia="Times New Roman" w:cs="Times New Roman"/>
          <w:b w:val="0"/>
          <w:bCs w:val="0"/>
          <w:i w:val="0"/>
          <w:iCs w:val="0"/>
          <w:caps w:val="0"/>
          <w:smallCaps w:val="0"/>
          <w:noProof w:val="0"/>
          <w:color w:val="222222"/>
          <w:sz w:val="24"/>
          <w:szCs w:val="24"/>
          <w:lang w:val="es-PE"/>
        </w:rPr>
        <w:t>.</w:t>
      </w:r>
    </w:p>
    <w:p w:rsidR="2CF699B9" w:rsidP="43A9D1D7" w:rsidRDefault="2CF699B9" w14:paraId="05D6A6D0" w14:textId="563AE568">
      <w:pPr>
        <w:ind w:left="450" w:hanging="450"/>
        <w:jc w:val="both"/>
        <w:rPr>
          <w:rStyle w:val="Hyperlink"/>
          <w:rFonts w:ascii="Times New Roman" w:hAnsi="Times New Roman" w:eastAsia="Times New Roman" w:cs="Times New Roman"/>
          <w:noProof w:val="0"/>
          <w:sz w:val="24"/>
          <w:szCs w:val="24"/>
          <w:lang w:val="es-PE"/>
        </w:rPr>
      </w:pPr>
      <w:r w:rsidRPr="43A9D1D7" w:rsidR="497AC394">
        <w:rPr>
          <w:rFonts w:ascii="Times New Roman" w:hAnsi="Times New Roman" w:eastAsia="Times New Roman" w:cs="Times New Roman"/>
          <w:noProof w:val="0"/>
          <w:sz w:val="24"/>
          <w:szCs w:val="24"/>
          <w:lang w:val="es-PE"/>
        </w:rPr>
        <w:t xml:space="preserve">Calabrese, J. (1999). </w:t>
      </w:r>
      <w:r w:rsidRPr="43A9D1D7" w:rsidR="497AC394">
        <w:rPr>
          <w:rFonts w:ascii="Times New Roman" w:hAnsi="Times New Roman" w:eastAsia="Times New Roman" w:cs="Times New Roman"/>
          <w:i w:val="1"/>
          <w:iCs w:val="1"/>
          <w:noProof w:val="0"/>
          <w:sz w:val="24"/>
          <w:szCs w:val="24"/>
          <w:lang w:val="es-PE"/>
        </w:rPr>
        <w:t>Ampliando las fronteras del reduccionismo</w:t>
      </w:r>
      <w:r w:rsidRPr="43A9D1D7" w:rsidR="497AC394">
        <w:rPr>
          <w:rFonts w:ascii="Times New Roman" w:hAnsi="Times New Roman" w:eastAsia="Times New Roman" w:cs="Times New Roman"/>
          <w:noProof w:val="0"/>
          <w:sz w:val="24"/>
          <w:szCs w:val="24"/>
          <w:lang w:val="es-PE"/>
        </w:rPr>
        <w:t xml:space="preserve">. Psicoanálisis. Vol. </w:t>
      </w:r>
      <w:r w:rsidRPr="43A9D1D7" w:rsidR="446D3651">
        <w:rPr>
          <w:rFonts w:ascii="Times New Roman" w:hAnsi="Times New Roman" w:eastAsia="Times New Roman" w:cs="Times New Roman"/>
          <w:i w:val="1"/>
          <w:iCs w:val="1"/>
          <w:noProof w:val="0"/>
          <w:sz w:val="24"/>
          <w:szCs w:val="24"/>
          <w:lang w:val="es-PE"/>
        </w:rPr>
        <w:t>XXI (</w:t>
      </w:r>
      <w:r w:rsidRPr="43A9D1D7" w:rsidR="497AC394">
        <w:rPr>
          <w:rFonts w:ascii="Times New Roman" w:hAnsi="Times New Roman" w:eastAsia="Times New Roman" w:cs="Times New Roman"/>
          <w:noProof w:val="0"/>
          <w:sz w:val="24"/>
          <w:szCs w:val="24"/>
          <w:lang w:val="es-PE"/>
        </w:rPr>
        <w:t xml:space="preserve">3), 433–453. </w:t>
      </w:r>
      <w:hyperlink r:id="Rc626eb6684744c8a">
        <w:r w:rsidRPr="43A9D1D7" w:rsidR="497AC394">
          <w:rPr>
            <w:rStyle w:val="Hyperlink"/>
            <w:rFonts w:ascii="Times New Roman" w:hAnsi="Times New Roman" w:eastAsia="Times New Roman" w:cs="Times New Roman"/>
            <w:b w:val="0"/>
            <w:bCs w:val="0"/>
            <w:noProof w:val="0"/>
            <w:sz w:val="24"/>
            <w:szCs w:val="24"/>
            <w:highlight w:val="white"/>
            <w:lang w:val="es-PE"/>
          </w:rPr>
          <w:t>https://www.psicoanalisisapdeba.org/wp-</w:t>
        </w:r>
        <w:r w:rsidRPr="43A9D1D7" w:rsidR="497AC394">
          <w:rPr>
            <w:rStyle w:val="Hyperlink"/>
            <w:rFonts w:ascii="Times New Roman" w:hAnsi="Times New Roman" w:eastAsia="Times New Roman" w:cs="Times New Roman"/>
            <w:b w:val="0"/>
            <w:bCs w:val="0"/>
            <w:noProof w:val="0"/>
            <w:sz w:val="24"/>
            <w:szCs w:val="24"/>
            <w:highlight w:val="white"/>
            <w:lang w:val="es-PE"/>
          </w:rPr>
          <w:t>content/uploads/2019/03/Calabrese.pdf</w:t>
        </w:r>
      </w:hyperlink>
    </w:p>
    <w:p w:rsidR="186AAA92" w:rsidP="186AAA92" w:rsidRDefault="186AAA92" w14:paraId="247BD2F1" w14:textId="37720590">
      <w:pPr>
        <w:pStyle w:val="Normal"/>
        <w:ind w:left="450" w:hanging="450"/>
        <w:jc w:val="both"/>
        <w:rPr>
          <w:rFonts w:ascii="Times New Roman" w:hAnsi="Times New Roman" w:eastAsia="Times New Roman" w:cs="Times New Roman"/>
          <w:noProof w:val="0"/>
          <w:sz w:val="24"/>
          <w:szCs w:val="24"/>
          <w:lang w:val="es-PE"/>
        </w:rPr>
      </w:pPr>
    </w:p>
    <w:p w:rsidR="44DF49C6" w:rsidP="186AAA92" w:rsidRDefault="44DF49C6" w14:paraId="2DD8BFA7" w14:textId="4FD98D23">
      <w:pPr>
        <w:ind w:left="450" w:hanging="450"/>
        <w:jc w:val="both"/>
      </w:pPr>
      <w:r w:rsidRPr="43A9D1D7" w:rsidR="7126B367">
        <w:rPr>
          <w:rFonts w:ascii="Times New Roman" w:hAnsi="Times New Roman" w:eastAsia="Times New Roman" w:cs="Times New Roman"/>
          <w:noProof w:val="0"/>
          <w:sz w:val="24"/>
          <w:szCs w:val="24"/>
          <w:lang w:val="es-PE"/>
        </w:rPr>
        <w:t>Vásquez, M. (</w:t>
      </w:r>
      <w:r w:rsidRPr="43A9D1D7" w:rsidR="7126B367">
        <w:rPr>
          <w:rFonts w:ascii="Times New Roman" w:hAnsi="Times New Roman" w:eastAsia="Times New Roman" w:cs="Times New Roman"/>
          <w:b w:val="0"/>
          <w:bCs w:val="0"/>
          <w:noProof w:val="0"/>
          <w:sz w:val="24"/>
          <w:szCs w:val="24"/>
          <w:highlight w:val="white"/>
          <w:lang w:val="es-PE"/>
        </w:rPr>
        <w:t>2008). El método a priori y su relación con la experiencia: Una lectura</w:t>
      </w:r>
      <w:r w:rsidRPr="43A9D1D7" w:rsidR="7126B367">
        <w:rPr>
          <w:rFonts w:ascii="Times New Roman" w:hAnsi="Times New Roman" w:eastAsia="Times New Roman" w:cs="Times New Roman"/>
          <w:noProof w:val="0"/>
          <w:sz w:val="24"/>
          <w:szCs w:val="24"/>
          <w:lang w:val="es-PE"/>
        </w:rPr>
        <w:t xml:space="preserve"> </w:t>
      </w:r>
      <w:r w:rsidRPr="43A9D1D7" w:rsidR="7126B367">
        <w:rPr>
          <w:rFonts w:ascii="Times New Roman" w:hAnsi="Times New Roman" w:eastAsia="Times New Roman" w:cs="Times New Roman"/>
          <w:b w:val="0"/>
          <w:bCs w:val="0"/>
          <w:noProof w:val="0"/>
          <w:sz w:val="24"/>
          <w:szCs w:val="24"/>
          <w:highlight w:val="white"/>
          <w:lang w:val="es-PE"/>
        </w:rPr>
        <w:t xml:space="preserve">del método cartesiano desde la propuesta de Desmond Clarke. </w:t>
      </w:r>
      <w:r w:rsidRPr="43A9D1D7" w:rsidR="7126B367">
        <w:rPr>
          <w:rFonts w:ascii="Times New Roman" w:hAnsi="Times New Roman" w:eastAsia="Times New Roman" w:cs="Times New Roman"/>
          <w:b w:val="0"/>
          <w:bCs w:val="0"/>
          <w:i w:val="1"/>
          <w:iCs w:val="1"/>
          <w:noProof w:val="0"/>
          <w:sz w:val="24"/>
          <w:szCs w:val="24"/>
          <w:highlight w:val="white"/>
          <w:lang w:val="es-PE"/>
        </w:rPr>
        <w:t>Apuntes filosóficos</w:t>
      </w:r>
      <w:r w:rsidRPr="43A9D1D7" w:rsidR="7126B367">
        <w:rPr>
          <w:rFonts w:ascii="Times New Roman" w:hAnsi="Times New Roman" w:eastAsia="Times New Roman" w:cs="Times New Roman"/>
          <w:b w:val="0"/>
          <w:bCs w:val="0"/>
          <w:noProof w:val="0"/>
          <w:sz w:val="24"/>
          <w:szCs w:val="24"/>
          <w:highlight w:val="white"/>
          <w:lang w:val="es-PE"/>
        </w:rPr>
        <w:t>,</w:t>
      </w:r>
      <w:r w:rsidRPr="43A9D1D7" w:rsidR="7126B367">
        <w:rPr>
          <w:rFonts w:ascii="Times New Roman" w:hAnsi="Times New Roman" w:eastAsia="Times New Roman" w:cs="Times New Roman"/>
          <w:noProof w:val="0"/>
          <w:sz w:val="24"/>
          <w:szCs w:val="24"/>
          <w:lang w:val="es-PE"/>
        </w:rPr>
        <w:t xml:space="preserve"> </w:t>
      </w:r>
      <w:r w:rsidRPr="43A9D1D7" w:rsidR="7126B367">
        <w:rPr>
          <w:rFonts w:ascii="Times New Roman" w:hAnsi="Times New Roman" w:eastAsia="Times New Roman" w:cs="Times New Roman"/>
          <w:i w:val="1"/>
          <w:iCs w:val="1"/>
          <w:noProof w:val="0"/>
          <w:sz w:val="24"/>
          <w:szCs w:val="24"/>
          <w:lang w:val="es-PE"/>
        </w:rPr>
        <w:t>33</w:t>
      </w:r>
      <w:r w:rsidRPr="43A9D1D7" w:rsidR="7126B367">
        <w:rPr>
          <w:rFonts w:ascii="Times New Roman" w:hAnsi="Times New Roman" w:eastAsia="Times New Roman" w:cs="Times New Roman"/>
          <w:noProof w:val="0"/>
          <w:sz w:val="24"/>
          <w:szCs w:val="24"/>
          <w:lang w:val="es-PE"/>
        </w:rPr>
        <w:t xml:space="preserve">. </w:t>
      </w:r>
      <w:hyperlink r:id="Rdfc635e129c44d04">
        <w:r w:rsidRPr="43A9D1D7" w:rsidR="7126B367">
          <w:rPr>
            <w:rStyle w:val="Hyperlink"/>
            <w:rFonts w:ascii="Times New Roman" w:hAnsi="Times New Roman" w:eastAsia="Times New Roman" w:cs="Times New Roman"/>
            <w:noProof w:val="0"/>
            <w:sz w:val="24"/>
            <w:szCs w:val="24"/>
            <w:lang w:val="es-PE"/>
          </w:rPr>
          <w:t>https://www.academia.edu/download/48382180/</w:t>
        </w:r>
        <w:r w:rsidRPr="43A9D1D7" w:rsidR="7126B367">
          <w:rPr>
            <w:rStyle w:val="Hyperlink"/>
            <w:rFonts w:ascii="Times New Roman" w:hAnsi="Times New Roman" w:eastAsia="Times New Roman" w:cs="Times New Roman"/>
            <w:b w:val="0"/>
            <w:bCs w:val="0"/>
            <w:noProof w:val="0"/>
            <w:sz w:val="24"/>
            <w:szCs w:val="24"/>
            <w:highlight w:val="white"/>
            <w:lang w:val="es-PE"/>
          </w:rPr>
          <w:t>El_metodo_a_priori_y_su_relacion</w:t>
        </w:r>
        <w:r w:rsidRPr="43A9D1D7" w:rsidR="7126B367">
          <w:rPr>
            <w:rStyle w:val="Hyperlink"/>
            <w:rFonts w:ascii="Times New Roman" w:hAnsi="Times New Roman" w:eastAsia="Times New Roman" w:cs="Times New Roman"/>
            <w:noProof w:val="0"/>
            <w:sz w:val="24"/>
            <w:szCs w:val="24"/>
            <w:lang w:val="es-PE"/>
          </w:rPr>
          <w:t>_con_</w:t>
        </w:r>
        <w:r w:rsidRPr="43A9D1D7" w:rsidR="7126B367">
          <w:rPr>
            <w:rStyle w:val="Hyperlink"/>
            <w:rFonts w:ascii="Times New Roman" w:hAnsi="Times New Roman" w:eastAsia="Times New Roman" w:cs="Times New Roman"/>
            <w:b w:val="0"/>
            <w:bCs w:val="0"/>
            <w:noProof w:val="0"/>
            <w:sz w:val="24"/>
            <w:szCs w:val="24"/>
            <w:highlight w:val="white"/>
            <w:lang w:val="es-PE"/>
          </w:rPr>
          <w:t>la_experiencia</w:t>
        </w:r>
        <w:r w:rsidRPr="43A9D1D7" w:rsidR="7126B367">
          <w:rPr>
            <w:rStyle w:val="Hyperlink"/>
            <w:rFonts w:ascii="Times New Roman" w:hAnsi="Times New Roman" w:eastAsia="Times New Roman" w:cs="Times New Roman"/>
            <w:noProof w:val="0"/>
            <w:sz w:val="24"/>
            <w:szCs w:val="24"/>
            <w:lang w:val="es-PE"/>
          </w:rPr>
          <w:t>_MV.pdf</w:t>
        </w:r>
      </w:hyperlink>
    </w:p>
    <w:p w:rsidR="186AAA92" w:rsidP="186AAA92" w:rsidRDefault="186AAA92" w14:paraId="20BE6890" w14:textId="4F90C773">
      <w:pPr>
        <w:pStyle w:val="Normal"/>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P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5">
    <w:nsid w:val="1d44c3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dd55b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55514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c038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9c08a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B71628"/>
    <w:rsid w:val="008B12CE"/>
    <w:rsid w:val="00B721A0"/>
    <w:rsid w:val="015DBFDE"/>
    <w:rsid w:val="0226E32F"/>
    <w:rsid w:val="0577F717"/>
    <w:rsid w:val="0590FA1B"/>
    <w:rsid w:val="06FED90A"/>
    <w:rsid w:val="072866E6"/>
    <w:rsid w:val="090DCC55"/>
    <w:rsid w:val="0A31F514"/>
    <w:rsid w:val="0AA99CB6"/>
    <w:rsid w:val="0BCDC575"/>
    <w:rsid w:val="0C9A3BFC"/>
    <w:rsid w:val="0DE13D78"/>
    <w:rsid w:val="0E93F9F8"/>
    <w:rsid w:val="0ED28B25"/>
    <w:rsid w:val="0F6E89F6"/>
    <w:rsid w:val="105FBD33"/>
    <w:rsid w:val="10E163C6"/>
    <w:rsid w:val="12B4AE9B"/>
    <w:rsid w:val="13D8D75A"/>
    <w:rsid w:val="13FA9417"/>
    <w:rsid w:val="14507EFC"/>
    <w:rsid w:val="1574A7BB"/>
    <w:rsid w:val="17EB12B2"/>
    <w:rsid w:val="186AAA92"/>
    <w:rsid w:val="1B1C2C7E"/>
    <w:rsid w:val="1DE323B3"/>
    <w:rsid w:val="1ED1FBD8"/>
    <w:rsid w:val="21B1DAF0"/>
    <w:rsid w:val="26ECEB81"/>
    <w:rsid w:val="287EC417"/>
    <w:rsid w:val="2978EF41"/>
    <w:rsid w:val="2B0CE073"/>
    <w:rsid w:val="2B4E8CE5"/>
    <w:rsid w:val="2BC05CA4"/>
    <w:rsid w:val="2C2C9A31"/>
    <w:rsid w:val="2C2F24DE"/>
    <w:rsid w:val="2CA8B0D4"/>
    <w:rsid w:val="2CF699B9"/>
    <w:rsid w:val="300C4861"/>
    <w:rsid w:val="308BDD89"/>
    <w:rsid w:val="313E9A09"/>
    <w:rsid w:val="31B52349"/>
    <w:rsid w:val="31DE18DC"/>
    <w:rsid w:val="3227ADEA"/>
    <w:rsid w:val="3379E93D"/>
    <w:rsid w:val="355F4EAC"/>
    <w:rsid w:val="37ADDB8D"/>
    <w:rsid w:val="39C3C681"/>
    <w:rsid w:val="3A32BFCF"/>
    <w:rsid w:val="3A5443F6"/>
    <w:rsid w:val="3D6A6091"/>
    <w:rsid w:val="3F0630F2"/>
    <w:rsid w:val="3F32FBA3"/>
    <w:rsid w:val="433603A8"/>
    <w:rsid w:val="43A9D1D7"/>
    <w:rsid w:val="44066CC6"/>
    <w:rsid w:val="446D3651"/>
    <w:rsid w:val="44DF49C6"/>
    <w:rsid w:val="46500D0C"/>
    <w:rsid w:val="49465442"/>
    <w:rsid w:val="497AC394"/>
    <w:rsid w:val="4BD63AAF"/>
    <w:rsid w:val="4CAE1671"/>
    <w:rsid w:val="4E035D47"/>
    <w:rsid w:val="4E49E6D2"/>
    <w:rsid w:val="4F0DDB71"/>
    <w:rsid w:val="52B80DCB"/>
    <w:rsid w:val="53E14C94"/>
    <w:rsid w:val="5634BE75"/>
    <w:rsid w:val="5718ED56"/>
    <w:rsid w:val="5720DADC"/>
    <w:rsid w:val="575C1ED8"/>
    <w:rsid w:val="58B4BDB7"/>
    <w:rsid w:val="58BCAB3D"/>
    <w:rsid w:val="58F0A3C3"/>
    <w:rsid w:val="59CA9C49"/>
    <w:rsid w:val="5A587B9E"/>
    <w:rsid w:val="5A7153E8"/>
    <w:rsid w:val="5A8C7424"/>
    <w:rsid w:val="5AA8D1FA"/>
    <w:rsid w:val="5ADAAEA2"/>
    <w:rsid w:val="5D901C60"/>
    <w:rsid w:val="5DB71628"/>
    <w:rsid w:val="62638D83"/>
    <w:rsid w:val="62DE5770"/>
    <w:rsid w:val="6330764F"/>
    <w:rsid w:val="654DC548"/>
    <w:rsid w:val="6696E85B"/>
    <w:rsid w:val="6736FEA6"/>
    <w:rsid w:val="681DD472"/>
    <w:rsid w:val="6832B8BC"/>
    <w:rsid w:val="6AF5D557"/>
    <w:rsid w:val="6C699F78"/>
    <w:rsid w:val="6D8A3FAC"/>
    <w:rsid w:val="6ED1311C"/>
    <w:rsid w:val="6F42108B"/>
    <w:rsid w:val="707028AB"/>
    <w:rsid w:val="7126B367"/>
    <w:rsid w:val="7208D1DE"/>
    <w:rsid w:val="7221FA3B"/>
    <w:rsid w:val="72A18F63"/>
    <w:rsid w:val="73659B32"/>
    <w:rsid w:val="74F01C44"/>
    <w:rsid w:val="75D93025"/>
    <w:rsid w:val="76BA37BF"/>
    <w:rsid w:val="76ECD815"/>
    <w:rsid w:val="7706A282"/>
    <w:rsid w:val="7743FE2C"/>
    <w:rsid w:val="78781362"/>
    <w:rsid w:val="7A13E3C3"/>
    <w:rsid w:val="7BAFB424"/>
    <w:rsid w:val="7BCA8331"/>
    <w:rsid w:val="7F389C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1628"/>
  <w15:chartTrackingRefBased/>
  <w15:docId w15:val="{8A59152D-9714-4942-A67D-6B72562439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939f52d73ee4ecb" /><Relationship Type="http://schemas.openxmlformats.org/officeDocument/2006/relationships/hyperlink" Target="https://www.psicoanalisisapdeba.org/wp-content/uploads/2019/03/Calabrese.pdf" TargetMode="External" Id="Rc626eb6684744c8a" /><Relationship Type="http://schemas.openxmlformats.org/officeDocument/2006/relationships/hyperlink" Target="https://www.academia.edu/download/48382180/El_metodo_a_priori_y_su_relacion_con_la_experiencia_MV.pdf" TargetMode="External" Id="Rdfc635e129c44d04" /><Relationship Type="http://schemas.openxmlformats.org/officeDocument/2006/relationships/glossaryDocument" Target="glossary/document.xml" Id="Rd1c761654f1a48c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09515fb-1544-43a8-9941-ae8752d640a0}"/>
      </w:docPartPr>
      <w:docPartBody>
        <w:p w14:paraId="6B2640E8">
          <w:r>
            <w:rPr>
              <w:rStyle w:val="PlaceholderText"/>
            </w:rPr>
            <w:t>Haga clic aquí para escribir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2023-10-29T18:35:32.2139779Z</dcterms:created>
  <dcterms:modified xsi:type="dcterms:W3CDTF">2023-10-30T00:39:09.6714622Z</dcterms:modified>
  <dc:creator>Angelica Maria Mantilla Acosta</dc:creator>
  <lastModifiedBy>Angelica Maria Mantilla Acosta</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PC2_AngélicaMaría_Mantilla.docx</vt:lpwstr>
  </property>
  <property xmlns="http://schemas.openxmlformats.org/officeDocument/2006/custom-properties" fmtid="{D5CDD505-2E9C-101B-9397-08002B2CF9AE}" pid="3" name="TII_WORD_DOCUMENT_ID">
    <vt:lpwstr xmlns:vt="http://schemas.openxmlformats.org/officeDocument/2006/docPropsVTypes">e92a17a7-7a8a-4ceb-8f1a-bff2dd49165f</vt:lpwstr>
  </property>
  <property xmlns="http://schemas.openxmlformats.org/officeDocument/2006/custom-properties" fmtid="{D5CDD505-2E9C-101B-9397-08002B2CF9AE}" pid="4" name="TII_WORD_DOCUMENT_HASH">
    <vt:lpwstr xmlns:vt="http://schemas.openxmlformats.org/officeDocument/2006/docPropsVTypes">8b235ec4244807094a55c6c66fa311558e680a04972d626cb6d38c2f5f1faa5a</vt:lpwstr>
  </property>
</Properties>
</file>