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1A17E9" w:rsidRDefault="009F41FF" w:rsidP="001A17E9">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 xml:space="preserve">1. </w:t>
      </w:r>
      <w:r w:rsidR="001A17E9" w:rsidRPr="001A17E9">
        <w:rPr>
          <w:rFonts w:ascii="Times New Roman" w:hAnsi="Times New Roman" w:cs="Times New Roman"/>
          <w:b/>
          <w:color w:val="FF0000"/>
          <w:sz w:val="28"/>
          <w:szCs w:val="28"/>
        </w:rPr>
        <w:t>El proyecto crítico y pensamiento político de Kant</w:t>
      </w:r>
    </w:p>
    <w:p w:rsidR="00E264B0" w:rsidRPr="00E264B0" w:rsidRDefault="00E264B0" w:rsidP="009F41FF">
      <w:pPr>
        <w:rPr>
          <w:rFonts w:ascii="Times New Roman" w:hAnsi="Times New Roman" w:cs="Times New Roman"/>
          <w:b/>
          <w:sz w:val="28"/>
          <w:szCs w:val="28"/>
        </w:rPr>
      </w:pPr>
    </w:p>
    <w:p w:rsidR="009F41FF" w:rsidRPr="00F172EE" w:rsidRDefault="009F41FF" w:rsidP="009F41FF">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1.1 </w:t>
      </w:r>
      <w:r w:rsidR="002C21E0" w:rsidRPr="00F172EE">
        <w:rPr>
          <w:rFonts w:ascii="Times New Roman" w:hAnsi="Times New Roman" w:cs="Times New Roman"/>
          <w:b/>
          <w:sz w:val="28"/>
          <w:szCs w:val="28"/>
          <w:lang w:val="en-US"/>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 p. 10</w:t>
      </w:r>
      <w:r w:rsidRPr="00C608F9">
        <w:rPr>
          <w:rFonts w:ascii="Times New Roman" w:hAnsi="Times New Roman" w:cs="Times New Roman"/>
          <w:color w:val="70AD47" w:themeColor="accent6"/>
          <w:sz w:val="20"/>
          <w:szCs w:val="20"/>
        </w:rPr>
        <w:t>)</w:t>
      </w:r>
    </w:p>
    <w:p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 p.34)</w:t>
      </w:r>
    </w:p>
    <w:p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 p.34)</w:t>
      </w:r>
    </w:p>
    <w:p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“Mendelshonn le llamaba (a Kant) el </w:t>
      </w:r>
      <w:r>
        <w:rPr>
          <w:rFonts w:ascii="Times New Roman" w:hAnsi="Times New Roman" w:cs="Times New Roman"/>
          <w:i/>
          <w:color w:val="70AD47" w:themeColor="accent6"/>
          <w:sz w:val="20"/>
          <w:szCs w:val="20"/>
        </w:rPr>
        <w:t>Alles-Zermalmer</w:t>
      </w:r>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 p.34)</w:t>
      </w:r>
    </w:p>
    <w:p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 pp. 35-36)</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 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 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 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 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 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 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 p.69)</w:t>
      </w:r>
      <w:r w:rsidR="00800B8B">
        <w:rPr>
          <w:rFonts w:ascii="Times New Roman" w:hAnsi="Times New Roman" w:cs="Times New Roman"/>
          <w:color w:val="70AD47" w:themeColor="accent6"/>
          <w:sz w:val="20"/>
          <w:szCs w:val="20"/>
        </w:rPr>
        <w:t xml:space="preserve"> (…) En una persona insana, ciertamente no se encuentra la capacidad de juzgar adecuadamente. (p.75)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 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 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libertad de pensar es tomada en el sentido de que a ella se opone la intolerancia.”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(Korner, 1955, 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(Korner, 1955, 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 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 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 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 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 p.548)</w:t>
      </w:r>
    </w:p>
    <w:p w:rsidR="001136DA" w:rsidRPr="002960AB"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 p.345)</w:t>
      </w:r>
    </w:p>
    <w:p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 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 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p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 p.49)</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origen de la obligación moral es la razón y no la experiencia de impresiones y objetos.” (Korner, 1955, 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(Korner, 1955, 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 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lastRenderedPageBreak/>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(Maritain, 1962, 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431257"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lastRenderedPageBreak/>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 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 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 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 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 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 p.31)</w:t>
      </w:r>
    </w:p>
    <w:p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r w:rsidRPr="000D23A6">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 pp. 70-72)</w:t>
      </w:r>
    </w:p>
    <w:p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w:t>
      </w:r>
      <w:r>
        <w:rPr>
          <w:rFonts w:ascii="Times New Roman" w:hAnsi="Times New Roman" w:cs="Times New Roman"/>
          <w:color w:val="70AD47" w:themeColor="accent6"/>
          <w:sz w:val="20"/>
          <w:szCs w:val="20"/>
        </w:rPr>
        <w:lastRenderedPageBreak/>
        <w:t xml:space="preserve">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 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w:t>
      </w:r>
      <w:r w:rsidRPr="00323976">
        <w:rPr>
          <w:rFonts w:ascii="Times New Roman" w:hAnsi="Times New Roman" w:cs="Times New Roman"/>
          <w:color w:val="70AD47" w:themeColor="accent6"/>
          <w:sz w:val="20"/>
          <w:szCs w:val="20"/>
        </w:rPr>
        <w:lastRenderedPageBreak/>
        <w:t>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 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 xml:space="preserve">(2008, 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 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 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 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 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Pr="00323976">
        <w:rPr>
          <w:rFonts w:ascii="Times New Roman" w:hAnsi="Times New Roman" w:cs="Times New Roman"/>
          <w:color w:val="70AD47" w:themeColor="accent6"/>
          <w:sz w:val="20"/>
          <w:szCs w:val="20"/>
        </w:rPr>
        <w:t>, 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 p.17)</w:t>
      </w:r>
    </w:p>
    <w:p w:rsidR="00E264B0" w:rsidRDefault="00E264B0"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(Agazzi, 1966, p.278)</w:t>
      </w:r>
    </w:p>
    <w:p w:rsidR="00E264B0" w:rsidRDefault="00E264B0" w:rsidP="00E264B0">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 p.31</w:t>
      </w:r>
      <w:r w:rsidRPr="00B05549">
        <w:rPr>
          <w:rFonts w:ascii="Times New Roman" w:hAnsi="Times New Roman" w:cs="Times New Roman"/>
          <w:color w:val="70AD47" w:themeColor="accent6"/>
          <w:sz w:val="20"/>
          <w:szCs w:val="20"/>
        </w:rPr>
        <w:t>)</w:t>
      </w:r>
    </w:p>
    <w:p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 p.32)</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 p.32)</w:t>
      </w:r>
    </w:p>
    <w:p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exámen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 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 p.38)</w:t>
      </w:r>
    </w:p>
    <w:p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anti-autoritario” </w:t>
      </w:r>
      <w:r>
        <w:rPr>
          <w:rFonts w:ascii="Times New Roman" w:hAnsi="Times New Roman" w:cs="Times New Roman"/>
          <w:color w:val="70AD47" w:themeColor="accent6"/>
          <w:sz w:val="20"/>
          <w:szCs w:val="20"/>
        </w:rPr>
        <w:t>(1992, 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 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 p.39)</w:t>
      </w:r>
    </w:p>
    <w:p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 p.40)</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 p.41)</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p>
    <w:p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 p.43)</w:t>
      </w:r>
    </w:p>
    <w:p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 p.43)</w:t>
      </w:r>
    </w:p>
    <w:p w:rsidR="002960AB" w:rsidRPr="00FA401E" w:rsidRDefault="002960AB" w:rsidP="00E264B0">
      <w:pPr>
        <w:ind w:left="720" w:hanging="720"/>
        <w:rPr>
          <w:rFonts w:ascii="Times New Roman" w:hAnsi="Times New Roman"/>
          <w:color w:val="000000" w:themeColor="text1"/>
          <w:sz w:val="24"/>
          <w:szCs w:val="24"/>
          <w:lang w:val="en-US"/>
        </w:rPr>
      </w:pPr>
      <w:bookmarkStart w:id="0" w:name="_GoBack"/>
      <w:bookmarkEnd w:id="0"/>
    </w:p>
    <w:p w:rsidR="00026D4C" w:rsidRPr="001A17E9" w:rsidRDefault="00026D4C" w:rsidP="00026D4C">
      <w:pPr>
        <w:ind w:left="720" w:hanging="720"/>
        <w:rPr>
          <w:rFonts w:ascii="Times New Roman" w:hAnsi="Times New Roman"/>
          <w:color w:val="000000" w:themeColor="text1"/>
          <w:sz w:val="24"/>
          <w:szCs w:val="24"/>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(Vandewalle, 2005, 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 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tradición estadounidense de la educación pública, la igualdad de oportunidades y de acceso siempre han sido los objetivos ideales, aunque no se hayan reflejado con solidez en la realidad.” (2010, p. 42)</w:t>
      </w: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w:t>
      </w:r>
      <w:r w:rsidRPr="00BB4DAF">
        <w:rPr>
          <w:rFonts w:ascii="Times New Roman" w:hAnsi="Times New Roman" w:cs="Times New Roman"/>
          <w:color w:val="70AD47" w:themeColor="accent6"/>
          <w:sz w:val="20"/>
          <w:szCs w:val="20"/>
        </w:rPr>
        <w:lastRenderedPageBreak/>
        <w:t>comunicativa de tal racionalidad permitirá ingresar a los afectados a una dimensión sujeto-sujeto, introduciendo su irreductible diferencialidad y posibilitando un tratamiento del otro en concordancia con la variabilidad intersubjetiva.” (2004, 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rsidR="00F172EE" w:rsidRPr="00BB4DAF" w:rsidRDefault="00F172EE" w:rsidP="00F6534F">
      <w:pPr>
        <w:spacing w:line="240" w:lineRule="auto"/>
        <w:jc w:val="both"/>
        <w:rPr>
          <w:rFonts w:ascii="Times New Roman" w:hAnsi="Times New Roman" w:cs="Times New Roman"/>
          <w:color w:val="70AD47" w:themeColor="accent6"/>
          <w:sz w:val="20"/>
          <w:szCs w:val="20"/>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 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 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w:t>
      </w:r>
      <w:r>
        <w:rPr>
          <w:rFonts w:ascii="Times New Roman" w:hAnsi="Times New Roman" w:cs="Times New Roman"/>
          <w:color w:val="70AD47" w:themeColor="accent6"/>
          <w:sz w:val="20"/>
          <w:szCs w:val="20"/>
        </w:rPr>
        <w:lastRenderedPageBreak/>
        <w:t xml:space="preserve">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 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 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 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Pr>
          <w:rFonts w:ascii="Times New Roman" w:hAnsi="Times New Roman" w:cs="Times New Roman"/>
          <w:color w:val="70AD47" w:themeColor="accent6"/>
          <w:sz w:val="20"/>
          <w:szCs w:val="20"/>
        </w:rPr>
        <w:t>, 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w:t>
      </w:r>
      <w:r w:rsidRPr="00BB4DAF">
        <w:rPr>
          <w:rFonts w:ascii="Times New Roman" w:hAnsi="Times New Roman" w:cs="Times New Roman"/>
          <w:color w:val="70AD47" w:themeColor="accent6"/>
          <w:sz w:val="20"/>
          <w:szCs w:val="20"/>
        </w:rPr>
        <w:lastRenderedPageBreak/>
        <w:t>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construcción que el hombre necesariamente ha de hacer de sí mismo por su originaria plasticidad vital, representa la común condición de los seres humanos a la que responde la educación como propósito y proyecto de auxilio formativo.” (2006, 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w:t>
      </w:r>
      <w:r w:rsidRPr="00BB4DAF">
        <w:rPr>
          <w:rFonts w:ascii="Times New Roman" w:hAnsi="Times New Roman" w:cs="Times New Roman"/>
          <w:color w:val="70AD47" w:themeColor="accent6"/>
          <w:sz w:val="20"/>
          <w:szCs w:val="20"/>
        </w:rPr>
        <w:lastRenderedPageBreak/>
        <w:t>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 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 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(Vandewalle, 2005, 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 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 aquello que nos sobra.” (Kant, 1988, 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lastRenderedPageBreak/>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(Kant, 1988, 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w:t>
      </w:r>
      <w:r w:rsidRPr="00BB4DAF">
        <w:rPr>
          <w:rFonts w:ascii="Times New Roman" w:hAnsi="Times New Roman" w:cs="Times New Roman"/>
          <w:color w:val="70AD47" w:themeColor="accent6"/>
          <w:sz w:val="20"/>
          <w:szCs w:val="20"/>
        </w:rPr>
        <w:lastRenderedPageBreak/>
        <w:t>por ello un mero capricho? Y la idea de una educación que desarrolle en el hombre todas las aptitudes naturales es, por cierto, verdadera.” (2009, 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 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 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 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2007,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(Euchner, 1974, 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rPr>
        <w:t xml:space="preserve">O´Neill, O. (1986) </w:t>
      </w:r>
      <w:r w:rsidRPr="00D3730F">
        <w:rPr>
          <w:rFonts w:ascii="Times New Roman" w:hAnsi="Times New Roman"/>
          <w:i/>
          <w:color w:val="000000" w:themeColor="text1"/>
          <w:sz w:val="24"/>
          <w:szCs w:val="24"/>
        </w:rPr>
        <w:t>The public use of reason</w:t>
      </w:r>
      <w:r w:rsidRPr="00D3730F">
        <w:rPr>
          <w:rFonts w:ascii="Times New Roman" w:hAnsi="Times New Roman"/>
          <w:color w:val="000000" w:themeColor="text1"/>
          <w:sz w:val="24"/>
          <w:szCs w:val="24"/>
        </w:rPr>
        <w:t>.</w:t>
      </w:r>
      <w:r w:rsidRPr="00D3730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 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 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w:t>
      </w:r>
      <w:r>
        <w:rPr>
          <w:rFonts w:ascii="Times New Roman" w:hAnsi="Times New Roman" w:cs="Times New Roman"/>
          <w:color w:val="70AD47" w:themeColor="accent6"/>
          <w:sz w:val="20"/>
          <w:szCs w:val="20"/>
        </w:rPr>
        <w:lastRenderedPageBreak/>
        <w:t xml:space="preserve">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xml:space="preserve">” (1986, 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estupefacer.”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 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 xml:space="preserve">“Si la desobediencia civil en tanto que intento de destruir el estado, se encuentra proscrita al interior de la doctrina de derecho de Kant, no sucede lo mismo con la reflexión y crítica que los ciudadanos pueden hacer </w:t>
      </w:r>
      <w:r w:rsidRPr="00906E71">
        <w:rPr>
          <w:rFonts w:ascii="Times New Roman" w:hAnsi="Times New Roman" w:cs="Times New Roman"/>
          <w:color w:val="70AD47" w:themeColor="accent6"/>
          <w:sz w:val="20"/>
          <w:szCs w:val="20"/>
        </w:rPr>
        <w:lastRenderedPageBreak/>
        <w:t>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(p. 328-329)</w:t>
      </w:r>
    </w:p>
    <w:p w:rsidR="00D70210" w:rsidRDefault="00D70210">
      <w:pPr>
        <w:rPr>
          <w:sz w:val="28"/>
          <w:szCs w:val="28"/>
        </w:rPr>
      </w:pPr>
      <w:r>
        <w:rPr>
          <w:sz w:val="28"/>
          <w:szCs w:val="28"/>
        </w:rPr>
        <w:br w:type="page"/>
      </w:r>
    </w:p>
    <w:p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rsidR="004D59AE" w:rsidRPr="009670F6" w:rsidRDefault="004D59AE" w:rsidP="004D59AE">
      <w:pPr>
        <w:spacing w:line="360" w:lineRule="auto"/>
        <w:rPr>
          <w:rFonts w:ascii="Times New Roman" w:hAnsi="Times New Roman"/>
          <w:b/>
          <w:sz w:val="24"/>
          <w:szCs w:val="24"/>
          <w:u w:val="single"/>
        </w:rPr>
      </w:pPr>
    </w:p>
    <w:p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Enero-Marzo)</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 xml:space="preserve">Ediciones Cristiandad. </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4D59AE" w:rsidRPr="004D59AE" w:rsidRDefault="004D59AE" w:rsidP="004D59AE">
      <w:pPr>
        <w:ind w:left="720" w:hanging="720"/>
        <w:rPr>
          <w:rFonts w:ascii="Times New Roman" w:hAnsi="Times New Roman"/>
          <w:color w:val="000000" w:themeColor="text1"/>
          <w:sz w:val="24"/>
          <w:szCs w:val="24"/>
        </w:rPr>
      </w:pPr>
      <w:r w:rsidRPr="00D150E2">
        <w:rPr>
          <w:rFonts w:ascii="Times New Roman" w:hAnsi="Times New Roman"/>
          <w:color w:val="000000" w:themeColor="text1"/>
          <w:sz w:val="24"/>
          <w:szCs w:val="24"/>
        </w:rPr>
        <w:t xml:space="preserve">Kant, I. (1991) </w:t>
      </w:r>
      <w:r w:rsidRPr="00D150E2">
        <w:rPr>
          <w:rFonts w:ascii="Times New Roman" w:hAnsi="Times New Roman"/>
          <w:i/>
          <w:color w:val="000000" w:themeColor="text1"/>
          <w:sz w:val="24"/>
          <w:szCs w:val="24"/>
        </w:rPr>
        <w:t>Kant political writings</w:t>
      </w:r>
      <w:r w:rsidRPr="00D150E2">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Edited by: H.S. Reiss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Ed. Quadrata.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4D59AE" w:rsidRPr="00983D16" w:rsidRDefault="004D59AE" w:rsidP="004D59AE">
      <w:pPr>
        <w:ind w:left="720" w:hanging="720"/>
        <w:rPr>
          <w:rFonts w:ascii="Times New Roman" w:hAnsi="Times New Roman"/>
          <w:color w:val="000000" w:themeColor="text1"/>
          <w:sz w:val="24"/>
          <w:szCs w:val="24"/>
          <w:lang w:val="en-US"/>
        </w:rPr>
      </w:pPr>
      <w:r w:rsidRPr="00983D16">
        <w:rPr>
          <w:rFonts w:ascii="Times New Roman" w:hAnsi="Times New Roman"/>
          <w:color w:val="000000" w:themeColor="text1"/>
          <w:sz w:val="24"/>
          <w:szCs w:val="24"/>
          <w:lang w:val="en-US"/>
        </w:rPr>
        <w:t xml:space="preserve">Kymlicka, W. (1996) </w:t>
      </w:r>
      <w:r w:rsidRPr="00983D16">
        <w:rPr>
          <w:rFonts w:ascii="Times New Roman" w:hAnsi="Times New Roman"/>
          <w:i/>
          <w:color w:val="000000" w:themeColor="text1"/>
          <w:sz w:val="24"/>
          <w:szCs w:val="24"/>
          <w:lang w:val="en-US"/>
        </w:rPr>
        <w:t xml:space="preserve">Ciudadanía multicultural. </w:t>
      </w:r>
      <w:r w:rsidRPr="00983D16">
        <w:rPr>
          <w:rFonts w:ascii="Times New Roman" w:hAnsi="Times New Roman"/>
          <w:color w:val="000000" w:themeColor="text1"/>
          <w:sz w:val="24"/>
          <w:szCs w:val="24"/>
          <w:lang w:val="en-US"/>
        </w:rPr>
        <w:t>Paidós.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Katz Editores).</w:t>
      </w:r>
    </w:p>
    <w:p w:rsidR="004D59AE" w:rsidRPr="00D150E2" w:rsidRDefault="004D59AE" w:rsidP="004D59AE">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D150E2">
        <w:rPr>
          <w:rFonts w:ascii="Times New Roman" w:hAnsi="Times New Roman"/>
          <w:color w:val="000000" w:themeColor="text1"/>
          <w:sz w:val="24"/>
          <w:szCs w:val="24"/>
        </w:rPr>
        <w:t>En: Political Theory, Vol 14, Nº4, Nov. pp. 523-551.</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4D59AE" w:rsidRPr="004D59A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4D59AE">
        <w:rPr>
          <w:rFonts w:ascii="Times New Roman" w:hAnsi="Times New Roman"/>
          <w:color w:val="000000" w:themeColor="text1"/>
          <w:sz w:val="24"/>
          <w:szCs w:val="24"/>
        </w:rPr>
        <w:t>Colección Teorema.</w:t>
      </w:r>
    </w:p>
    <w:p w:rsidR="004D59AE" w:rsidRDefault="004D59AE" w:rsidP="00D70210">
      <w:pPr>
        <w:spacing w:line="240" w:lineRule="auto"/>
        <w:ind w:left="360"/>
        <w:rPr>
          <w:rFonts w:ascii="Times New Roman" w:hAnsi="Times New Roman" w:cs="Times New Roman"/>
          <w:sz w:val="20"/>
          <w:szCs w:val="20"/>
        </w:rPr>
      </w:pPr>
    </w:p>
    <w:p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rsidR="004D59AE" w:rsidRDefault="004D59AE" w:rsidP="00D70210">
      <w:pPr>
        <w:spacing w:line="240" w:lineRule="auto"/>
        <w:ind w:left="360"/>
        <w:rPr>
          <w:rFonts w:ascii="Times New Roman" w:hAnsi="Times New Roman" w:cs="Times New Roman"/>
          <w:sz w:val="20"/>
          <w:szCs w:val="20"/>
        </w:rPr>
      </w:pPr>
    </w:p>
    <w:p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rsidR="004D59AE" w:rsidRDefault="004D59AE" w:rsidP="00D70210">
      <w:pPr>
        <w:spacing w:line="240" w:lineRule="auto"/>
        <w:ind w:left="360"/>
        <w:rPr>
          <w:rFonts w:ascii="Times New Roman" w:hAnsi="Times New Roman" w:cs="Times New Roman"/>
          <w:sz w:val="20"/>
          <w:szCs w:val="20"/>
        </w:rPr>
      </w:pPr>
    </w:p>
    <w:p w:rsidR="004D59AE" w:rsidRPr="004D59AE" w:rsidRDefault="004D59AE" w:rsidP="00D70210">
      <w:pPr>
        <w:spacing w:line="240" w:lineRule="auto"/>
        <w:ind w:left="360"/>
        <w:rPr>
          <w:rFonts w:ascii="Times New Roman" w:hAnsi="Times New Roman" w:cs="Times New Roman"/>
          <w:sz w:val="20"/>
          <w:szCs w:val="20"/>
          <w:lang w:val="en-US"/>
        </w:rPr>
      </w:pPr>
      <w:r w:rsidRPr="004D59AE">
        <w:rPr>
          <w:rFonts w:ascii="Times New Roman" w:hAnsi="Times New Roman" w:cs="Times New Roman"/>
          <w:sz w:val="20"/>
          <w:szCs w:val="20"/>
          <w:lang w:val="en-US"/>
        </w:rPr>
        <w:t>Koorsgard, Fliekshuh, Ripstein, Grocio, Althusius P</w:t>
      </w:r>
      <w:r>
        <w:rPr>
          <w:rFonts w:ascii="Times New Roman" w:hAnsi="Times New Roman" w:cs="Times New Roman"/>
          <w:sz w:val="20"/>
          <w:szCs w:val="20"/>
          <w:lang w:val="en-US"/>
        </w:rPr>
        <w:t>ufendorf</w:t>
      </w:r>
    </w:p>
    <w:p w:rsidR="004D59AE" w:rsidRPr="004D59AE" w:rsidRDefault="004D59AE" w:rsidP="00D70210">
      <w:pPr>
        <w:spacing w:line="240" w:lineRule="auto"/>
        <w:ind w:left="360"/>
        <w:rPr>
          <w:rFonts w:ascii="Times New Roman" w:hAnsi="Times New Roman" w:cs="Times New Roman"/>
          <w:sz w:val="20"/>
          <w:szCs w:val="20"/>
          <w:lang w:val="en-US"/>
        </w:rPr>
      </w:pP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F40" w:rsidRDefault="007F5F40" w:rsidP="00114868">
      <w:pPr>
        <w:spacing w:after="0" w:line="240" w:lineRule="auto"/>
      </w:pPr>
      <w:r>
        <w:separator/>
      </w:r>
    </w:p>
  </w:endnote>
  <w:endnote w:type="continuationSeparator" w:id="0">
    <w:p w:rsidR="007F5F40" w:rsidRDefault="007F5F40"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F40" w:rsidRDefault="007F5F40" w:rsidP="00114868">
      <w:pPr>
        <w:spacing w:after="0" w:line="240" w:lineRule="auto"/>
      </w:pPr>
      <w:r>
        <w:separator/>
      </w:r>
    </w:p>
  </w:footnote>
  <w:footnote w:type="continuationSeparator" w:id="0">
    <w:p w:rsidR="007F5F40" w:rsidRDefault="007F5F40"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568B"/>
    <w:rsid w:val="00026D4C"/>
    <w:rsid w:val="0005537C"/>
    <w:rsid w:val="000558AD"/>
    <w:rsid w:val="00055D4F"/>
    <w:rsid w:val="000573A2"/>
    <w:rsid w:val="00071A09"/>
    <w:rsid w:val="000C012D"/>
    <w:rsid w:val="000C68D8"/>
    <w:rsid w:val="000D23A6"/>
    <w:rsid w:val="000D4381"/>
    <w:rsid w:val="001010F9"/>
    <w:rsid w:val="001136DA"/>
    <w:rsid w:val="0011423E"/>
    <w:rsid w:val="00114868"/>
    <w:rsid w:val="001269FA"/>
    <w:rsid w:val="001405C6"/>
    <w:rsid w:val="001424AC"/>
    <w:rsid w:val="001476D6"/>
    <w:rsid w:val="0016166E"/>
    <w:rsid w:val="0017609F"/>
    <w:rsid w:val="00184AE0"/>
    <w:rsid w:val="00196D9C"/>
    <w:rsid w:val="001A17E9"/>
    <w:rsid w:val="001B5CAA"/>
    <w:rsid w:val="001B7C43"/>
    <w:rsid w:val="001C4D91"/>
    <w:rsid w:val="001E422A"/>
    <w:rsid w:val="001E57FD"/>
    <w:rsid w:val="002079E0"/>
    <w:rsid w:val="0022206D"/>
    <w:rsid w:val="002417DF"/>
    <w:rsid w:val="00247705"/>
    <w:rsid w:val="00276A0C"/>
    <w:rsid w:val="002960AB"/>
    <w:rsid w:val="002A08FC"/>
    <w:rsid w:val="002C0838"/>
    <w:rsid w:val="002C21E0"/>
    <w:rsid w:val="00317DEB"/>
    <w:rsid w:val="00346C60"/>
    <w:rsid w:val="00355119"/>
    <w:rsid w:val="00374119"/>
    <w:rsid w:val="003A0A5C"/>
    <w:rsid w:val="003B0E65"/>
    <w:rsid w:val="003C7327"/>
    <w:rsid w:val="003E106C"/>
    <w:rsid w:val="003F1212"/>
    <w:rsid w:val="004038A3"/>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601F4"/>
    <w:rsid w:val="005646FE"/>
    <w:rsid w:val="00566AFC"/>
    <w:rsid w:val="005907B4"/>
    <w:rsid w:val="0059381E"/>
    <w:rsid w:val="005C24E1"/>
    <w:rsid w:val="005C3173"/>
    <w:rsid w:val="005D79C9"/>
    <w:rsid w:val="005E0E7A"/>
    <w:rsid w:val="0060412E"/>
    <w:rsid w:val="00610F16"/>
    <w:rsid w:val="006305D2"/>
    <w:rsid w:val="00663C4D"/>
    <w:rsid w:val="006710EF"/>
    <w:rsid w:val="006C1EE4"/>
    <w:rsid w:val="006E011E"/>
    <w:rsid w:val="006E7832"/>
    <w:rsid w:val="007025C8"/>
    <w:rsid w:val="0071356E"/>
    <w:rsid w:val="007405DF"/>
    <w:rsid w:val="007630E4"/>
    <w:rsid w:val="0077177F"/>
    <w:rsid w:val="00796EAE"/>
    <w:rsid w:val="007D183D"/>
    <w:rsid w:val="007D1930"/>
    <w:rsid w:val="007F31D2"/>
    <w:rsid w:val="007F5F40"/>
    <w:rsid w:val="007F712E"/>
    <w:rsid w:val="00800B8B"/>
    <w:rsid w:val="00814281"/>
    <w:rsid w:val="00824AA2"/>
    <w:rsid w:val="00852B06"/>
    <w:rsid w:val="008638E2"/>
    <w:rsid w:val="00877115"/>
    <w:rsid w:val="008859E9"/>
    <w:rsid w:val="008A0F09"/>
    <w:rsid w:val="008A3CC5"/>
    <w:rsid w:val="008B2D67"/>
    <w:rsid w:val="008B6D20"/>
    <w:rsid w:val="0091031E"/>
    <w:rsid w:val="0093649A"/>
    <w:rsid w:val="009624BA"/>
    <w:rsid w:val="00971194"/>
    <w:rsid w:val="009855CC"/>
    <w:rsid w:val="00987DF8"/>
    <w:rsid w:val="00995B89"/>
    <w:rsid w:val="009A3AD3"/>
    <w:rsid w:val="009A6B8C"/>
    <w:rsid w:val="009D6E24"/>
    <w:rsid w:val="009E0D1C"/>
    <w:rsid w:val="009E3E69"/>
    <w:rsid w:val="009F37B8"/>
    <w:rsid w:val="009F41FF"/>
    <w:rsid w:val="009F5D2A"/>
    <w:rsid w:val="00A22150"/>
    <w:rsid w:val="00A545E3"/>
    <w:rsid w:val="00A56303"/>
    <w:rsid w:val="00A77082"/>
    <w:rsid w:val="00A8386B"/>
    <w:rsid w:val="00A84B2B"/>
    <w:rsid w:val="00AA7B96"/>
    <w:rsid w:val="00AB1179"/>
    <w:rsid w:val="00AD4542"/>
    <w:rsid w:val="00AE01CF"/>
    <w:rsid w:val="00AF7E57"/>
    <w:rsid w:val="00B050EB"/>
    <w:rsid w:val="00B05549"/>
    <w:rsid w:val="00B17F60"/>
    <w:rsid w:val="00B422D3"/>
    <w:rsid w:val="00B42DBE"/>
    <w:rsid w:val="00B46186"/>
    <w:rsid w:val="00B54152"/>
    <w:rsid w:val="00B61CAC"/>
    <w:rsid w:val="00B66AFF"/>
    <w:rsid w:val="00B679FA"/>
    <w:rsid w:val="00B723DE"/>
    <w:rsid w:val="00BF1482"/>
    <w:rsid w:val="00C131A2"/>
    <w:rsid w:val="00C2583F"/>
    <w:rsid w:val="00C510FE"/>
    <w:rsid w:val="00C608F9"/>
    <w:rsid w:val="00C630E4"/>
    <w:rsid w:val="00C90134"/>
    <w:rsid w:val="00C95F7A"/>
    <w:rsid w:val="00CF4443"/>
    <w:rsid w:val="00CF454D"/>
    <w:rsid w:val="00D150E2"/>
    <w:rsid w:val="00D3730F"/>
    <w:rsid w:val="00D441A7"/>
    <w:rsid w:val="00D644A0"/>
    <w:rsid w:val="00D6671D"/>
    <w:rsid w:val="00D70210"/>
    <w:rsid w:val="00D946AE"/>
    <w:rsid w:val="00DB65F8"/>
    <w:rsid w:val="00DE0DFA"/>
    <w:rsid w:val="00DE2AEF"/>
    <w:rsid w:val="00DE5F41"/>
    <w:rsid w:val="00E24061"/>
    <w:rsid w:val="00E264B0"/>
    <w:rsid w:val="00E3370D"/>
    <w:rsid w:val="00E3581F"/>
    <w:rsid w:val="00E65F39"/>
    <w:rsid w:val="00E66B54"/>
    <w:rsid w:val="00E87725"/>
    <w:rsid w:val="00EA1DDE"/>
    <w:rsid w:val="00EA7A22"/>
    <w:rsid w:val="00EA7CED"/>
    <w:rsid w:val="00EB0C33"/>
    <w:rsid w:val="00EC1700"/>
    <w:rsid w:val="00EC1EA0"/>
    <w:rsid w:val="00EC5641"/>
    <w:rsid w:val="00ED7B12"/>
    <w:rsid w:val="00EF197E"/>
    <w:rsid w:val="00EF1CF0"/>
    <w:rsid w:val="00EF3098"/>
    <w:rsid w:val="00F15124"/>
    <w:rsid w:val="00F172EE"/>
    <w:rsid w:val="00F223D8"/>
    <w:rsid w:val="00F35B33"/>
    <w:rsid w:val="00F5061E"/>
    <w:rsid w:val="00F6534F"/>
    <w:rsid w:val="00F72938"/>
    <w:rsid w:val="00F73824"/>
    <w:rsid w:val="00F8248B"/>
    <w:rsid w:val="00F91B67"/>
    <w:rsid w:val="00FA401E"/>
    <w:rsid w:val="00FB25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17666</Words>
  <Characters>97167</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3</cp:revision>
  <dcterms:created xsi:type="dcterms:W3CDTF">2023-11-22T04:46:00Z</dcterms:created>
  <dcterms:modified xsi:type="dcterms:W3CDTF">2023-11-26T20:00:00Z</dcterms:modified>
</cp:coreProperties>
</file>