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21" w:rsidRPr="00E54E4E" w:rsidRDefault="00654BED" w:rsidP="00E54E4E">
      <w:pPr>
        <w:spacing w:line="360" w:lineRule="auto"/>
        <w:jc w:val="both"/>
        <w:rPr>
          <w:rFonts w:ascii="Times New Roman" w:hAnsi="Times New Roman" w:cs="Times New Roman"/>
          <w:sz w:val="24"/>
          <w:szCs w:val="24"/>
        </w:rPr>
      </w:pPr>
      <w:r w:rsidRPr="00E54E4E">
        <w:rPr>
          <w:rFonts w:ascii="Times New Roman" w:hAnsi="Times New Roman" w:cs="Times New Roman"/>
          <w:sz w:val="24"/>
          <w:szCs w:val="24"/>
        </w:rPr>
        <w:t>El proyecto crítico de Kant</w:t>
      </w:r>
    </w:p>
    <w:p w:rsidR="00E54E4E" w:rsidRPr="00E54E4E" w:rsidRDefault="00E54E4E" w:rsidP="00E54E4E">
      <w:pPr>
        <w:spacing w:line="360" w:lineRule="auto"/>
        <w:jc w:val="both"/>
        <w:rPr>
          <w:rFonts w:ascii="Times New Roman" w:hAnsi="Times New Roman" w:cs="Times New Roman"/>
          <w:sz w:val="24"/>
          <w:szCs w:val="24"/>
        </w:rPr>
      </w:pPr>
    </w:p>
    <w:p w:rsidR="00E54E4E" w:rsidRDefault="00E54E4E" w:rsidP="00E54E4E">
      <w:pPr>
        <w:spacing w:line="360" w:lineRule="auto"/>
        <w:ind w:firstLine="708"/>
        <w:jc w:val="both"/>
        <w:rPr>
          <w:rFonts w:ascii="Times New Roman" w:hAnsi="Times New Roman" w:cs="Times New Roman"/>
          <w:sz w:val="24"/>
          <w:szCs w:val="24"/>
        </w:rPr>
      </w:pPr>
      <w:r w:rsidRPr="00E54E4E">
        <w:rPr>
          <w:rFonts w:ascii="Times New Roman" w:hAnsi="Times New Roman" w:cs="Times New Roman"/>
          <w:sz w:val="24"/>
          <w:szCs w:val="24"/>
        </w:rPr>
        <w:t>La idea de crítica puede ser aplicada a un análisis atento, cuestionador y agudo de cualquier fenómeno. Podemos tener en cuenta que su sentido etimológico</w:t>
      </w:r>
      <w:r w:rsidRPr="00E54E4E">
        <w:rPr>
          <w:rStyle w:val="Refdenotaalpie"/>
          <w:rFonts w:ascii="Times New Roman" w:hAnsi="Times New Roman" w:cs="Times New Roman"/>
          <w:sz w:val="24"/>
          <w:szCs w:val="24"/>
        </w:rPr>
        <w:footnoteReference w:id="1"/>
      </w:r>
      <w:r w:rsidRPr="00E54E4E">
        <w:rPr>
          <w:rFonts w:ascii="Times New Roman" w:hAnsi="Times New Roman" w:cs="Times New Roman"/>
          <w:sz w:val="24"/>
          <w:szCs w:val="24"/>
        </w:rPr>
        <w:t xml:space="preserve"> alude al discernimiento y la deliberación. Ambas instancias de su sentido son desarrolladas por Kant en cuanto, en primer lugar, se realiza la tarea de una crítica de la razón, por la razón misma, con la finalidad de delimitar sus usos y ámbitos de aplicación</w:t>
      </w:r>
      <w:r w:rsidRPr="00E54E4E">
        <w:rPr>
          <w:rStyle w:val="Refdenotaalpie"/>
          <w:rFonts w:ascii="Times New Roman" w:hAnsi="Times New Roman" w:cs="Times New Roman"/>
          <w:sz w:val="24"/>
          <w:szCs w:val="24"/>
        </w:rPr>
        <w:footnoteReference w:id="2"/>
      </w:r>
      <w:r w:rsidRPr="00E54E4E">
        <w:rPr>
          <w:rFonts w:ascii="Times New Roman" w:hAnsi="Times New Roman" w:cs="Times New Roman"/>
          <w:sz w:val="24"/>
          <w:szCs w:val="24"/>
        </w:rPr>
        <w:t>, pero también, en segundo lugar, alude a la</w:t>
      </w:r>
    </w:p>
    <w:p w:rsidR="00E54E4E" w:rsidRDefault="00E54E4E" w:rsidP="00E54E4E">
      <w:pPr>
        <w:spacing w:line="360" w:lineRule="auto"/>
        <w:ind w:firstLine="708"/>
        <w:jc w:val="both"/>
        <w:rPr>
          <w:rFonts w:ascii="Times New Roman" w:hAnsi="Times New Roman" w:cs="Times New Roman"/>
          <w:sz w:val="24"/>
          <w:szCs w:val="24"/>
        </w:rPr>
      </w:pPr>
    </w:p>
    <w:p w:rsidR="00E54E4E" w:rsidRPr="00E54E4E" w:rsidRDefault="00E54E4E" w:rsidP="00E54E4E">
      <w:pPr>
        <w:spacing w:line="360" w:lineRule="auto"/>
        <w:ind w:firstLine="708"/>
        <w:jc w:val="both"/>
        <w:rPr>
          <w:rFonts w:ascii="Times New Roman" w:hAnsi="Times New Roman" w:cs="Times New Roman"/>
          <w:sz w:val="24"/>
          <w:szCs w:val="24"/>
        </w:rPr>
      </w:pPr>
      <w:bookmarkStart w:id="0" w:name="_GoBack"/>
      <w:bookmarkEnd w:id="0"/>
    </w:p>
    <w:sectPr w:rsidR="00E54E4E" w:rsidRPr="00E54E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E0B" w:rsidRDefault="00952E0B" w:rsidP="00E54E4E">
      <w:pPr>
        <w:spacing w:after="0" w:line="240" w:lineRule="auto"/>
      </w:pPr>
      <w:r>
        <w:separator/>
      </w:r>
    </w:p>
  </w:endnote>
  <w:endnote w:type="continuationSeparator" w:id="0">
    <w:p w:rsidR="00952E0B" w:rsidRDefault="00952E0B" w:rsidP="00E54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E0B" w:rsidRDefault="00952E0B" w:rsidP="00E54E4E">
      <w:pPr>
        <w:spacing w:after="0" w:line="240" w:lineRule="auto"/>
      </w:pPr>
      <w:r>
        <w:separator/>
      </w:r>
    </w:p>
  </w:footnote>
  <w:footnote w:type="continuationSeparator" w:id="0">
    <w:p w:rsidR="00952E0B" w:rsidRDefault="00952E0B" w:rsidP="00E54E4E">
      <w:pPr>
        <w:spacing w:after="0" w:line="240" w:lineRule="auto"/>
      </w:pPr>
      <w:r>
        <w:continuationSeparator/>
      </w:r>
    </w:p>
  </w:footnote>
  <w:footnote w:id="1">
    <w:p w:rsidR="00E54E4E" w:rsidRPr="00544932" w:rsidRDefault="00E54E4E" w:rsidP="00E54E4E">
      <w:pPr>
        <w:pStyle w:val="citatnr101esp"/>
      </w:pPr>
      <w:r w:rsidRPr="00544932">
        <w:rPr>
          <w:rStyle w:val="Refdenotaalpie"/>
        </w:rPr>
        <w:footnoteRef/>
      </w:r>
      <w:r w:rsidRPr="00544932">
        <w:t xml:space="preserve"> </w:t>
      </w:r>
      <w:proofErr w:type="spellStart"/>
      <w:r w:rsidRPr="00544932">
        <w:rPr>
          <w:color w:val="4D5156"/>
          <w:shd w:val="clear" w:color="auto" w:fill="FFFFFF"/>
        </w:rPr>
        <w:t>Κρίνειν</w:t>
      </w:r>
      <w:proofErr w:type="spellEnd"/>
      <w:r w:rsidRPr="00544932">
        <w:rPr>
          <w:color w:val="4D5156"/>
          <w:shd w:val="clear" w:color="auto" w:fill="FFFFFF"/>
        </w:rPr>
        <w:t>, en cuanto verbo, supone:</w:t>
      </w:r>
      <w:r w:rsidRPr="00544932">
        <w:t xml:space="preserve"> separar, decidir, discernir, deliberar.</w:t>
      </w:r>
    </w:p>
  </w:footnote>
  <w:footnote w:id="2">
    <w:p w:rsidR="00E54E4E" w:rsidRPr="00544932" w:rsidRDefault="00E54E4E" w:rsidP="00E54E4E">
      <w:pPr>
        <w:pStyle w:val="citatnr101esp"/>
      </w:pPr>
      <w:r w:rsidRPr="00544932">
        <w:rPr>
          <w:rStyle w:val="Refdenotaalpie"/>
        </w:rPr>
        <w:footnoteRef/>
      </w:r>
      <w:r w:rsidRPr="00544932">
        <w:t xml:space="preserve"> En esta línea, Katherine </w:t>
      </w:r>
      <w:proofErr w:type="spellStart"/>
      <w:r w:rsidRPr="00544932">
        <w:t>Flikschuh</w:t>
      </w:r>
      <w:proofErr w:type="spellEnd"/>
      <w:r w:rsidRPr="00544932">
        <w:t xml:space="preserve"> indica que: “Entre los estudiosos de Kant, la mayoría de lectores asocian el status a priori de los principios de la razón pura práctica con la contención de Kant de su independencia de consideraciones empíricas dadas contingentemente, su fundamento en la capacidad de razonar de seres racionales, y, por lo tanto, su validez universal.” (2000, p.10)</w:t>
      </w:r>
    </w:p>
    <w:p w:rsidR="00E54E4E" w:rsidRPr="00544932" w:rsidRDefault="00E54E4E" w:rsidP="00E54E4E">
      <w:pPr>
        <w:pStyle w:val="Textonotapi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ED"/>
    <w:rsid w:val="00654BED"/>
    <w:rsid w:val="00952E0B"/>
    <w:rsid w:val="00B82821"/>
    <w:rsid w:val="00E54E4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E805"/>
  <w15:chartTrackingRefBased/>
  <w15:docId w15:val="{3822BF88-CA4C-4BF8-B0A5-49C9EAD20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E54E4E"/>
    <w:pPr>
      <w:spacing w:after="0" w:line="240" w:lineRule="auto"/>
      <w:ind w:left="851" w:firstLine="357"/>
      <w:jc w:val="both"/>
    </w:pPr>
    <w:rPr>
      <w:rFonts w:ascii="Calibri" w:eastAsia="Calibri" w:hAnsi="Calibri" w:cs="Times New Roman"/>
      <w:sz w:val="20"/>
      <w:szCs w:val="20"/>
      <w:lang w:val="es-ES"/>
    </w:rPr>
  </w:style>
  <w:style w:type="character" w:customStyle="1" w:styleId="TextonotapieCar">
    <w:name w:val="Texto nota pie Car"/>
    <w:basedOn w:val="Fuentedeprrafopredeter"/>
    <w:link w:val="Textonotapie"/>
    <w:uiPriority w:val="99"/>
    <w:rsid w:val="00E54E4E"/>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sid w:val="00E54E4E"/>
    <w:rPr>
      <w:vertAlign w:val="superscript"/>
    </w:rPr>
  </w:style>
  <w:style w:type="paragraph" w:customStyle="1" w:styleId="citatnr101esp">
    <w:name w:val="cita tnr 10 1esp"/>
    <w:basedOn w:val="Normal"/>
    <w:link w:val="citatnr101espCar"/>
    <w:qFormat/>
    <w:rsid w:val="00E54E4E"/>
    <w:pPr>
      <w:spacing w:after="200" w:line="240" w:lineRule="auto"/>
      <w:ind w:left="851" w:firstLine="357"/>
      <w:jc w:val="both"/>
    </w:pPr>
    <w:rPr>
      <w:rFonts w:ascii="Times New Roman" w:eastAsia="Calibri" w:hAnsi="Times New Roman" w:cs="Times New Roman"/>
      <w:sz w:val="20"/>
      <w:szCs w:val="20"/>
      <w:lang w:val="es-ES"/>
    </w:rPr>
  </w:style>
  <w:style w:type="character" w:customStyle="1" w:styleId="citatnr101espCar">
    <w:name w:val="cita tnr 10 1esp Car"/>
    <w:basedOn w:val="Fuentedeprrafopredeter"/>
    <w:link w:val="citatnr101esp"/>
    <w:rsid w:val="00E54E4E"/>
    <w:rPr>
      <w:rFonts w:ascii="Times New Roman" w:eastAsia="Calibri"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75</Words>
  <Characters>417</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1</cp:revision>
  <dcterms:created xsi:type="dcterms:W3CDTF">2024-07-02T01:29:00Z</dcterms:created>
  <dcterms:modified xsi:type="dcterms:W3CDTF">2024-07-02T05:28:00Z</dcterms:modified>
</cp:coreProperties>
</file>