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E05" w:rsidRPr="00B90E05" w:rsidRDefault="00B90E05" w:rsidP="00B90E05">
      <w:pPr>
        <w:ind w:left="720" w:hanging="720"/>
        <w:jc w:val="center"/>
        <w:rPr>
          <w:rFonts w:ascii="Times New Roman" w:hAnsi="Times New Roman"/>
          <w:color w:val="000000" w:themeColor="text1"/>
          <w:sz w:val="24"/>
          <w:szCs w:val="24"/>
        </w:rPr>
      </w:pPr>
      <w:r w:rsidRPr="00B90E05">
        <w:rPr>
          <w:rFonts w:ascii="Times New Roman" w:hAnsi="Times New Roman"/>
          <w:color w:val="000000" w:themeColor="text1"/>
          <w:sz w:val="24"/>
          <w:szCs w:val="24"/>
        </w:rPr>
        <w:t>Traducción y fragmentos selectos de:</w:t>
      </w:r>
    </w:p>
    <w:p w:rsidR="00B90E05" w:rsidRPr="00B90E05" w:rsidRDefault="00B90E05" w:rsidP="00B90E05">
      <w:pPr>
        <w:ind w:left="720" w:hanging="720"/>
        <w:jc w:val="center"/>
        <w:rPr>
          <w:rFonts w:ascii="Times New Roman" w:hAnsi="Times New Roman"/>
          <w:b/>
          <w:color w:val="000000" w:themeColor="text1"/>
          <w:sz w:val="24"/>
          <w:szCs w:val="24"/>
          <w:u w:val="single"/>
        </w:rPr>
      </w:pPr>
    </w:p>
    <w:p w:rsidR="00B90E05" w:rsidRPr="00B90E05" w:rsidRDefault="00B90E05" w:rsidP="00B90E05">
      <w:pPr>
        <w:ind w:left="720" w:hanging="720"/>
        <w:jc w:val="center"/>
        <w:rPr>
          <w:rFonts w:ascii="Times New Roman" w:hAnsi="Times New Roman"/>
          <w:b/>
          <w:color w:val="000000" w:themeColor="text1"/>
          <w:sz w:val="24"/>
          <w:szCs w:val="24"/>
          <w:u w:val="single"/>
        </w:rPr>
      </w:pPr>
      <w:r w:rsidRPr="00B90E05">
        <w:rPr>
          <w:rFonts w:ascii="Times New Roman" w:hAnsi="Times New Roman"/>
          <w:b/>
          <w:color w:val="000000" w:themeColor="text1"/>
          <w:sz w:val="24"/>
          <w:szCs w:val="24"/>
          <w:u w:val="single"/>
        </w:rPr>
        <w:t xml:space="preserve">Lecciones de la filosofía política de </w:t>
      </w:r>
      <w:r>
        <w:rPr>
          <w:rFonts w:ascii="Times New Roman" w:hAnsi="Times New Roman"/>
          <w:b/>
          <w:color w:val="000000" w:themeColor="text1"/>
          <w:sz w:val="24"/>
          <w:szCs w:val="24"/>
          <w:u w:val="single"/>
        </w:rPr>
        <w:t>Kant</w:t>
      </w:r>
    </w:p>
    <w:p w:rsidR="00B90E05" w:rsidRPr="00B90E05" w:rsidRDefault="00B90E05" w:rsidP="00B90E05">
      <w:pPr>
        <w:ind w:left="720" w:hanging="720"/>
        <w:jc w:val="center"/>
        <w:rPr>
          <w:rFonts w:ascii="Times New Roman" w:hAnsi="Times New Roman"/>
          <w:b/>
          <w:color w:val="000000" w:themeColor="text1"/>
          <w:sz w:val="24"/>
          <w:szCs w:val="24"/>
          <w:u w:val="single"/>
          <w:lang w:val="en-US"/>
        </w:rPr>
      </w:pPr>
      <w:r w:rsidRPr="00B90E05">
        <w:rPr>
          <w:rFonts w:ascii="Times New Roman" w:hAnsi="Times New Roman"/>
          <w:b/>
          <w:color w:val="000000" w:themeColor="text1"/>
          <w:sz w:val="24"/>
          <w:szCs w:val="24"/>
          <w:u w:val="single"/>
          <w:lang w:val="en-US"/>
        </w:rPr>
        <w:t>Hannah Arendt</w:t>
      </w:r>
    </w:p>
    <w:p w:rsidR="00B90E05" w:rsidRPr="00B90E05" w:rsidRDefault="00B90E05" w:rsidP="00B90E05">
      <w:pPr>
        <w:ind w:left="720" w:hanging="720"/>
        <w:rPr>
          <w:rFonts w:ascii="Times New Roman" w:hAnsi="Times New Roman"/>
          <w:color w:val="000000" w:themeColor="text1"/>
          <w:sz w:val="24"/>
          <w:szCs w:val="24"/>
          <w:lang w:val="en-US"/>
        </w:rPr>
      </w:pPr>
    </w:p>
    <w:p w:rsidR="00B90E05" w:rsidRDefault="00B90E05" w:rsidP="00B90E05">
      <w:pPr>
        <w:ind w:left="720" w:hanging="720"/>
        <w:rPr>
          <w:rFonts w:ascii="Times New Roman" w:hAnsi="Times New Roman"/>
          <w:color w:val="000000" w:themeColor="text1"/>
          <w:sz w:val="24"/>
          <w:szCs w:val="24"/>
          <w:lang w:val="en-US"/>
        </w:rPr>
      </w:pPr>
    </w:p>
    <w:p w:rsidR="00B90E05" w:rsidRDefault="00B90E05" w:rsidP="00B90E05">
      <w:pPr>
        <w:ind w:left="720" w:hanging="720"/>
        <w:jc w:val="center"/>
        <w:rPr>
          <w:rFonts w:ascii="Times New Roman" w:hAnsi="Times New Roman"/>
          <w:color w:val="000000" w:themeColor="text1"/>
          <w:sz w:val="18"/>
          <w:szCs w:val="24"/>
          <w:lang w:val="en-US"/>
        </w:rPr>
      </w:pPr>
      <w:r w:rsidRPr="00B90E05">
        <w:rPr>
          <w:rFonts w:ascii="Times New Roman" w:hAnsi="Times New Roman"/>
          <w:color w:val="000000" w:themeColor="text1"/>
          <w:sz w:val="18"/>
          <w:szCs w:val="24"/>
          <w:lang w:val="en-US"/>
        </w:rPr>
        <w:t xml:space="preserve">Arendt, H. (1992) </w:t>
      </w:r>
      <w:r w:rsidRPr="00B90E05">
        <w:rPr>
          <w:rFonts w:ascii="Times New Roman" w:hAnsi="Times New Roman"/>
          <w:i/>
          <w:color w:val="000000" w:themeColor="text1"/>
          <w:sz w:val="18"/>
          <w:szCs w:val="24"/>
          <w:lang w:val="en-US"/>
        </w:rPr>
        <w:t>Lectures on Kant´s political philosophy</w:t>
      </w:r>
      <w:r w:rsidRPr="00B90E05">
        <w:rPr>
          <w:rFonts w:ascii="Times New Roman" w:hAnsi="Times New Roman"/>
          <w:color w:val="000000" w:themeColor="text1"/>
          <w:sz w:val="18"/>
          <w:szCs w:val="24"/>
          <w:lang w:val="en-US"/>
        </w:rPr>
        <w:t xml:space="preserve">. Ed. Ronald </w:t>
      </w:r>
      <w:proofErr w:type="spellStart"/>
      <w:r w:rsidRPr="00B90E05">
        <w:rPr>
          <w:rFonts w:ascii="Times New Roman" w:hAnsi="Times New Roman"/>
          <w:color w:val="000000" w:themeColor="text1"/>
          <w:sz w:val="18"/>
          <w:szCs w:val="24"/>
          <w:lang w:val="en-US"/>
        </w:rPr>
        <w:t>Beiner</w:t>
      </w:r>
      <w:proofErr w:type="spellEnd"/>
      <w:r w:rsidRPr="00B90E05">
        <w:rPr>
          <w:rFonts w:ascii="Times New Roman" w:hAnsi="Times New Roman"/>
          <w:color w:val="000000" w:themeColor="text1"/>
          <w:sz w:val="18"/>
          <w:szCs w:val="24"/>
          <w:lang w:val="en-US"/>
        </w:rPr>
        <w:t xml:space="preserve">. </w:t>
      </w:r>
      <w:r w:rsidRPr="00B90E05">
        <w:rPr>
          <w:rFonts w:ascii="Times New Roman" w:hAnsi="Times New Roman"/>
          <w:color w:val="000000" w:themeColor="text1"/>
          <w:sz w:val="18"/>
          <w:szCs w:val="24"/>
          <w:lang w:val="en-US"/>
        </w:rPr>
        <w:t>University of Chicago Press.</w:t>
      </w:r>
    </w:p>
    <w:p w:rsidR="00B90E05" w:rsidRPr="00B90E05" w:rsidRDefault="00B90E05" w:rsidP="00B90E05">
      <w:pPr>
        <w:ind w:left="720" w:hanging="720"/>
        <w:jc w:val="center"/>
        <w:rPr>
          <w:rFonts w:ascii="Times New Roman" w:hAnsi="Times New Roman"/>
          <w:color w:val="000000" w:themeColor="text1"/>
          <w:sz w:val="18"/>
          <w:szCs w:val="24"/>
        </w:rPr>
      </w:pPr>
      <w:r w:rsidRPr="00B90E05">
        <w:rPr>
          <w:rFonts w:ascii="Times New Roman" w:hAnsi="Times New Roman"/>
          <w:color w:val="000000" w:themeColor="text1"/>
          <w:sz w:val="18"/>
          <w:szCs w:val="24"/>
        </w:rPr>
        <w:t xml:space="preserve">Traducción y selección por </w:t>
      </w:r>
      <w:proofErr w:type="spellStart"/>
      <w:r w:rsidRPr="00B90E05">
        <w:rPr>
          <w:rFonts w:ascii="Times New Roman" w:hAnsi="Times New Roman"/>
          <w:color w:val="000000" w:themeColor="text1"/>
          <w:sz w:val="18"/>
          <w:szCs w:val="24"/>
        </w:rPr>
        <w:t>F.</w:t>
      </w:r>
      <w:proofErr w:type="gramStart"/>
      <w:r>
        <w:rPr>
          <w:rFonts w:ascii="Times New Roman" w:hAnsi="Times New Roman"/>
          <w:color w:val="000000" w:themeColor="text1"/>
          <w:sz w:val="18"/>
          <w:szCs w:val="24"/>
        </w:rPr>
        <w:t>G.Alcalá</w:t>
      </w:r>
      <w:proofErr w:type="spellEnd"/>
      <w:proofErr w:type="gramEnd"/>
      <w:r>
        <w:rPr>
          <w:rFonts w:ascii="Times New Roman" w:hAnsi="Times New Roman"/>
          <w:color w:val="000000" w:themeColor="text1"/>
          <w:sz w:val="18"/>
          <w:szCs w:val="24"/>
        </w:rPr>
        <w:t>. Editado para usos educativos</w:t>
      </w:r>
    </w:p>
    <w:p w:rsidR="00B90E05" w:rsidRPr="00B90E05" w:rsidRDefault="00B90E05" w:rsidP="00B90E05">
      <w:pPr>
        <w:spacing w:line="360" w:lineRule="auto"/>
        <w:ind w:left="720" w:hanging="720"/>
        <w:rPr>
          <w:rFonts w:ascii="Times New Roman" w:hAnsi="Times New Roman"/>
          <w:sz w:val="24"/>
          <w:szCs w:val="24"/>
        </w:rPr>
      </w:pP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sidRPr="00B90E05">
        <w:rPr>
          <w:rFonts w:ascii="Times New Roman" w:hAnsi="Times New Roman" w:cs="Times New Roman"/>
          <w:i/>
          <w:sz w:val="24"/>
          <w:szCs w:val="24"/>
        </w:rPr>
        <w:t>La crítica de la razón pura.</w:t>
      </w:r>
      <w:r w:rsidRPr="00B90E05">
        <w:rPr>
          <w:rFonts w:ascii="Times New Roman" w:hAnsi="Times New Roman" w:cs="Times New Roman"/>
          <w:sz w:val="24"/>
          <w:szCs w:val="24"/>
        </w:rPr>
        <w:t>” (1992; p. 10)</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 xml:space="preserve">“Kant (…) se refiere por crítica, no al criticismo de &lt;libros y sistemas, sino a la facultad de la razón como tal.&gt;” (Kant citado en </w:t>
      </w:r>
      <w:proofErr w:type="spellStart"/>
      <w:r w:rsidRPr="00B90E05">
        <w:rPr>
          <w:rFonts w:ascii="Times New Roman" w:hAnsi="Times New Roman" w:cs="Times New Roman"/>
          <w:sz w:val="24"/>
          <w:szCs w:val="24"/>
        </w:rPr>
        <w:t>Arendt</w:t>
      </w:r>
      <w:proofErr w:type="spellEnd"/>
      <w:r w:rsidRPr="00B90E05">
        <w:rPr>
          <w:rFonts w:ascii="Times New Roman" w:hAnsi="Times New Roman" w:cs="Times New Roman"/>
          <w:sz w:val="24"/>
          <w:szCs w:val="24"/>
        </w:rPr>
        <w:t>, 1992; p.34)</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“En la batalla (entre escépticos y dogmáticos) entra el crítico para interrumpir y gritar: &lt;Ambos parecen tener un concepto similar acerca de la verdad, a saber, algo 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 p.34)</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w:t>
      </w:r>
      <w:proofErr w:type="spellStart"/>
      <w:r w:rsidRPr="00B90E05">
        <w:rPr>
          <w:rFonts w:ascii="Times New Roman" w:hAnsi="Times New Roman" w:cs="Times New Roman"/>
          <w:sz w:val="24"/>
          <w:szCs w:val="24"/>
        </w:rPr>
        <w:t>Mendelshonn</w:t>
      </w:r>
      <w:proofErr w:type="spellEnd"/>
      <w:r w:rsidRPr="00B90E05">
        <w:rPr>
          <w:rFonts w:ascii="Times New Roman" w:hAnsi="Times New Roman" w:cs="Times New Roman"/>
          <w:sz w:val="24"/>
          <w:szCs w:val="24"/>
        </w:rPr>
        <w:t xml:space="preserve"> le llamaba (a Kant) el </w:t>
      </w:r>
      <w:proofErr w:type="spellStart"/>
      <w:r w:rsidRPr="00B90E05">
        <w:rPr>
          <w:rFonts w:ascii="Times New Roman" w:hAnsi="Times New Roman" w:cs="Times New Roman"/>
          <w:i/>
          <w:sz w:val="24"/>
          <w:szCs w:val="24"/>
        </w:rPr>
        <w:t>Alles-Zermalmer</w:t>
      </w:r>
      <w:proofErr w:type="spellEnd"/>
      <w:r w:rsidRPr="00B90E05">
        <w:rPr>
          <w:rFonts w:ascii="Times New Roman" w:hAnsi="Times New Roman" w:cs="Times New Roman"/>
          <w:sz w:val="24"/>
          <w:szCs w:val="24"/>
        </w:rPr>
        <w:t xml:space="preserve">, el </w:t>
      </w:r>
      <w:r w:rsidRPr="00B90E05">
        <w:rPr>
          <w:rFonts w:ascii="Times New Roman" w:hAnsi="Times New Roman" w:cs="Times New Roman"/>
          <w:i/>
          <w:sz w:val="24"/>
          <w:szCs w:val="24"/>
        </w:rPr>
        <w:t>todo-destructor</w:t>
      </w:r>
      <w:r w:rsidRPr="00B90E05">
        <w:rPr>
          <w:rFonts w:ascii="Times New Roman" w:hAnsi="Times New Roman" w:cs="Times New Roman"/>
          <w:sz w:val="24"/>
          <w:szCs w:val="24"/>
        </w:rPr>
        <w:t>, es decir, destructor de toda creencia que yo pudiera pretender conocer en cuestiones metafísicas.” (1992; p.34)</w:t>
      </w:r>
    </w:p>
    <w:p w:rsidR="00B90E05" w:rsidRPr="00B90E05" w:rsidRDefault="00B90E05" w:rsidP="00B90E05">
      <w:pPr>
        <w:spacing w:line="360" w:lineRule="auto"/>
        <w:jc w:val="both"/>
        <w:rPr>
          <w:rFonts w:ascii="Times New Roman" w:hAnsi="Times New Roman" w:cs="Times New Roman"/>
          <w:sz w:val="24"/>
          <w:szCs w:val="24"/>
          <w:lang w:val="en-US"/>
        </w:rPr>
      </w:pPr>
      <w:r w:rsidRPr="00B90E05">
        <w:rPr>
          <w:rFonts w:ascii="Times New Roman" w:hAnsi="Times New Roman" w:cs="Times New Roman"/>
          <w:sz w:val="24"/>
          <w:szCs w:val="24"/>
        </w:rPr>
        <w:t xml:space="preserve">“La mentalidad de la ilustración no duró mucho y esto puede ser visto en el contraste con la siguiente generación, bien representada por el joven Hegel. (…) en el idealismo alemán, la generación de los hijos de Kant, y lo que podrían haber sido sus nietos y bisnietos, desde Marx, hasta Nietzsche, aparentemente, por influencia de Hegel, habían conjuntamente abandonado la filosofía del todo.” </w:t>
      </w:r>
      <w:r w:rsidRPr="00B90E05">
        <w:rPr>
          <w:rFonts w:ascii="Times New Roman" w:hAnsi="Times New Roman" w:cs="Times New Roman"/>
          <w:sz w:val="24"/>
          <w:szCs w:val="24"/>
          <w:lang w:val="en-US"/>
        </w:rPr>
        <w:t>(1992; pp. 35-36)</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 xml:space="preserve"> </w:t>
      </w:r>
      <w:r w:rsidRPr="00B90E05">
        <w:rPr>
          <w:rFonts w:ascii="Times New Roman" w:hAnsi="Times New Roman" w:cs="Times New Roman"/>
          <w:sz w:val="24"/>
          <w:szCs w:val="24"/>
        </w:rPr>
        <w:t>“El concepto de ley es de gran importancia en la filosofía práctica de Kant, en donde el ser humano se entiende como un ser legislativo.” (1992; p.8)</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lastRenderedPageBreak/>
        <w:t>“El hombre malo es, para Kant, aquél que hace una excepción para sí mismo; no es aquél que voluntariamente desea el mal.” (1992; p.17)</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“En Kant, por lo general, el mal es autodestructivo.” (1992, p.18, Cfr. p. 51)</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 xml:space="preserve">“La peor de las malas fortunas que puede acaecer sobre el hombre es el auto-desprecio. Escribe en una carta a </w:t>
      </w:r>
      <w:proofErr w:type="spellStart"/>
      <w:r w:rsidRPr="00B90E05">
        <w:rPr>
          <w:rFonts w:ascii="Times New Roman" w:hAnsi="Times New Roman" w:cs="Times New Roman"/>
          <w:sz w:val="24"/>
          <w:szCs w:val="24"/>
        </w:rPr>
        <w:t>Mendelssohn</w:t>
      </w:r>
      <w:proofErr w:type="spellEnd"/>
      <w:r w:rsidRPr="00B90E05">
        <w:rPr>
          <w:rFonts w:ascii="Times New Roman" w:hAnsi="Times New Roman" w:cs="Times New Roman"/>
          <w:sz w:val="24"/>
          <w:szCs w:val="24"/>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B90E05">
        <w:rPr>
          <w:rFonts w:ascii="Times New Roman" w:hAnsi="Times New Roman" w:cs="Times New Roman"/>
          <w:sz w:val="24"/>
          <w:szCs w:val="24"/>
        </w:rPr>
        <w:t>Mendelssohn</w:t>
      </w:r>
      <w:proofErr w:type="spellEnd"/>
      <w:r w:rsidRPr="00B90E05">
        <w:rPr>
          <w:rFonts w:ascii="Times New Roman" w:hAnsi="Times New Roman" w:cs="Times New Roman"/>
          <w:sz w:val="24"/>
          <w:szCs w:val="24"/>
        </w:rPr>
        <w:t xml:space="preserve"> citado en </w:t>
      </w:r>
      <w:proofErr w:type="spellStart"/>
      <w:r w:rsidRPr="00B90E05">
        <w:rPr>
          <w:rFonts w:ascii="Times New Roman" w:hAnsi="Times New Roman" w:cs="Times New Roman"/>
          <w:sz w:val="24"/>
          <w:szCs w:val="24"/>
        </w:rPr>
        <w:t>Arendt</w:t>
      </w:r>
      <w:proofErr w:type="spellEnd"/>
      <w:r w:rsidRPr="00B90E05">
        <w:rPr>
          <w:rFonts w:ascii="Times New Roman" w:hAnsi="Times New Roman" w:cs="Times New Roman"/>
          <w:sz w:val="24"/>
          <w:szCs w:val="24"/>
        </w:rPr>
        <w:t xml:space="preserve">, 1992; p.20) </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“Ser malvado, por tanto, es caracterizado por abstraerse del ámbito público.” (1992; p.49)</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 xml:space="preserve">“Nunca escribió una filosofía política. (…) Kant mismo refirió (sobre sus escritos políticos) el ser un mero &lt;juego de las ideas&gt; o un &lt;simple viaje de placer&gt;. Y el tono irónico de la </w:t>
      </w:r>
      <w:r w:rsidRPr="00B90E05">
        <w:rPr>
          <w:rFonts w:ascii="Times New Roman" w:hAnsi="Times New Roman" w:cs="Times New Roman"/>
          <w:i/>
          <w:sz w:val="24"/>
          <w:szCs w:val="24"/>
        </w:rPr>
        <w:t>Paz Perpetua</w:t>
      </w:r>
      <w:r w:rsidRPr="00B90E05">
        <w:rPr>
          <w:rFonts w:ascii="Times New Roman" w:hAnsi="Times New Roman" w:cs="Times New Roman"/>
          <w:sz w:val="24"/>
          <w:szCs w:val="24"/>
        </w:rPr>
        <w:t>, de lejos el más importante de ellos, demuestra que claramente Kant mismo no les tomaba muy en serio.” (1992; p.7)</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“La sociabilidad del hombre, esto es, el hecho de que ninguno puede vivir aislado, que los hombres son interdependientes, no meramente por sus necesidades y cuidados, sino en su más alta facultad, la mente humana, la cual no funcionaría fuera de la sociedad humana.” (1992; p.10)</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“Es precisamente el problema de cómo organizar a las personas en un estado, cómo constituir un estado, cómo encontrar una mancomunidad y todos los problemas legales conectados con estos asuntos, lo que le ocupó constantemente durante sus últimos años.” (1992; p.16)</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 xml:space="preserve">“La revolución americana y aún más, la francesa, le despertó, por decirlo de alguna manera, de su sueño político, (así como Hume le había despertado en su juventud de su </w:t>
      </w:r>
      <w:r w:rsidRPr="00B90E05">
        <w:rPr>
          <w:rFonts w:ascii="Times New Roman" w:hAnsi="Times New Roman" w:cs="Times New Roman"/>
          <w:sz w:val="24"/>
          <w:szCs w:val="24"/>
        </w:rPr>
        <w:lastRenderedPageBreak/>
        <w:t>sueño dogmático y Ro</w:t>
      </w:r>
      <w:r w:rsidRPr="00B90E05">
        <w:rPr>
          <w:rFonts w:ascii="Times New Roman" w:hAnsi="Times New Roman" w:cs="Times New Roman"/>
          <w:sz w:val="24"/>
          <w:szCs w:val="24"/>
        </w:rPr>
        <w:t>u</w:t>
      </w:r>
      <w:r w:rsidRPr="00B90E05">
        <w:rPr>
          <w:rFonts w:ascii="Times New Roman" w:hAnsi="Times New Roman" w:cs="Times New Roman"/>
          <w:sz w:val="24"/>
          <w:szCs w:val="24"/>
        </w:rPr>
        <w:t>sseau lo había despertado en su adultez de su sueño moral.)” (1992; p.16)</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 xml:space="preserve">“Sabía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 (Kant citado en </w:t>
      </w:r>
      <w:proofErr w:type="spellStart"/>
      <w:r w:rsidRPr="00B90E05">
        <w:rPr>
          <w:rFonts w:ascii="Times New Roman" w:hAnsi="Times New Roman" w:cs="Times New Roman"/>
          <w:sz w:val="24"/>
          <w:szCs w:val="24"/>
        </w:rPr>
        <w:t>Arendt</w:t>
      </w:r>
      <w:proofErr w:type="spellEnd"/>
      <w:r w:rsidRPr="00B90E05">
        <w:rPr>
          <w:rFonts w:ascii="Times New Roman" w:hAnsi="Times New Roman" w:cs="Times New Roman"/>
          <w:sz w:val="24"/>
          <w:szCs w:val="24"/>
        </w:rPr>
        <w:t>, 1992; p.17)</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“En política, a diferencia de la moral, todo depende la conducta pública.” (1992; p.18)</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 p. 18)</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“Si estoy en lo correcto, existe un pensamiento de filosofía política en Kant, pero en contraste con otros filósofos, nunca la escribió.” (1992; p.31)</w:t>
      </w:r>
    </w:p>
    <w:p w:rsidR="00B90E05" w:rsidRPr="00B90E05" w:rsidRDefault="00B90E05" w:rsidP="00B90E05">
      <w:pPr>
        <w:spacing w:line="360" w:lineRule="auto"/>
        <w:jc w:val="both"/>
        <w:rPr>
          <w:rFonts w:ascii="Times New Roman" w:hAnsi="Times New Roman"/>
          <w:sz w:val="24"/>
          <w:szCs w:val="24"/>
        </w:rPr>
      </w:pPr>
      <w:r w:rsidRPr="00B90E05">
        <w:rPr>
          <w:rFonts w:ascii="Times New Roman" w:hAnsi="Times New Roman" w:cs="Times New Roman"/>
          <w:sz w:val="24"/>
          <w:szCs w:val="24"/>
        </w:rPr>
        <w:t>“El término &lt;</w:t>
      </w:r>
      <w:r w:rsidRPr="00B90E05">
        <w:rPr>
          <w:rFonts w:ascii="Times New Roman" w:hAnsi="Times New Roman" w:cs="Times New Roman"/>
          <w:i/>
          <w:sz w:val="24"/>
          <w:szCs w:val="24"/>
        </w:rPr>
        <w:t>Sentido Común</w:t>
      </w:r>
      <w:r w:rsidRPr="00B90E05">
        <w:rPr>
          <w:rFonts w:ascii="Times New Roman" w:hAnsi="Times New Roman" w:cs="Times New Roman"/>
          <w:sz w:val="24"/>
          <w:szCs w:val="24"/>
        </w:rPr>
        <w:t>&gt; quería designar un sentido, como nuestros otros sentidos, el mismo para todos en su propia privacidad. Al usar el término en latín (&lt;</w:t>
      </w:r>
      <w:proofErr w:type="spellStart"/>
      <w:r w:rsidRPr="00B90E05">
        <w:rPr>
          <w:rFonts w:ascii="Times New Roman" w:hAnsi="Times New Roman" w:cs="Times New Roman"/>
          <w:i/>
          <w:sz w:val="24"/>
          <w:szCs w:val="24"/>
        </w:rPr>
        <w:t>sensus</w:t>
      </w:r>
      <w:proofErr w:type="spellEnd"/>
      <w:r w:rsidRPr="00B90E05">
        <w:rPr>
          <w:rFonts w:ascii="Times New Roman" w:hAnsi="Times New Roman" w:cs="Times New Roman"/>
          <w:i/>
          <w:sz w:val="24"/>
          <w:szCs w:val="24"/>
        </w:rPr>
        <w:t xml:space="preserve"> </w:t>
      </w:r>
      <w:proofErr w:type="spellStart"/>
      <w:r w:rsidRPr="00B90E05">
        <w:rPr>
          <w:rFonts w:ascii="Times New Roman" w:hAnsi="Times New Roman" w:cs="Times New Roman"/>
          <w:i/>
          <w:sz w:val="24"/>
          <w:szCs w:val="24"/>
        </w:rPr>
        <w:t>communis</w:t>
      </w:r>
      <w:proofErr w:type="spellEnd"/>
      <w:r w:rsidRPr="00B90E05">
        <w:rPr>
          <w:rFonts w:ascii="Times New Roman" w:hAnsi="Times New Roman" w:cs="Times New Roman"/>
          <w:sz w:val="24"/>
          <w:szCs w:val="24"/>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Pr="00B90E05">
        <w:rPr>
          <w:rFonts w:ascii="Times New Roman" w:hAnsi="Times New Roman" w:cs="Times New Roman"/>
          <w:i/>
          <w:sz w:val="24"/>
          <w:szCs w:val="24"/>
        </w:rPr>
        <w:t>sensus</w:t>
      </w:r>
      <w:proofErr w:type="spellEnd"/>
      <w:r w:rsidRPr="00B90E05">
        <w:rPr>
          <w:rFonts w:ascii="Times New Roman" w:hAnsi="Times New Roman" w:cs="Times New Roman"/>
          <w:i/>
          <w:sz w:val="24"/>
          <w:szCs w:val="24"/>
        </w:rPr>
        <w:t xml:space="preserve"> </w:t>
      </w:r>
      <w:proofErr w:type="spellStart"/>
      <w:r w:rsidRPr="00B90E05">
        <w:rPr>
          <w:rFonts w:ascii="Times New Roman" w:hAnsi="Times New Roman" w:cs="Times New Roman"/>
          <w:i/>
          <w:sz w:val="24"/>
          <w:szCs w:val="24"/>
        </w:rPr>
        <w:t>communis</w:t>
      </w:r>
      <w:proofErr w:type="spellEnd"/>
      <w:r w:rsidRPr="00B90E05">
        <w:rPr>
          <w:rFonts w:ascii="Times New Roman" w:hAnsi="Times New Roman" w:cs="Times New Roman"/>
          <w:sz w:val="24"/>
          <w:szCs w:val="24"/>
        </w:rPr>
        <w:t xml:space="preserve">, y la testarudez lógica de insistir en los sentidos de uno mismo. (…) De esto se siguen las máximas del </w:t>
      </w:r>
      <w:proofErr w:type="spellStart"/>
      <w:r w:rsidRPr="00B90E05">
        <w:rPr>
          <w:rFonts w:ascii="Times New Roman" w:hAnsi="Times New Roman" w:cs="Times New Roman"/>
          <w:i/>
          <w:sz w:val="24"/>
          <w:szCs w:val="24"/>
        </w:rPr>
        <w:t>sensus</w:t>
      </w:r>
      <w:proofErr w:type="spellEnd"/>
      <w:r w:rsidRPr="00B90E05">
        <w:rPr>
          <w:rFonts w:ascii="Times New Roman" w:hAnsi="Times New Roman" w:cs="Times New Roman"/>
          <w:i/>
          <w:sz w:val="24"/>
          <w:szCs w:val="24"/>
        </w:rPr>
        <w:t xml:space="preserve"> </w:t>
      </w:r>
      <w:proofErr w:type="spellStart"/>
      <w:r w:rsidRPr="00B90E05">
        <w:rPr>
          <w:rFonts w:ascii="Times New Roman" w:hAnsi="Times New Roman" w:cs="Times New Roman"/>
          <w:i/>
          <w:sz w:val="24"/>
          <w:szCs w:val="24"/>
        </w:rPr>
        <w:t>communis</w:t>
      </w:r>
      <w:proofErr w:type="spellEnd"/>
      <w:r w:rsidRPr="00B90E05">
        <w:rPr>
          <w:rFonts w:ascii="Times New Roman" w:hAnsi="Times New Roman" w:cs="Times New Roman"/>
          <w:sz w:val="24"/>
          <w:szCs w:val="24"/>
        </w:rPr>
        <w:t>, Pensar por uno mismo, (la máxima de la ilustración), ponerse a sí mismo en el lugar de todos los demás (la máxima de la mentalidad engrandecida) y estar de acuerdo con uno mismo. El sentido común se distingue de los sentidos privados” (1992; pp. 70-72)</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lastRenderedPageBreak/>
        <w:t>“La ilustración significa en este contexto liberación de los prejuicios, de las autoridades, un evento purificador.” (1992; p.31)</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“La filosofía misma, de acuerdo a Kant, se ha vuelto crítica en la era de la crítica e ilustración, el tiempo en que el hombre ha llegado a una mayoría de edad.” (1992; p.32)</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“El resultado de tal criticismo es usar la propia mente, (…), crítica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 (…) Sería un error pensar que el pensamiento crítico se erige en algún lugar entre el dogmatismo y el escepticismo. Es en realidad un modo de dejar estas alternativas detrás.” (1992; p.32)</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 xml:space="preserve">“El pensar críticamente, el despejar el camino del pensamiento de prejuicios, a través de opiniones y creencias examinadas, es una vieja preocupación de la filosofía. (…) De acuerdo a Platón, esto se lograba gracias al arte del discernimiento. (Para Sócrates) una vida sin </w:t>
      </w:r>
      <w:proofErr w:type="spellStart"/>
      <w:r w:rsidRPr="00B90E05">
        <w:rPr>
          <w:rFonts w:ascii="Times New Roman" w:hAnsi="Times New Roman" w:cs="Times New Roman"/>
          <w:sz w:val="24"/>
          <w:szCs w:val="24"/>
        </w:rPr>
        <w:t>exámen</w:t>
      </w:r>
      <w:proofErr w:type="spellEnd"/>
      <w:r w:rsidRPr="00B90E05">
        <w:rPr>
          <w:rFonts w:ascii="Times New Roman" w:hAnsi="Times New Roman" w:cs="Times New Roman"/>
          <w:sz w:val="24"/>
          <w:szCs w:val="24"/>
        </w:rPr>
        <w:t xml:space="preserve"> de sí misma no merece ser vivida. (…) Con esto, mediante el discurso, hace público el proceso del pensamiento. (…) Para Sócrates es un asunto lógico, así como ético.” (1992; pp.36-37)</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“El arte del pensamiento crítico siempre ha tenido implicaciones políticas.” (1992; p.38)</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“El pensamiento crítico es en principio anti-autoritario” (1992; p.38)</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“El problema con los hombres de pensamiento crítico es que ellos &lt;hacen de los pilares de las verdades mejor conocidas, estremecerse cuandoquiera posan su mirada bajo ellos.&gt;” (</w:t>
      </w:r>
      <w:proofErr w:type="spellStart"/>
      <w:r w:rsidRPr="00B90E05">
        <w:rPr>
          <w:rFonts w:ascii="Times New Roman" w:hAnsi="Times New Roman" w:cs="Times New Roman"/>
          <w:sz w:val="24"/>
          <w:szCs w:val="24"/>
        </w:rPr>
        <w:t>Lessing</w:t>
      </w:r>
      <w:proofErr w:type="spellEnd"/>
      <w:r w:rsidRPr="00B90E05">
        <w:rPr>
          <w:rFonts w:ascii="Times New Roman" w:hAnsi="Times New Roman" w:cs="Times New Roman"/>
          <w:sz w:val="24"/>
          <w:szCs w:val="24"/>
        </w:rPr>
        <w:t xml:space="preserve"> citado en </w:t>
      </w:r>
      <w:proofErr w:type="spellStart"/>
      <w:r w:rsidRPr="00B90E05">
        <w:rPr>
          <w:rFonts w:ascii="Times New Roman" w:hAnsi="Times New Roman" w:cs="Times New Roman"/>
          <w:sz w:val="24"/>
          <w:szCs w:val="24"/>
        </w:rPr>
        <w:t>Arendt</w:t>
      </w:r>
      <w:proofErr w:type="spellEnd"/>
      <w:r w:rsidRPr="00B90E05">
        <w:rPr>
          <w:rFonts w:ascii="Times New Roman" w:hAnsi="Times New Roman" w:cs="Times New Roman"/>
          <w:sz w:val="24"/>
          <w:szCs w:val="24"/>
        </w:rPr>
        <w:t>, 1992; p.38)</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 xml:space="preserve">“El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w:t>
      </w:r>
      <w:r w:rsidRPr="00B90E05">
        <w:rPr>
          <w:rFonts w:ascii="Times New Roman" w:hAnsi="Times New Roman" w:cs="Times New Roman"/>
          <w:sz w:val="24"/>
          <w:szCs w:val="24"/>
        </w:rPr>
        <w:lastRenderedPageBreak/>
        <w:t>entendemos, es el derecho de un individuo de expresarse a sí mismo y sus opiniones, en orden a ser capaz de persuadir a otros para que compartan su perspectiva.” (1992; p.39)</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“La razón no está hecha para aislarnos, sino para poder comunicarnos con otros. (…) el factor de la publicidad es necesario para el pensamiento crítico.” (1992; p.40)</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“Como la partera ayuda al niño a poner bajo la luz, para ser inspeccionado, así Sócrates trae a la luz las implicaciones a ser inspeccionadas. (…) El pensamiento crítico en gran medida consiste en este tipo de análisis.” (1992; p.41)</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p>
    <w:p w:rsidR="00B90E05" w:rsidRPr="00B90E05" w:rsidRDefault="00B90E05" w:rsidP="00B90E05">
      <w:pPr>
        <w:spacing w:line="360" w:lineRule="auto"/>
        <w:jc w:val="both"/>
        <w:rPr>
          <w:rFonts w:ascii="Times New Roman" w:hAnsi="Times New Roman" w:cs="Times New Roman"/>
          <w:sz w:val="24"/>
          <w:szCs w:val="24"/>
        </w:rPr>
      </w:pPr>
      <w:r w:rsidRPr="00B90E05">
        <w:rPr>
          <w:rFonts w:ascii="Times New Roman" w:hAnsi="Times New Roman" w:cs="Times New Roman"/>
          <w:sz w:val="24"/>
          <w:szCs w:val="24"/>
        </w:rPr>
        <w:t>“El pensamiento crítico es posible solo donde la posición de los demás están abiertas a inspección. Por ello, el pensamiento crítico, aunque sea un asunto solitario, no se desentiende de los demás.” (1992; p.43)</w:t>
      </w:r>
    </w:p>
    <w:p w:rsidR="00F17107" w:rsidRPr="00B90E05" w:rsidRDefault="00B90E05" w:rsidP="00B90E05">
      <w:pPr>
        <w:spacing w:line="360" w:lineRule="auto"/>
        <w:jc w:val="both"/>
        <w:rPr>
          <w:sz w:val="24"/>
          <w:szCs w:val="24"/>
        </w:rPr>
      </w:pPr>
      <w:r w:rsidRPr="00B90E05">
        <w:rPr>
          <w:rFonts w:ascii="Times New Roman" w:hAnsi="Times New Roman" w:cs="Times New Roman"/>
          <w:sz w:val="24"/>
          <w:szCs w:val="24"/>
        </w:rPr>
        <w:t xml:space="preserve">“Pensar, de acuerdo al entendimiento ilustrado de Kant, es pensar por uno mismo.” </w:t>
      </w:r>
      <w:r w:rsidRPr="00B90E05">
        <w:rPr>
          <w:rFonts w:ascii="Times New Roman" w:hAnsi="Times New Roman" w:cs="Times New Roman"/>
          <w:sz w:val="24"/>
          <w:szCs w:val="24"/>
          <w:lang w:val="en-US"/>
        </w:rPr>
        <w:t>(1992; p.43)</w:t>
      </w:r>
      <w:bookmarkStart w:id="0" w:name="_GoBack"/>
      <w:bookmarkEnd w:id="0"/>
    </w:p>
    <w:sectPr w:rsidR="00F17107" w:rsidRPr="00B90E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05"/>
    <w:rsid w:val="00B90E05"/>
    <w:rsid w:val="00F171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848E"/>
  <w15:chartTrackingRefBased/>
  <w15:docId w15:val="{D0E45A9A-0A9D-4172-9B96-9E9F5369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E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1649</Words>
  <Characters>9074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cp:revision>
  <dcterms:created xsi:type="dcterms:W3CDTF">2024-07-07T22:15:00Z</dcterms:created>
  <dcterms:modified xsi:type="dcterms:W3CDTF">2024-07-07T22:23:00Z</dcterms:modified>
</cp:coreProperties>
</file>