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bookmarkStart w:id="0" w:name="_GoBack"/>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49FF511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6D5EAA" w:rsidRPr="00D44DD4">
        <w:rPr>
          <w:rFonts w:ascii="Times New Roman" w:hAnsi="Times New Roman"/>
          <w:sz w:val="24"/>
          <w:szCs w:val="24"/>
        </w:rPr>
        <w:tab/>
      </w:r>
      <w:r w:rsidR="006D5EAA" w:rsidRPr="00D44DD4">
        <w:rPr>
          <w:rFonts w:ascii="Times New Roman" w:hAnsi="Times New Roman"/>
          <w:sz w:val="24"/>
          <w:szCs w:val="24"/>
        </w:rPr>
        <w:tab/>
      </w:r>
      <w:r w:rsidR="00B32A74" w:rsidRPr="00D44DD4">
        <w:rPr>
          <w:rFonts w:ascii="Times New Roman" w:hAnsi="Times New Roman"/>
          <w:sz w:val="24"/>
          <w:szCs w:val="24"/>
        </w:rPr>
        <w:t>………………………</w:t>
      </w:r>
      <w:r w:rsidR="00F75518" w:rsidRPr="00D44DD4">
        <w:rPr>
          <w:rFonts w:ascii="Times New Roman" w:hAnsi="Times New Roman"/>
          <w:sz w:val="24"/>
          <w:szCs w:val="24"/>
        </w:rPr>
        <w:t>……………………………………………. P.8</w:t>
      </w:r>
    </w:p>
    <w:p w14:paraId="28731DB5" w14:textId="15D9A7A9"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Capítulo </w:t>
      </w:r>
      <w:r w:rsidRPr="00D44DD4">
        <w:rPr>
          <w:rFonts w:ascii="Times New Roman" w:hAnsi="Times New Roman"/>
          <w:sz w:val="24"/>
          <w:szCs w:val="24"/>
        </w:rPr>
        <w:t>2</w:t>
      </w:r>
      <w:r w:rsidRPr="00D44DD4">
        <w:rPr>
          <w:rFonts w:ascii="Times New Roman" w:hAnsi="Times New Roman"/>
          <w:sz w:val="24"/>
          <w:szCs w:val="24"/>
        </w:rPr>
        <w:tab/>
      </w:r>
      <w:r w:rsidRPr="00D44DD4">
        <w:rPr>
          <w:rFonts w:ascii="Times New Roman" w:hAnsi="Times New Roman"/>
          <w:sz w:val="24"/>
          <w:szCs w:val="24"/>
        </w:rPr>
        <w:tab/>
        <w:t>………………………</w:t>
      </w:r>
      <w:r w:rsidRPr="00D44DD4">
        <w:rPr>
          <w:rFonts w:ascii="Times New Roman" w:hAnsi="Times New Roman"/>
          <w:sz w:val="24"/>
          <w:szCs w:val="24"/>
        </w:rPr>
        <w:t>……………………………………………. P.46</w:t>
      </w:r>
    </w:p>
    <w:p w14:paraId="5CA3ADCF" w14:textId="7B37D855"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8455F3" w:rsidRPr="00D44DD4">
        <w:rPr>
          <w:rFonts w:ascii="Times New Roman" w:hAnsi="Times New Roman"/>
          <w:sz w:val="24"/>
          <w:szCs w:val="24"/>
        </w:rPr>
        <w:t>47</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10712EE1" w:rsidR="00C4780B" w:rsidRPr="00D44DD4"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416D56F7" w:rsidR="00867B89" w:rsidRPr="00D44DD4" w:rsidRDefault="00142CCE"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 xml:space="preserve">Introducción </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4B22AA41" w:rsidR="002E7504" w:rsidRPr="00D44DD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7487ABE6" w14:textId="74E2D60C" w:rsidR="002E7504" w:rsidRPr="00D44DD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18A76935" w14:textId="3617EBA2" w:rsidR="00D205C9" w:rsidRPr="00D44DD4" w:rsidRDefault="00B66254" w:rsidP="00D205C9">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w:t>
      </w:r>
      <w:r w:rsidR="00AF356E" w:rsidRPr="00D44DD4">
        <w:rPr>
          <w:rFonts w:ascii="Times New Roman" w:hAnsi="Times New Roman"/>
          <w:sz w:val="24"/>
          <w:szCs w:val="24"/>
        </w:rPr>
        <w:lastRenderedPageBreak/>
        <w:t>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BD51574" w14:textId="28089E29" w:rsidR="0051097B" w:rsidRPr="00D44DD4" w:rsidRDefault="003415C9"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DA8524C" w14:textId="0BCB92D8" w:rsidR="003952F2" w:rsidRPr="00D44DD4" w:rsidRDefault="003952F2"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o bien, si las leyes o lo civil, o acaso, el huevo o la gallina;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2E2D3B60" w14:textId="58A1522D" w:rsidR="00FE1D01" w:rsidRPr="00D44DD4" w:rsidRDefault="00AF356E" w:rsidP="00FD640E">
      <w:pPr>
        <w:spacing w:line="360" w:lineRule="auto"/>
        <w:ind w:left="0"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p>
    <w:p w14:paraId="60DDCCBB" w14:textId="1D31E55F" w:rsidR="00146F30" w:rsidRPr="00D44DD4" w:rsidRDefault="0088383A"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Una motivación suficiente para investigar sobre teoría política y pedagógica puede fácilmente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w:t>
      </w:r>
      <w:r w:rsidR="009F33DB" w:rsidRPr="00D44DD4">
        <w:rPr>
          <w:rFonts w:ascii="Times New Roman" w:hAnsi="Times New Roman"/>
          <w:sz w:val="24"/>
          <w:szCs w:val="24"/>
        </w:rPr>
        <w:lastRenderedPageBreak/>
        <w:t xml:space="preserve">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4D7EA754" w:rsidR="002E7504" w:rsidRPr="00D44DD4" w:rsidRDefault="00082AEC"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616793CB" w14:textId="77777777" w:rsidR="00081ABA" w:rsidRPr="00D44DD4" w:rsidRDefault="00146F30" w:rsidP="006D5EAA">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61B978AE" w14:textId="13709743" w:rsidR="00906364" w:rsidRPr="00D44DD4" w:rsidRDefault="00D0232F" w:rsidP="006D5EAA">
      <w:pPr>
        <w:spacing w:line="360" w:lineRule="auto"/>
        <w:ind w:left="0" w:firstLine="708"/>
        <w:rPr>
          <w:rFonts w:ascii="Times New Roman" w:hAnsi="Times New Roman"/>
          <w:sz w:val="24"/>
          <w:szCs w:val="24"/>
        </w:rPr>
      </w:pPr>
      <w:r w:rsidRPr="00D44DD4">
        <w:rPr>
          <w:rFonts w:ascii="Times New Roman" w:hAnsi="Times New Roman"/>
          <w:sz w:val="24"/>
          <w:szCs w:val="24"/>
        </w:rPr>
        <w:t>Seguramente un autor como 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desarrollo de las conductas políticas.</w:t>
      </w:r>
    </w:p>
    <w:p w14:paraId="591D046C" w14:textId="32EBCA9B" w:rsidR="00C86637" w:rsidRPr="00D44DD4" w:rsidRDefault="00C86637"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 xml:space="preserve">Esta investigación propone </w:t>
      </w:r>
      <w:r w:rsidRPr="00D44DD4">
        <w:rPr>
          <w:rFonts w:ascii="Times New Roman" w:hAnsi="Times New Roman"/>
          <w:sz w:val="24"/>
          <w:szCs w:val="24"/>
        </w:rPr>
        <w:t xml:space="preserve">establecer cuatro ejes de desarrollo, que admitan un marco suficiente para poder responder a la pregunta: ¿Qué importancia tiene la educación en el pensamiento </w:t>
      </w:r>
      <w:r w:rsidRPr="00D44DD4">
        <w:rPr>
          <w:rFonts w:ascii="Times New Roman" w:hAnsi="Times New Roman"/>
          <w:sz w:val="24"/>
          <w:szCs w:val="24"/>
        </w:rPr>
        <w:lastRenderedPageBreak/>
        <w:t>político de Kant?</w:t>
      </w:r>
      <w:r w:rsidR="00081ABA" w:rsidRPr="00D44DD4">
        <w:rPr>
          <w:rFonts w:ascii="Times New Roman" w:hAnsi="Times New Roman"/>
          <w:sz w:val="24"/>
          <w:szCs w:val="24"/>
        </w:rPr>
        <w:t xml:space="preserve"> </w:t>
      </w:r>
      <w:r w:rsidRPr="00D44DD4">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D44DD4">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sidRPr="00D44DD4">
        <w:rPr>
          <w:rFonts w:ascii="Times New Roman" w:hAnsi="Times New Roman"/>
          <w:sz w:val="24"/>
          <w:szCs w:val="24"/>
        </w:rPr>
        <w:t xml:space="preserve"> Para este apartado será necesario atender a las ideas de autores tales como Kant</w:t>
      </w:r>
      <w:r w:rsidR="001C3C74" w:rsidRPr="00D44DD4">
        <w:rPr>
          <w:rFonts w:ascii="Times New Roman" w:hAnsi="Times New Roman"/>
          <w:sz w:val="24"/>
          <w:szCs w:val="24"/>
        </w:rPr>
        <w:t xml:space="preserve"> (</w:t>
      </w:r>
      <w:r w:rsidR="006B3C72" w:rsidRPr="00D44DD4">
        <w:rPr>
          <w:rFonts w:ascii="Times New Roman" w:hAnsi="Times New Roman"/>
          <w:sz w:val="24"/>
          <w:szCs w:val="24"/>
        </w:rPr>
        <w:t>1998, 2007, 1964, 1980, 1988, 1991, 2000, 2005 y 2008</w:t>
      </w:r>
      <w:r w:rsidR="001C3C74" w:rsidRPr="00D44DD4">
        <w:rPr>
          <w:rFonts w:ascii="Times New Roman" w:hAnsi="Times New Roman"/>
          <w:sz w:val="24"/>
          <w:szCs w:val="24"/>
        </w:rPr>
        <w:t>)</w:t>
      </w:r>
      <w:r w:rsidR="00221647" w:rsidRPr="00D44DD4">
        <w:rPr>
          <w:rFonts w:ascii="Times New Roman" w:hAnsi="Times New Roman"/>
          <w:sz w:val="24"/>
          <w:szCs w:val="24"/>
        </w:rPr>
        <w:t xml:space="preserve">, </w:t>
      </w:r>
      <w:r w:rsidR="001C3C74" w:rsidRPr="00D44DD4">
        <w:rPr>
          <w:rFonts w:ascii="Times New Roman" w:hAnsi="Times New Roman"/>
          <w:sz w:val="24"/>
          <w:szCs w:val="24"/>
        </w:rPr>
        <w:t xml:space="preserve">Gómez (1983), </w:t>
      </w:r>
      <w:proofErr w:type="spellStart"/>
      <w:r w:rsidR="001C3C74" w:rsidRPr="00D44DD4">
        <w:rPr>
          <w:rFonts w:ascii="Times New Roman" w:hAnsi="Times New Roman"/>
          <w:sz w:val="24"/>
          <w:szCs w:val="24"/>
        </w:rPr>
        <w:t>Korner</w:t>
      </w:r>
      <w:proofErr w:type="spellEnd"/>
      <w:r w:rsidR="001C3C74" w:rsidRPr="00D44DD4">
        <w:rPr>
          <w:rFonts w:ascii="Times New Roman" w:hAnsi="Times New Roman"/>
          <w:sz w:val="24"/>
          <w:szCs w:val="24"/>
        </w:rPr>
        <w:t xml:space="preserve"> (1995), </w:t>
      </w:r>
      <w:proofErr w:type="spellStart"/>
      <w:r w:rsidR="001C3C74" w:rsidRPr="00D44DD4">
        <w:rPr>
          <w:rFonts w:ascii="Times New Roman" w:hAnsi="Times New Roman"/>
          <w:sz w:val="24"/>
          <w:szCs w:val="24"/>
        </w:rPr>
        <w:t>Krauss</w:t>
      </w:r>
      <w:proofErr w:type="spellEnd"/>
      <w:r w:rsidR="001C3C74" w:rsidRPr="00D44DD4">
        <w:rPr>
          <w:rFonts w:ascii="Times New Roman" w:hAnsi="Times New Roman"/>
          <w:sz w:val="24"/>
          <w:szCs w:val="24"/>
        </w:rPr>
        <w:t xml:space="preserve"> (2020), O´Neill (1986), Reiss (1991), </w:t>
      </w:r>
      <w:proofErr w:type="spellStart"/>
      <w:r w:rsidR="001C3C74" w:rsidRPr="00D44DD4">
        <w:rPr>
          <w:rFonts w:ascii="Times New Roman" w:hAnsi="Times New Roman"/>
          <w:sz w:val="24"/>
          <w:szCs w:val="24"/>
        </w:rPr>
        <w:t>Arendt</w:t>
      </w:r>
      <w:proofErr w:type="spellEnd"/>
      <w:r w:rsidR="001C3C74" w:rsidRPr="00D44DD4">
        <w:rPr>
          <w:rFonts w:ascii="Times New Roman" w:hAnsi="Times New Roman"/>
          <w:sz w:val="24"/>
          <w:szCs w:val="24"/>
        </w:rPr>
        <w:t xml:space="preserve"> (1992), </w:t>
      </w:r>
      <w:proofErr w:type="spellStart"/>
      <w:r w:rsidR="001C3C74" w:rsidRPr="00D44DD4">
        <w:rPr>
          <w:rFonts w:ascii="Times New Roman" w:hAnsi="Times New Roman"/>
          <w:sz w:val="24"/>
          <w:szCs w:val="24"/>
        </w:rPr>
        <w:t>Agazzi</w:t>
      </w:r>
      <w:proofErr w:type="spellEnd"/>
      <w:r w:rsidR="001C3C74" w:rsidRPr="00D44DD4">
        <w:rPr>
          <w:rFonts w:ascii="Times New Roman" w:hAnsi="Times New Roman"/>
          <w:sz w:val="24"/>
          <w:szCs w:val="24"/>
        </w:rPr>
        <w:t xml:space="preserve"> (1966), </w:t>
      </w:r>
      <w:proofErr w:type="spellStart"/>
      <w:r w:rsidR="00016F85" w:rsidRPr="00D44DD4">
        <w:rPr>
          <w:rFonts w:ascii="Times New Roman" w:hAnsi="Times New Roman"/>
          <w:sz w:val="24"/>
          <w:szCs w:val="24"/>
        </w:rPr>
        <w:t>Cassirer</w:t>
      </w:r>
      <w:proofErr w:type="spellEnd"/>
      <w:r w:rsidR="00016F85" w:rsidRPr="00D44DD4">
        <w:rPr>
          <w:rFonts w:ascii="Times New Roman" w:hAnsi="Times New Roman"/>
          <w:sz w:val="24"/>
          <w:szCs w:val="24"/>
        </w:rPr>
        <w:t xml:space="preserve"> (1985), </w:t>
      </w:r>
      <w:proofErr w:type="spellStart"/>
      <w:r w:rsidR="00016F85" w:rsidRPr="00D44DD4">
        <w:rPr>
          <w:rFonts w:ascii="Times New Roman" w:hAnsi="Times New Roman"/>
          <w:sz w:val="24"/>
          <w:szCs w:val="24"/>
        </w:rPr>
        <w:t>Goldmann</w:t>
      </w:r>
      <w:proofErr w:type="spellEnd"/>
      <w:r w:rsidR="00016F85" w:rsidRPr="00D44DD4">
        <w:rPr>
          <w:rFonts w:ascii="Times New Roman" w:hAnsi="Times New Roman"/>
          <w:sz w:val="24"/>
          <w:szCs w:val="24"/>
        </w:rPr>
        <w:t xml:space="preserve"> (1945), </w:t>
      </w:r>
      <w:proofErr w:type="spellStart"/>
      <w:r w:rsidR="00016F85" w:rsidRPr="00D44DD4">
        <w:rPr>
          <w:rFonts w:ascii="Times New Roman" w:hAnsi="Times New Roman"/>
          <w:sz w:val="24"/>
          <w:szCs w:val="24"/>
        </w:rPr>
        <w:t>Lacroix</w:t>
      </w:r>
      <w:proofErr w:type="spellEnd"/>
      <w:r w:rsidR="00016F85" w:rsidRPr="00D44DD4">
        <w:rPr>
          <w:rFonts w:ascii="Times New Roman" w:hAnsi="Times New Roman"/>
          <w:sz w:val="24"/>
          <w:szCs w:val="24"/>
        </w:rPr>
        <w:t xml:space="preserve"> (1969), </w:t>
      </w:r>
      <w:proofErr w:type="spellStart"/>
      <w:r w:rsidR="00016F85" w:rsidRPr="00D44DD4">
        <w:rPr>
          <w:rFonts w:ascii="Times New Roman" w:hAnsi="Times New Roman"/>
          <w:sz w:val="24"/>
          <w:szCs w:val="24"/>
        </w:rPr>
        <w:t>Maritain</w:t>
      </w:r>
      <w:proofErr w:type="spellEnd"/>
      <w:r w:rsidR="00016F85" w:rsidRPr="00D44DD4">
        <w:rPr>
          <w:rFonts w:ascii="Times New Roman" w:hAnsi="Times New Roman"/>
          <w:sz w:val="24"/>
          <w:szCs w:val="24"/>
        </w:rPr>
        <w:t xml:space="preserve"> (1962), Pereira (2004), </w:t>
      </w:r>
      <w:proofErr w:type="spellStart"/>
      <w:r w:rsidR="00016F85" w:rsidRPr="00D44DD4">
        <w:rPr>
          <w:rFonts w:ascii="Times New Roman" w:hAnsi="Times New Roman"/>
          <w:sz w:val="24"/>
          <w:szCs w:val="24"/>
        </w:rPr>
        <w:t>Caviglia</w:t>
      </w:r>
      <w:proofErr w:type="spellEnd"/>
      <w:r w:rsidR="00016F85" w:rsidRPr="00D44DD4">
        <w:rPr>
          <w:rFonts w:ascii="Times New Roman" w:hAnsi="Times New Roman"/>
          <w:sz w:val="24"/>
          <w:szCs w:val="24"/>
        </w:rPr>
        <w:t xml:space="preserve"> (2005) y </w:t>
      </w:r>
      <w:proofErr w:type="spellStart"/>
      <w:r w:rsidR="00016F85" w:rsidRPr="00D44DD4">
        <w:rPr>
          <w:rFonts w:ascii="Times New Roman" w:hAnsi="Times New Roman"/>
          <w:sz w:val="24"/>
          <w:szCs w:val="24"/>
        </w:rPr>
        <w:t>Euchner</w:t>
      </w:r>
      <w:proofErr w:type="spellEnd"/>
      <w:r w:rsidR="00016F85" w:rsidRPr="00D44DD4">
        <w:rPr>
          <w:rFonts w:ascii="Times New Roman" w:hAnsi="Times New Roman"/>
          <w:sz w:val="24"/>
          <w:szCs w:val="24"/>
        </w:rPr>
        <w:t xml:space="preserve"> (1974)</w:t>
      </w:r>
      <w:r w:rsidR="005C0AC4" w:rsidRPr="00D44DD4">
        <w:rPr>
          <w:rFonts w:ascii="Times New Roman" w:hAnsi="Times New Roman"/>
          <w:sz w:val="24"/>
          <w:szCs w:val="24"/>
        </w:rPr>
        <w:t xml:space="preserve">, entre otros. </w:t>
      </w:r>
    </w:p>
    <w:p w14:paraId="2DFFF969" w14:textId="0BFDF3B5" w:rsidR="00FD640E" w:rsidRPr="00D44DD4" w:rsidRDefault="00FD640E"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sidRPr="00D44DD4">
        <w:rPr>
          <w:rFonts w:ascii="Times New Roman" w:hAnsi="Times New Roman"/>
          <w:sz w:val="24"/>
          <w:szCs w:val="24"/>
        </w:rPr>
        <w:t>horizonte</w:t>
      </w:r>
      <w:r w:rsidRPr="00D44DD4">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sidRPr="00D44DD4">
        <w:rPr>
          <w:rFonts w:ascii="Times New Roman" w:hAnsi="Times New Roman"/>
          <w:sz w:val="24"/>
          <w:szCs w:val="24"/>
        </w:rPr>
        <w:t xml:space="preserve">educación </w:t>
      </w:r>
      <w:r w:rsidRPr="00D44DD4">
        <w:rPr>
          <w:rFonts w:ascii="Times New Roman" w:hAnsi="Times New Roman"/>
          <w:sz w:val="24"/>
          <w:szCs w:val="24"/>
        </w:rPr>
        <w:t>técnica en detrimento del humanismo</w:t>
      </w:r>
      <w:r w:rsidR="00FF1D48" w:rsidRPr="00D44DD4">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sidRPr="00D44DD4">
        <w:rPr>
          <w:rFonts w:ascii="Times New Roman" w:hAnsi="Times New Roman"/>
          <w:sz w:val="24"/>
          <w:szCs w:val="24"/>
        </w:rPr>
        <w:t xml:space="preserve">En </w:t>
      </w:r>
      <w:r w:rsidR="00CD22AF" w:rsidRPr="00D44DD4">
        <w:rPr>
          <w:rFonts w:ascii="Times New Roman" w:hAnsi="Times New Roman"/>
          <w:sz w:val="24"/>
          <w:szCs w:val="24"/>
        </w:rPr>
        <w:t>el Perú, 22 de cada 100 estudiantes no termin</w:t>
      </w:r>
      <w:r w:rsidR="008F0E12" w:rsidRPr="00D44DD4">
        <w:rPr>
          <w:rFonts w:ascii="Times New Roman" w:hAnsi="Times New Roman"/>
          <w:sz w:val="24"/>
          <w:szCs w:val="24"/>
        </w:rPr>
        <w:t>a</w:t>
      </w:r>
      <w:r w:rsidR="00CD22AF" w:rsidRPr="00D44DD4">
        <w:rPr>
          <w:rFonts w:ascii="Times New Roman" w:hAnsi="Times New Roman"/>
          <w:sz w:val="24"/>
          <w:szCs w:val="24"/>
        </w:rPr>
        <w:t>n los estudios escolares,</w:t>
      </w:r>
      <w:r w:rsidR="008F0E12" w:rsidRPr="00D44DD4">
        <w:rPr>
          <w:rFonts w:ascii="Times New Roman" w:hAnsi="Times New Roman"/>
          <w:sz w:val="24"/>
          <w:szCs w:val="24"/>
        </w:rPr>
        <w:t xml:space="preserve"> sin embargo,</w:t>
      </w:r>
      <w:r w:rsidR="00CD22AF" w:rsidRPr="00D44DD4">
        <w:rPr>
          <w:rFonts w:ascii="Times New Roman" w:hAnsi="Times New Roman"/>
          <w:sz w:val="24"/>
          <w:szCs w:val="24"/>
        </w:rPr>
        <w:t xml:space="preserve"> la educación trasciende lo académico, y su necesidad se impone al margen de la certificación</w:t>
      </w:r>
      <w:r w:rsidR="008F0E12" w:rsidRPr="00D44DD4">
        <w:rPr>
          <w:rFonts w:ascii="Times New Roman" w:hAnsi="Times New Roman"/>
          <w:sz w:val="24"/>
          <w:szCs w:val="24"/>
        </w:rPr>
        <w:t xml:space="preserve">, ya que su sentido político se asocia más a lo ético que a la erudición o capacitación técnica. </w:t>
      </w:r>
      <w:r w:rsidR="005C0AC4" w:rsidRPr="00D44DD4">
        <w:rPr>
          <w:rFonts w:ascii="Times New Roman" w:hAnsi="Times New Roman"/>
          <w:sz w:val="24"/>
          <w:szCs w:val="24"/>
        </w:rPr>
        <w:t xml:space="preserve">Para este apartado hace falta revisar las ideas de </w:t>
      </w:r>
      <w:proofErr w:type="spellStart"/>
      <w:r w:rsidR="006B3C72" w:rsidRPr="00D44DD4">
        <w:rPr>
          <w:rFonts w:ascii="Times New Roman" w:hAnsi="Times New Roman"/>
          <w:sz w:val="24"/>
          <w:szCs w:val="24"/>
        </w:rPr>
        <w:t>Agazzi</w:t>
      </w:r>
      <w:proofErr w:type="spellEnd"/>
      <w:r w:rsidR="006B3C72" w:rsidRPr="00D44DD4">
        <w:rPr>
          <w:rFonts w:ascii="Times New Roman" w:hAnsi="Times New Roman"/>
          <w:sz w:val="24"/>
          <w:szCs w:val="24"/>
        </w:rPr>
        <w:t xml:space="preserve"> (1966), </w:t>
      </w:r>
      <w:proofErr w:type="spellStart"/>
      <w:r w:rsidR="006B3C72" w:rsidRPr="00D44DD4">
        <w:rPr>
          <w:rFonts w:ascii="Times New Roman" w:hAnsi="Times New Roman"/>
          <w:sz w:val="24"/>
          <w:szCs w:val="24"/>
        </w:rPr>
        <w:t>Arendt</w:t>
      </w:r>
      <w:proofErr w:type="spellEnd"/>
      <w:r w:rsidR="006B3C72" w:rsidRPr="00D44DD4">
        <w:rPr>
          <w:rFonts w:ascii="Times New Roman" w:hAnsi="Times New Roman"/>
          <w:sz w:val="24"/>
          <w:szCs w:val="24"/>
        </w:rPr>
        <w:t xml:space="preserve"> (1992 y 2018), O´Neill (1986), </w:t>
      </w:r>
      <w:proofErr w:type="spellStart"/>
      <w:r w:rsidR="006B3C72" w:rsidRPr="00D44DD4">
        <w:rPr>
          <w:rFonts w:ascii="Times New Roman" w:hAnsi="Times New Roman"/>
          <w:sz w:val="24"/>
          <w:szCs w:val="24"/>
        </w:rPr>
        <w:t>Rorty</w:t>
      </w:r>
      <w:proofErr w:type="spellEnd"/>
      <w:r w:rsidR="006B3C72" w:rsidRPr="00D44DD4">
        <w:rPr>
          <w:rFonts w:ascii="Times New Roman" w:hAnsi="Times New Roman"/>
          <w:sz w:val="24"/>
          <w:szCs w:val="24"/>
        </w:rPr>
        <w:t xml:space="preserve"> (1995) </w:t>
      </w:r>
      <w:proofErr w:type="spellStart"/>
      <w:r w:rsidR="006B3C72" w:rsidRPr="00D44DD4">
        <w:rPr>
          <w:rFonts w:ascii="Times New Roman" w:hAnsi="Times New Roman"/>
          <w:sz w:val="24"/>
          <w:szCs w:val="24"/>
        </w:rPr>
        <w:t>Vandewalle</w:t>
      </w:r>
      <w:proofErr w:type="spellEnd"/>
      <w:r w:rsidR="006B3C72" w:rsidRPr="00D44DD4">
        <w:rPr>
          <w:rFonts w:ascii="Times New Roman" w:hAnsi="Times New Roman"/>
          <w:sz w:val="24"/>
          <w:szCs w:val="24"/>
        </w:rPr>
        <w:t xml:space="preserve"> (2005), </w:t>
      </w:r>
      <w:proofErr w:type="spellStart"/>
      <w:r w:rsidR="006B3C72" w:rsidRPr="00D44DD4">
        <w:rPr>
          <w:rFonts w:ascii="Times New Roman" w:hAnsi="Times New Roman"/>
          <w:sz w:val="24"/>
          <w:szCs w:val="24"/>
        </w:rPr>
        <w:t>Nussbaum</w:t>
      </w:r>
      <w:proofErr w:type="spellEnd"/>
      <w:r w:rsidR="006B3C72" w:rsidRPr="00D44DD4">
        <w:rPr>
          <w:rFonts w:ascii="Times New Roman" w:hAnsi="Times New Roman"/>
          <w:sz w:val="24"/>
          <w:szCs w:val="24"/>
        </w:rPr>
        <w:t xml:space="preserve"> (2010), Figueroa (2006), </w:t>
      </w:r>
      <w:r w:rsidR="00081ABA" w:rsidRPr="00D44DD4">
        <w:rPr>
          <w:rFonts w:ascii="Times New Roman" w:hAnsi="Times New Roman"/>
          <w:sz w:val="24"/>
          <w:szCs w:val="24"/>
        </w:rPr>
        <w:t>Pereira (2004), Caviglia (2017)</w:t>
      </w:r>
      <w:r w:rsidR="006B3C72" w:rsidRPr="00D44DD4">
        <w:rPr>
          <w:rFonts w:ascii="Times New Roman" w:hAnsi="Times New Roman"/>
          <w:sz w:val="24"/>
          <w:szCs w:val="24"/>
        </w:rPr>
        <w:t xml:space="preserve"> y Falla (2022), entre otros. </w:t>
      </w:r>
    </w:p>
    <w:p w14:paraId="1E8F076D" w14:textId="41631DB2" w:rsidR="000C28E2" w:rsidRPr="00D44DD4" w:rsidRDefault="000C28E2"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En tercer lugar, y considerando el marco político</w:t>
      </w:r>
      <w:r w:rsidR="00956B83" w:rsidRPr="00D44DD4">
        <w:rPr>
          <w:rFonts w:ascii="Times New Roman" w:hAnsi="Times New Roman"/>
          <w:sz w:val="24"/>
          <w:szCs w:val="24"/>
        </w:rPr>
        <w:t xml:space="preserve"> </w:t>
      </w:r>
      <w:r w:rsidRPr="00D44DD4">
        <w:rPr>
          <w:rFonts w:ascii="Times New Roman" w:hAnsi="Times New Roman"/>
          <w:sz w:val="24"/>
          <w:szCs w:val="24"/>
        </w:rPr>
        <w:t xml:space="preserve">que ofrece A. Caviglia (2005): paz, libertad y rechazo a la tiranía, pero también el sentido de la tolerancia de la razón pública que desarrolla O. O´Neill (1986) y el sentido de justificación que elabora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(2015)</w:t>
      </w:r>
      <w:r w:rsidR="00BE5392" w:rsidRPr="00D44DD4">
        <w:rPr>
          <w:rFonts w:ascii="Times New Roman" w:hAnsi="Times New Roman"/>
          <w:sz w:val="24"/>
          <w:szCs w:val="24"/>
        </w:rPr>
        <w:t>,</w:t>
      </w:r>
      <w:r w:rsidR="00956B83" w:rsidRPr="00D44DD4">
        <w:rPr>
          <w:rFonts w:ascii="Times New Roman" w:hAnsi="Times New Roman"/>
          <w:sz w:val="24"/>
          <w:szCs w:val="24"/>
        </w:rPr>
        <w:t xml:space="preserve"> así como la interpretación de las ideas kantianas como un republicanismo cosmopolita,</w:t>
      </w:r>
      <w:r w:rsidR="00BE5392" w:rsidRPr="00D44DD4">
        <w:rPr>
          <w:rFonts w:ascii="Times New Roman" w:hAnsi="Times New Roman"/>
          <w:sz w:val="24"/>
          <w:szCs w:val="24"/>
        </w:rPr>
        <w:t xml:space="preserve"> </w:t>
      </w:r>
      <w:r w:rsidRPr="00D44DD4">
        <w:rPr>
          <w:rFonts w:ascii="Times New Roman" w:hAnsi="Times New Roman"/>
          <w:sz w:val="24"/>
          <w:szCs w:val="24"/>
        </w:rPr>
        <w:t xml:space="preserve">se busca ahondar en los escritos y propuestas pedagógicas, para extraer sus implicaciones y relaciones con los temas previamente establecidos. </w:t>
      </w:r>
      <w:r w:rsidR="006B3C72" w:rsidRPr="00D44DD4">
        <w:rPr>
          <w:rFonts w:ascii="Times New Roman" w:hAnsi="Times New Roman"/>
          <w:sz w:val="24"/>
          <w:szCs w:val="24"/>
        </w:rPr>
        <w:t xml:space="preserve">Para este apartado es necesario atender a las ideas expuestas por Kant (1988, 2009 y 2007), Figueroa (2006), </w:t>
      </w:r>
      <w:proofErr w:type="spellStart"/>
      <w:r w:rsidR="006B3C72" w:rsidRPr="00D44DD4">
        <w:rPr>
          <w:rFonts w:ascii="Times New Roman" w:hAnsi="Times New Roman"/>
          <w:sz w:val="24"/>
          <w:szCs w:val="24"/>
        </w:rPr>
        <w:t>Agazzi</w:t>
      </w:r>
      <w:proofErr w:type="spellEnd"/>
      <w:r w:rsidR="006B3C72" w:rsidRPr="00D44DD4">
        <w:rPr>
          <w:rFonts w:ascii="Times New Roman" w:hAnsi="Times New Roman"/>
          <w:sz w:val="24"/>
          <w:szCs w:val="24"/>
        </w:rPr>
        <w:t xml:space="preserve"> (1986), </w:t>
      </w:r>
      <w:proofErr w:type="spellStart"/>
      <w:r w:rsidR="006B3C72" w:rsidRPr="00D44DD4">
        <w:rPr>
          <w:rFonts w:ascii="Times New Roman" w:hAnsi="Times New Roman"/>
          <w:sz w:val="24"/>
          <w:szCs w:val="24"/>
        </w:rPr>
        <w:t>Lacroix</w:t>
      </w:r>
      <w:proofErr w:type="spellEnd"/>
      <w:r w:rsidR="006B3C72" w:rsidRPr="00D44DD4">
        <w:rPr>
          <w:rFonts w:ascii="Times New Roman" w:hAnsi="Times New Roman"/>
          <w:sz w:val="24"/>
          <w:szCs w:val="24"/>
        </w:rPr>
        <w:t xml:space="preserve"> (1969), </w:t>
      </w:r>
      <w:proofErr w:type="spellStart"/>
      <w:r w:rsidR="006B3C72" w:rsidRPr="00D44DD4">
        <w:rPr>
          <w:rFonts w:ascii="Times New Roman" w:hAnsi="Times New Roman"/>
          <w:sz w:val="24"/>
          <w:szCs w:val="24"/>
        </w:rPr>
        <w:t>Vandewalle</w:t>
      </w:r>
      <w:proofErr w:type="spellEnd"/>
      <w:r w:rsidR="006B3C72" w:rsidRPr="00D44DD4">
        <w:rPr>
          <w:rFonts w:ascii="Times New Roman" w:hAnsi="Times New Roman"/>
          <w:sz w:val="24"/>
          <w:szCs w:val="24"/>
        </w:rPr>
        <w:t xml:space="preserve"> (2005), </w:t>
      </w:r>
      <w:proofErr w:type="spellStart"/>
      <w:r w:rsidR="006B3C72" w:rsidRPr="00D44DD4">
        <w:rPr>
          <w:rFonts w:ascii="Times New Roman" w:hAnsi="Times New Roman"/>
          <w:sz w:val="24"/>
          <w:szCs w:val="24"/>
        </w:rPr>
        <w:t>Caviglia</w:t>
      </w:r>
      <w:proofErr w:type="spellEnd"/>
      <w:r w:rsidR="006B3C72" w:rsidRPr="00D44DD4">
        <w:rPr>
          <w:rFonts w:ascii="Times New Roman" w:hAnsi="Times New Roman"/>
          <w:sz w:val="24"/>
          <w:szCs w:val="24"/>
        </w:rPr>
        <w:t xml:space="preserve"> (2005 y 2017), </w:t>
      </w:r>
      <w:proofErr w:type="spellStart"/>
      <w:r w:rsidR="006B3C72" w:rsidRPr="00D44DD4">
        <w:rPr>
          <w:rFonts w:ascii="Times New Roman" w:hAnsi="Times New Roman"/>
          <w:sz w:val="24"/>
          <w:szCs w:val="24"/>
        </w:rPr>
        <w:t>Euchner</w:t>
      </w:r>
      <w:proofErr w:type="spellEnd"/>
      <w:r w:rsidR="006B3C72" w:rsidRPr="00D44DD4">
        <w:rPr>
          <w:rFonts w:ascii="Times New Roman" w:hAnsi="Times New Roman"/>
          <w:sz w:val="24"/>
          <w:szCs w:val="24"/>
        </w:rPr>
        <w:t xml:space="preserve"> (1974), O´Neill (1986) y </w:t>
      </w:r>
      <w:proofErr w:type="spellStart"/>
      <w:r w:rsidR="006B3C72" w:rsidRPr="00D44DD4">
        <w:rPr>
          <w:rFonts w:ascii="Times New Roman" w:hAnsi="Times New Roman"/>
          <w:sz w:val="24"/>
          <w:szCs w:val="24"/>
        </w:rPr>
        <w:t>Forst</w:t>
      </w:r>
      <w:proofErr w:type="spellEnd"/>
      <w:r w:rsidR="006B3C72" w:rsidRPr="00D44DD4">
        <w:rPr>
          <w:rFonts w:ascii="Times New Roman" w:hAnsi="Times New Roman"/>
          <w:sz w:val="24"/>
          <w:szCs w:val="24"/>
        </w:rPr>
        <w:t xml:space="preserve"> (2015), entre otros. </w:t>
      </w:r>
    </w:p>
    <w:p w14:paraId="56C1B7D1" w14:textId="179782AA" w:rsidR="00956B83" w:rsidRPr="00D44DD4" w:rsidRDefault="00956B83"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En cuarto, y último lugar, se pretende concluir la necesidad e importancia de la educación</w:t>
      </w:r>
      <w:r w:rsidR="00805613" w:rsidRPr="00D44DD4">
        <w:rPr>
          <w:rFonts w:ascii="Times New Roman" w:hAnsi="Times New Roman"/>
          <w:sz w:val="24"/>
          <w:szCs w:val="24"/>
        </w:rPr>
        <w:t xml:space="preserve"> (especialmente pública)</w:t>
      </w:r>
      <w:r w:rsidRPr="00D44DD4">
        <w:rPr>
          <w:rFonts w:ascii="Times New Roman" w:hAnsi="Times New Roman"/>
          <w:sz w:val="24"/>
          <w:szCs w:val="24"/>
        </w:rPr>
        <w:t xml:space="preserve"> en nuestro propio horizonte de prácticas políticas. </w:t>
      </w:r>
      <w:r w:rsidR="00805613" w:rsidRPr="00D44DD4">
        <w:rPr>
          <w:rFonts w:ascii="Times New Roman" w:hAnsi="Times New Roman"/>
          <w:sz w:val="24"/>
          <w:szCs w:val="24"/>
        </w:rPr>
        <w:t xml:space="preserve">Al tener en cuenta la crisis de la educación, a la luz de su elaboración en cuanto asunto político, se propone </w:t>
      </w:r>
      <w:r w:rsidR="003A3918" w:rsidRPr="00D44DD4">
        <w:rPr>
          <w:rFonts w:ascii="Times New Roman" w:hAnsi="Times New Roman"/>
          <w:sz w:val="24"/>
          <w:szCs w:val="24"/>
        </w:rPr>
        <w:t>el fundamental papel que cumple a todo nivel la educación en cuanto base nuclear de la saludable racionalidad pública.</w:t>
      </w:r>
    </w:p>
    <w:p w14:paraId="176E4A98" w14:textId="6C4F30F0" w:rsidR="0053194A" w:rsidRPr="00D44DD4" w:rsidRDefault="003A3918"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lastRenderedPageBreak/>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D44DD4">
        <w:rPr>
          <w:rFonts w:ascii="Times New Roman" w:hAnsi="Times New Roman"/>
          <w:sz w:val="24"/>
          <w:szCs w:val="24"/>
        </w:rPr>
        <w:t xml:space="preserve">de identificar un sentido político de la educación, del </w:t>
      </w:r>
      <w:r w:rsidRPr="00D44DD4">
        <w:rPr>
          <w:rFonts w:ascii="Times New Roman" w:hAnsi="Times New Roman"/>
          <w:sz w:val="24"/>
          <w:szCs w:val="24"/>
        </w:rPr>
        <w:t>que se deriva</w:t>
      </w:r>
      <w:r w:rsidR="006B3C72" w:rsidRPr="00D44DD4">
        <w:rPr>
          <w:rFonts w:ascii="Times New Roman" w:hAnsi="Times New Roman"/>
          <w:sz w:val="24"/>
          <w:szCs w:val="24"/>
        </w:rPr>
        <w:t>n</w:t>
      </w:r>
      <w:r w:rsidRPr="00D44DD4">
        <w:rPr>
          <w:rFonts w:ascii="Times New Roman" w:hAnsi="Times New Roman"/>
          <w:sz w:val="24"/>
          <w:szCs w:val="24"/>
        </w:rPr>
        <w:t xml:space="preserve"> objetivos específicos que le </w:t>
      </w:r>
      <w:r w:rsidR="00485B5E" w:rsidRPr="00D44DD4">
        <w:rPr>
          <w:rFonts w:ascii="Times New Roman" w:hAnsi="Times New Roman"/>
          <w:sz w:val="24"/>
          <w:szCs w:val="24"/>
        </w:rPr>
        <w:t xml:space="preserve">constituyan. </w:t>
      </w:r>
    </w:p>
    <w:p w14:paraId="5156C924" w14:textId="77777777" w:rsidR="00081ABA" w:rsidRPr="00D44DD4" w:rsidRDefault="00485B5E"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crisis educativa, para a continuación, </w:t>
      </w:r>
      <w:r w:rsidR="00221647" w:rsidRPr="00D44DD4">
        <w:rPr>
          <w:rFonts w:ascii="Times New Roman" w:hAnsi="Times New Roman"/>
          <w:sz w:val="24"/>
          <w:szCs w:val="24"/>
        </w:rPr>
        <w:t xml:space="preserve">atender a los contenidos pedagógicos de Kant, con el fin último de concluir en qué sentidos se puede entender a la educación como un asunto puramente político. </w:t>
      </w:r>
    </w:p>
    <w:p w14:paraId="0B0F113F" w14:textId="77777777" w:rsidR="00081ABA" w:rsidRPr="00D44DD4" w:rsidRDefault="00081ABA" w:rsidP="003A3918">
      <w:pPr>
        <w:spacing w:after="0" w:line="360" w:lineRule="auto"/>
        <w:ind w:left="0" w:firstLine="0"/>
        <w:rPr>
          <w:rFonts w:ascii="Times New Roman" w:hAnsi="Times New Roman"/>
          <w:sz w:val="24"/>
          <w:szCs w:val="24"/>
        </w:rPr>
      </w:pPr>
    </w:p>
    <w:p w14:paraId="56C35397" w14:textId="06D7A703" w:rsidR="00485B5E" w:rsidRPr="00D44DD4" w:rsidRDefault="00C70353"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E78C955" w14:textId="0491B532" w:rsidR="0022282F" w:rsidRPr="00D44DD4" w:rsidRDefault="0022282F"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508DA92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2. Crisis en la educación</w:t>
      </w:r>
    </w:p>
    <w:p w14:paraId="659FEE33"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2.1 Dogmatismo, educación pública y pensamiento crítico</w:t>
      </w:r>
    </w:p>
    <w:p w14:paraId="438205FA"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2.2 Tecnocracia y globalización </w:t>
      </w:r>
    </w:p>
    <w:p w14:paraId="6E2C0D6D"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2.3 Neoliberalismo</w:t>
      </w:r>
    </w:p>
    <w:p w14:paraId="2B0C04F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2.4 Humanidades y otros problemas</w:t>
      </w:r>
    </w:p>
    <w:p w14:paraId="07281117"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2.5 Consecuencias políticas de una educación deficiente. </w:t>
      </w:r>
    </w:p>
    <w:p w14:paraId="27245528"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3. La educación desde el pensamiento político y crítico de Kant</w:t>
      </w:r>
    </w:p>
    <w:p w14:paraId="37E3A30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3.1 Kant como educador</w:t>
      </w:r>
    </w:p>
    <w:p w14:paraId="32F2A9B9"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3.2 Lecciones de pedagogía</w:t>
      </w:r>
    </w:p>
    <w:p w14:paraId="2265F80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3.3 Antropología en sentido pragmático</w:t>
      </w:r>
    </w:p>
    <w:p w14:paraId="3CE9B608"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3.4 Anti-paternalismo y autonomía </w:t>
      </w:r>
    </w:p>
    <w:p w14:paraId="6CF92A4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3.5 Razón pública y tolerancia</w:t>
      </w:r>
    </w:p>
    <w:p w14:paraId="2DD873D6"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3.6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63E0A47E"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4. Republicanismo Democrático (Conclusiones)</w:t>
      </w:r>
    </w:p>
    <w:p w14:paraId="64E0E171" w14:textId="77777777" w:rsidR="001C3C74" w:rsidRPr="00D44DD4" w:rsidRDefault="001C3C74" w:rsidP="003A3918">
      <w:pPr>
        <w:spacing w:after="0" w:line="360" w:lineRule="auto"/>
        <w:ind w:left="0" w:firstLine="0"/>
        <w:rPr>
          <w:rFonts w:ascii="Times New Roman" w:hAnsi="Times New Roman"/>
          <w:sz w:val="24"/>
          <w:szCs w:val="24"/>
        </w:rPr>
      </w:pPr>
    </w:p>
    <w:p w14:paraId="5F79F8F2" w14:textId="77777777" w:rsidR="0022282F" w:rsidRPr="00D44DD4" w:rsidRDefault="0022282F" w:rsidP="003A3918">
      <w:pPr>
        <w:spacing w:after="0" w:line="360" w:lineRule="auto"/>
        <w:ind w:left="0" w:firstLine="0"/>
        <w:rPr>
          <w:rFonts w:ascii="Times New Roman" w:hAnsi="Times New Roman"/>
          <w:sz w:val="24"/>
          <w:szCs w:val="24"/>
        </w:rPr>
      </w:pPr>
    </w:p>
    <w:p w14:paraId="09B08D2C" w14:textId="77777777" w:rsidR="004B2657" w:rsidRPr="00D44DD4" w:rsidRDefault="003A3918" w:rsidP="004E66E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2FC7E8F2" w:rsidR="00081ABA" w:rsidRPr="00D44DD4" w:rsidRDefault="00081ABA" w:rsidP="004E66E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2DA4C3C7" w:rsidR="004E66E9" w:rsidRPr="00D44DD4"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los problemas de la educación será elaborado en el segundo capítulo y aquello que versa </w:t>
      </w:r>
      <w:r w:rsidR="004B2657" w:rsidRPr="00D44DD4">
        <w:rPr>
          <w:rFonts w:ascii="Times New Roman" w:hAnsi="Times New Roman"/>
          <w:sz w:val="24"/>
          <w:szCs w:val="24"/>
          <w:lang w:val="es-PE"/>
        </w:rPr>
        <w:t xml:space="preserve">sobre </w:t>
      </w:r>
      <w:r w:rsidR="00974FF6" w:rsidRPr="00D44DD4">
        <w:rPr>
          <w:rFonts w:ascii="Times New Roman" w:hAnsi="Times New Roman"/>
          <w:sz w:val="24"/>
          <w:szCs w:val="24"/>
          <w:lang w:val="es-PE"/>
        </w:rPr>
        <w:t xml:space="preserve">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tercer capítulo.</w:t>
      </w:r>
    </w:p>
    <w:p w14:paraId="19AEB321" w14:textId="1443E392" w:rsidR="004E66E9" w:rsidRPr="00D44DD4"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a priori,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38A9CB18" w:rsidR="00871576" w:rsidRPr="00D44DD4"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2"/>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Pr="00D44DD4">
        <w:rPr>
          <w:rFonts w:ascii="Times New Roman" w:hAnsi="Times New Roman"/>
          <w:sz w:val="24"/>
          <w:szCs w:val="24"/>
          <w:lang w:val="es-PE"/>
        </w:rPr>
        <w:t xml:space="preserve">. </w:t>
      </w:r>
    </w:p>
    <w:p w14:paraId="47B5D8E4" w14:textId="37DE1C13" w:rsidR="00CE714F" w:rsidRPr="00D44DD4"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 xml:space="preserve">por su propio </w:t>
      </w:r>
      <w:r w:rsidR="00A348DA" w:rsidRPr="00D44DD4">
        <w:rPr>
          <w:rFonts w:ascii="Times New Roman" w:hAnsi="Times New Roman"/>
          <w:sz w:val="24"/>
          <w:szCs w:val="24"/>
          <w:lang w:val="es-PE"/>
        </w:rPr>
        <w:lastRenderedPageBreak/>
        <w:t>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 xml:space="preserve">sí. Por un lado, se busca una crítica de la razón pura para redefinir los usos de la metafísica de los tiempos de Kant, para reformular su orientación. Para el idealismo trascendental de Kant, es inevitable y necesario el papel que desarrolla su perspectiva de la metafísica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3"/>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 </w:t>
      </w:r>
    </w:p>
    <w:p w14:paraId="2B26F092" w14:textId="4C3AFB61" w:rsidR="00B32A74" w:rsidRPr="00D44DD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4B0E7ABE" w14:textId="529B3221" w:rsidR="00B32A74" w:rsidRPr="00D44DD4" w:rsidRDefault="00C554C3" w:rsidP="00381DB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Delimitar un tema central único de la </w:t>
      </w:r>
      <w:r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Pr="00D44DD4">
        <w:rPr>
          <w:rFonts w:ascii="Times New Roman" w:hAnsi="Times New Roman"/>
          <w:sz w:val="24"/>
          <w:szCs w:val="24"/>
        </w:rPr>
        <w:t xml:space="preserve"> puede ser un reto</w:t>
      </w:r>
      <w:r w:rsidR="005A5142" w:rsidRPr="00D44DD4">
        <w:rPr>
          <w:rStyle w:val="Refdenotaalpie"/>
          <w:rFonts w:ascii="Times New Roman" w:hAnsi="Times New Roman"/>
          <w:sz w:val="24"/>
          <w:szCs w:val="24"/>
        </w:rPr>
        <w:footnoteReference w:id="4"/>
      </w:r>
      <w:r w:rsidRPr="00D44DD4">
        <w:rPr>
          <w:rFonts w:ascii="Times New Roman" w:hAnsi="Times New Roman"/>
          <w:sz w:val="24"/>
          <w:szCs w:val="24"/>
        </w:rPr>
        <w:t xml:space="preserve">, especialmente cuando prefigura la orientación de todo un sistema, pero podemos hacer eco de lo que dice </w:t>
      </w:r>
      <w:proofErr w:type="spellStart"/>
      <w:r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Pr="00D44DD4">
        <w:rPr>
          <w:rFonts w:ascii="Times New Roman" w:hAnsi="Times New Roman"/>
          <w:sz w:val="24"/>
          <w:szCs w:val="24"/>
        </w:rPr>
        <w:t xml:space="preserve"> al señalar que 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288A701" w14:textId="7D10D3D3" w:rsidR="00B32A74" w:rsidRPr="00D44DD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lastRenderedPageBreak/>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aguda y destructiva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5"/>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17996203" w:rsidR="00C906B0" w:rsidRPr="00D44DD4"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 xml:space="preserve">El pensamiento de los modernos, en general, representa un rechazo de lo antiguo, en favor de lo nuevo. La mayoría de pensadores de la edad moderna se ocupan, de modo muy general, o bien, de la teoría del conocimiento, o bien, de teoría política. (Esta es una perspectiva muy </w:t>
      </w:r>
      <w:r w:rsidRPr="00D44DD4">
        <w:rPr>
          <w:rFonts w:ascii="Times New Roman" w:hAnsi="Times New Roman"/>
          <w:sz w:val="24"/>
          <w:szCs w:val="24"/>
        </w:rPr>
        <w:lastRenderedPageBreak/>
        <w:t>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759EBF9B" w14:textId="2164157F" w:rsidR="005F3B23" w:rsidRPr="00D44DD4"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6"/>
      </w:r>
    </w:p>
    <w:p w14:paraId="11CB6641" w14:textId="4F699ACA" w:rsidR="007970ED" w:rsidRPr="00D44DD4"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empata con la teoría de </w:t>
      </w:r>
      <w:r w:rsidRPr="00D44DD4">
        <w:rPr>
          <w:rFonts w:ascii="Times New Roman" w:hAnsi="Times New Roman"/>
          <w:sz w:val="24"/>
          <w:szCs w:val="24"/>
        </w:rPr>
        <w:lastRenderedPageBreak/>
        <w:t>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7"/>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“En una persona insana, ciertamente no se encuentra la capacidad 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8"/>
      </w:r>
      <w:r w:rsidR="007970ED" w:rsidRPr="00D44DD4">
        <w:rPr>
          <w:rFonts w:ascii="Times New Roman" w:hAnsi="Times New Roman"/>
          <w:sz w:val="24"/>
          <w:szCs w:val="24"/>
        </w:rPr>
        <w:t xml:space="preserve"> </w:t>
      </w:r>
    </w:p>
    <w:p w14:paraId="47BFD708" w14:textId="5B1BAA85" w:rsidR="00010B31" w:rsidRPr="00D44DD4"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corto y esclarecedor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28DBA156" w14:textId="627C7183" w:rsidR="0099443C" w:rsidRPr="00D44DD4"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lastRenderedPageBreak/>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9"/>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53A0F3A8" w14:textId="5F7007E3" w:rsidR="00BD1DF8" w:rsidRPr="00D44DD4"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 xml:space="preserve">“Sin duda queréis que la libertad de pensar se mantenga intacta. </w:t>
      </w:r>
      <w:r w:rsidR="00BD1DF8" w:rsidRPr="00D44DD4">
        <w:rPr>
          <w:rFonts w:ascii="Times New Roman" w:hAnsi="Times New Roman"/>
          <w:sz w:val="24"/>
          <w:szCs w:val="24"/>
        </w:rPr>
        <w:lastRenderedPageBreak/>
        <w:t>(…)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60B06519" w14:textId="76FBA9DE" w:rsidR="00BD1DF8" w:rsidRPr="00D44DD4"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7136EBE2" w14:textId="016BB21C" w:rsidR="00225871" w:rsidRPr="00D44DD4"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63043044" w14:textId="62702BC2" w:rsidR="00225871" w:rsidRPr="00D44DD4"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0"/>
      </w:r>
    </w:p>
    <w:p w14:paraId="2C6C7A75" w14:textId="3E4E721C" w:rsidR="009666ED" w:rsidRPr="00D44DD4" w:rsidRDefault="00F6388A" w:rsidP="00225871">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38EDB89A" w14:textId="77777777" w:rsidR="006364A4" w:rsidRPr="00D44DD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04E1FD47" w14:textId="531D1C2D" w:rsidR="006364A4" w:rsidRPr="00D44DD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1BC308CD" w14:textId="4CE668C7" w:rsidR="00CA66B7" w:rsidRPr="00D44DD4"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1"/>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 xml:space="preserve">“La autoridad de la razón, como cualquier otra autoridad, es humanamente instituida. (…) No puede ser cuestionada, por cuanto los cuestionamientos inteligibles presuponen la misma autoridad que </w:t>
      </w:r>
      <w:r w:rsidR="00225871" w:rsidRPr="00D44DD4">
        <w:rPr>
          <w:rFonts w:ascii="Times New Roman" w:hAnsi="Times New Roman"/>
          <w:sz w:val="24"/>
          <w:szCs w:val="24"/>
        </w:rPr>
        <w:lastRenderedPageBreak/>
        <w:t>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los intereses de modo privado o público, y precisamente, por su integridad holística, uno debiera reconocer el carácter de la razón, tanto en los fundamentos lógicos, como en las prácticas que invitan a la tolerancia,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0A6F7A71" w14:textId="36CBC3E3" w:rsidR="00225871" w:rsidRPr="00D44DD4"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notable de escritos, el editor Reiss nos indica muchas cosas que son iluminadoras respecto del pensamiento de Kant y que, en algunos casos, empatan con otros autores. </w:t>
      </w:r>
      <w:r w:rsidR="006F0018" w:rsidRPr="00D44DD4">
        <w:rPr>
          <w:rStyle w:val="Refdenotaalpie"/>
          <w:rFonts w:ascii="Times New Roman" w:hAnsi="Times New Roman"/>
          <w:sz w:val="24"/>
          <w:szCs w:val="24"/>
          <w:lang w:val="es-PE"/>
        </w:rPr>
        <w:footnoteReference w:id="12"/>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13"/>
      </w:r>
      <w:r w:rsidR="003334E4" w:rsidRPr="00D44DD4">
        <w:rPr>
          <w:rFonts w:ascii="Times New Roman" w:hAnsi="Times New Roman"/>
          <w:sz w:val="24"/>
          <w:szCs w:val="24"/>
        </w:rPr>
        <w:t xml:space="preserve"> Respetando la voluntad libre, no es 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xml:space="preserve">, se </w:t>
      </w:r>
      <w:r w:rsidR="00225871" w:rsidRPr="00D44DD4">
        <w:rPr>
          <w:rFonts w:ascii="Times New Roman" w:hAnsi="Times New Roman"/>
          <w:sz w:val="24"/>
          <w:szCs w:val="24"/>
        </w:rPr>
        <w:lastRenderedPageBreak/>
        <w:t>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14"/>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026AD26" w14:textId="279A6C1D" w:rsidR="003334E4" w:rsidRPr="00D44DD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0EE2C2E" w14:textId="5E784CB8" w:rsidR="00225871" w:rsidRPr="00D44DD4"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2C21BC80" w14:textId="1DCFB631" w:rsidR="00225871" w:rsidRPr="00D44DD4"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D44DD4">
        <w:rPr>
          <w:rFonts w:ascii="Times New Roman" w:hAnsi="Times New Roman"/>
          <w:sz w:val="20"/>
          <w:szCs w:val="20"/>
          <w:lang w:val="es-PE"/>
        </w:rPr>
        <w:t>(Agazzi, 1966; p.345)</w:t>
      </w:r>
    </w:p>
    <w:p w14:paraId="2EFADFB6" w14:textId="1D3F349A" w:rsidR="00081ABA" w:rsidRPr="00D44DD4"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w:t>
      </w:r>
      <w:r w:rsidR="00E96E96" w:rsidRPr="00D44DD4">
        <w:rPr>
          <w:rFonts w:ascii="Times New Roman" w:hAnsi="Times New Roman"/>
          <w:sz w:val="24"/>
          <w:szCs w:val="24"/>
          <w:lang w:val="es-PE"/>
        </w:rPr>
        <w:lastRenderedPageBreak/>
        <w:t xml:space="preserve">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74078DC3" w14:textId="77777777" w:rsidR="00233F43" w:rsidRPr="00D44DD4" w:rsidRDefault="00233F43"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29379621" w:rsidR="00B67FA8" w:rsidRPr="00D44DD4"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15"/>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2A40A88" w14:textId="3C0620D6" w:rsidR="00014CF8" w:rsidRPr="00D44DD4"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1F2D00B0" w14:textId="140AE887" w:rsidR="00CC3F06" w:rsidRPr="00D44DD4"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 xml:space="preserve">Cabe tener en cuenta que la abstracción de la metafísica no se desentiende de la finalidad práctica, ya que esta última es la causa de la ardua tarea de buscar principios para la guía de </w:t>
      </w:r>
      <w:r w:rsidRPr="00D44DD4">
        <w:rPr>
          <w:rFonts w:ascii="Times New Roman" w:hAnsi="Times New Roman"/>
          <w:sz w:val="24"/>
          <w:szCs w:val="24"/>
          <w:lang w:val="es-PE"/>
        </w:rPr>
        <w:lastRenderedPageBreak/>
        <w:t xml:space="preserve">lo mejor que se pueda deliberar. En este sentido de aplicación teórica a la práctica,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16"/>
      </w:r>
      <w:r w:rsidRPr="00D44DD4">
        <w:rPr>
          <w:rFonts w:ascii="Times New Roman" w:hAnsi="Times New Roman"/>
          <w:sz w:val="24"/>
          <w:szCs w:val="24"/>
        </w:rPr>
        <w:t xml:space="preserve">. </w:t>
      </w:r>
    </w:p>
    <w:p w14:paraId="4192F46C" w14:textId="6ED6413C" w:rsidR="005C2844" w:rsidRPr="00D44DD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es común tener que representarnos lo bueno, para precisamente cumplir con el objetivo de la moralidad: vivir bien. En Kant, sin embargo, la moral no se plantea meramente lo bueno y lo malo, ni mucho menos lo útil o inútil, sino que se centra en lo lógicamente 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17"/>
      </w:r>
      <w:r w:rsidR="005C2844" w:rsidRPr="00D44DD4">
        <w:rPr>
          <w:rFonts w:ascii="Times New Roman" w:hAnsi="Times New Roman"/>
          <w:sz w:val="24"/>
          <w:szCs w:val="24"/>
        </w:rPr>
        <w:t xml:space="preserve">. </w:t>
      </w:r>
    </w:p>
    <w:p w14:paraId="51EAF64B" w14:textId="300F4F6C" w:rsidR="007E6C78" w:rsidRPr="00D44DD4"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 xml:space="preserve">(1945) en donde señala que: “La pregunta por el hacer, por la acción, en modo alguno significó para la filosofía crítica un intento de superar realmente los obstáculos, de resolver realmente los problemas; no fue la pregunta por </w:t>
      </w:r>
      <w:r w:rsidRPr="00D44DD4">
        <w:rPr>
          <w:rFonts w:ascii="Times New Roman" w:hAnsi="Times New Roman"/>
          <w:sz w:val="24"/>
          <w:szCs w:val="24"/>
        </w:rPr>
        <w:lastRenderedPageBreak/>
        <w:t>la realización del todo, sino solo un intento de encontrar sentido de la existencia individual: la pregunta por el deber. No puede extrañar, por consiguiente, que Kant afirme que la moral da respuesta a esta pregunta.” (1945; p.166)</w:t>
      </w:r>
    </w:p>
    <w:p w14:paraId="5B3968CE" w14:textId="7C926FE7" w:rsidR="007E6C78" w:rsidRPr="00D44DD4"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hace falta hacer un panorama de sus ideas, y para ello, p</w:t>
      </w:r>
      <w:r w:rsidR="007E6C78" w:rsidRPr="00D44DD4">
        <w:rPr>
          <w:rFonts w:ascii="Times New Roman" w:hAnsi="Times New Roman"/>
          <w:sz w:val="24"/>
          <w:szCs w:val="24"/>
        </w:rPr>
        <w:t xml:space="preserve">odemos </w:t>
      </w:r>
      <w:r w:rsidRPr="00D44DD4">
        <w:rPr>
          <w:rFonts w:ascii="Times New Roman" w:hAnsi="Times New Roman"/>
          <w:sz w:val="24"/>
          <w:szCs w:val="24"/>
        </w:rPr>
        <w:t xml:space="preserve">empezar por </w:t>
      </w:r>
      <w:r w:rsidR="007E6C78" w:rsidRPr="00D44DD4">
        <w:rPr>
          <w:rFonts w:ascii="Times New Roman" w:hAnsi="Times New Roman"/>
          <w:sz w:val="24"/>
          <w:szCs w:val="24"/>
        </w:rPr>
        <w:t xml:space="preserve">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541DC341" w14:textId="125F0B27" w:rsidR="00011253" w:rsidRPr="00D44DD4"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De la misma forma, no se 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18"/>
      </w:r>
      <w:r w:rsidR="00BE316D" w:rsidRPr="00D44DD4">
        <w:rPr>
          <w:rFonts w:ascii="Times New Roman" w:hAnsi="Times New Roman"/>
          <w:sz w:val="24"/>
          <w:szCs w:val="24"/>
        </w:rPr>
        <w:t xml:space="preserve"> </w:t>
      </w:r>
    </w:p>
    <w:p w14:paraId="633B9655" w14:textId="13175062" w:rsidR="00BE316D" w:rsidRPr="00D44DD4"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w:t>
      </w:r>
    </w:p>
    <w:p w14:paraId="65B4CF14" w14:textId="148EE50B" w:rsidR="00BE316D" w:rsidRPr="00D44DD4"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lastRenderedPageBreak/>
        <w:t xml:space="preserve">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4E0F5B3" w14:textId="1BC357E3" w:rsidR="00A71C75" w:rsidRPr="00D44DD4"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4704267B" w14:textId="16497968" w:rsidR="00CA66B7" w:rsidRPr="00D44DD4" w:rsidRDefault="00957FCA" w:rsidP="009F5F63">
      <w:pPr>
        <w:spacing w:line="360" w:lineRule="auto"/>
        <w:ind w:left="720" w:firstLine="488"/>
        <w:rPr>
          <w:rFonts w:ascii="Times New Roman" w:hAnsi="Times New Roman"/>
          <w:sz w:val="24"/>
          <w:szCs w:val="24"/>
          <w:lang w:val="es-PE"/>
        </w:rPr>
      </w:pPr>
      <w:r w:rsidRPr="00D44DD4">
        <w:rPr>
          <w:rFonts w:ascii="Times New Roman" w:hAnsi="Times New Roman"/>
          <w:iCs/>
          <w:sz w:val="24"/>
          <w:szCs w:val="24"/>
        </w:rPr>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 en cuestiones morales. En este sentido,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w:t>
      </w:r>
      <w:r w:rsidR="00C77EA4" w:rsidRPr="00D44DD4">
        <w:rPr>
          <w:rFonts w:ascii="Times New Roman" w:hAnsi="Times New Roman"/>
          <w:iCs/>
          <w:sz w:val="24"/>
          <w:szCs w:val="24"/>
        </w:rPr>
        <w:lastRenderedPageBreak/>
        <w:t xml:space="preserve">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19"/>
      </w:r>
    </w:p>
    <w:p w14:paraId="4D74D56D" w14:textId="273779D4" w:rsidR="00CA66B7" w:rsidRPr="00D44DD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20"/>
      </w:r>
      <w:r w:rsidR="009E4EEC" w:rsidRPr="00D44DD4">
        <w:rPr>
          <w:rFonts w:ascii="Times New Roman" w:hAnsi="Times New Roman"/>
          <w:sz w:val="24"/>
          <w:szCs w:val="24"/>
        </w:rPr>
        <w:t xml:space="preserve">. </w:t>
      </w:r>
    </w:p>
    <w:p w14:paraId="063BBFCA" w14:textId="114BE25B" w:rsidR="00CA66B7" w:rsidRPr="00D44DD4" w:rsidRDefault="009E4EEC" w:rsidP="00C77EA4">
      <w:pPr>
        <w:spacing w:line="360" w:lineRule="auto"/>
        <w:rPr>
          <w:rFonts w:ascii="Times New Roman" w:hAnsi="Times New Roman"/>
          <w:sz w:val="24"/>
          <w:szCs w:val="24"/>
          <w:lang w:val="es-PE"/>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0DA62D9C" w14:textId="7AB27214" w:rsidR="00C77EA4" w:rsidRPr="00D44DD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2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lastRenderedPageBreak/>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7EE84BA5" w14:textId="09FB85E2" w:rsidR="00D52741" w:rsidRPr="00D44DD4"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50151BC7" w14:textId="37170A86" w:rsidR="00C0547A" w:rsidRPr="00D44DD4"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36E71649" w14:textId="4BCA7D22" w:rsidR="00A71C75" w:rsidRPr="00D44DD4"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w:t>
      </w:r>
      <w:r w:rsidR="00A71C75" w:rsidRPr="00D44DD4">
        <w:rPr>
          <w:rFonts w:ascii="Times New Roman" w:hAnsi="Times New Roman"/>
          <w:sz w:val="24"/>
          <w:szCs w:val="24"/>
        </w:rPr>
        <w:lastRenderedPageBreak/>
        <w:t xml:space="preserve">&lt;&lt;conformidad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22"/>
      </w:r>
    </w:p>
    <w:p w14:paraId="6E8724DA" w14:textId="202E9BAD" w:rsidR="000B7CA7" w:rsidRPr="00D44DD4"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3AAFC0C6" w14:textId="7AE87D25" w:rsidR="001226ED" w:rsidRPr="00D44DD4"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w:t>
      </w:r>
      <w:r w:rsidR="000B7CA7" w:rsidRPr="00D44DD4">
        <w:rPr>
          <w:rFonts w:ascii="Times New Roman" w:hAnsi="Times New Roman"/>
          <w:sz w:val="24"/>
          <w:szCs w:val="24"/>
          <w:lang w:val="es-PE"/>
        </w:rPr>
        <w:lastRenderedPageBreak/>
        <w:t>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038A0CF6" w14:textId="694799E9" w:rsidR="000B7CA7" w:rsidRPr="00D44DD4"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ha discutido, y que se han ocupado de la moral en Kant. Podemos tener en cuenta lo que indica M. Figueroa en un excelente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2DC5A382" w14:textId="44D530E3" w:rsidR="000B7CA7" w:rsidRPr="00D44DD4"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 xml:space="preserve">“El hombre malo es, para Kant, aquél que </w:t>
      </w:r>
      <w:r w:rsidR="000B7CA7" w:rsidRPr="00D44DD4">
        <w:rPr>
          <w:rFonts w:ascii="Times New Roman" w:hAnsi="Times New Roman"/>
          <w:sz w:val="24"/>
          <w:szCs w:val="24"/>
        </w:rPr>
        <w:lastRenderedPageBreak/>
        <w:t>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“En Kant, por lo general, 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23"/>
      </w:r>
    </w:p>
    <w:p w14:paraId="3657D05B" w14:textId="41FB10C1" w:rsidR="007F67CB" w:rsidRPr="00D44DD4"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2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41E2C358" w:rsidR="007F67CB" w:rsidRPr="00D44DD4"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Es muy ardua labor la de separar lo que pertenece al derecho y lo que es propio de lo político, ya que el sentido de sus usos y conceptos se encuentran íntimamente implicados los unos con los otros</w:t>
      </w:r>
      <w:r w:rsidR="00E9124D" w:rsidRPr="00D44DD4">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 xml:space="preserve">Es inevitable que los límites esquemáticos que les separan en esta investigación sean frágiles ya que el vínculo entre derecho y política articula la práctica humana de la convivencia y no dejan de estar bajo el marco del proyecto crítico. Asimismo, la moral encuentra mucha cercanía con lo jurídico, pero, sobre todo, la esfera de lo educativo encuentra muchos elementos que se implican en la teoría del derecho y la justicia. </w:t>
      </w:r>
    </w:p>
    <w:p w14:paraId="545E0B72" w14:textId="17373D87" w:rsidR="00F03F17" w:rsidRPr="00D44DD4"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 xml:space="preserve">Esta obra se compone de dos partes, la primera establece la teoría del derecho, y la segunda plantea la teoría de la virtud. Nosotros atenderemos a la primera parte de la obra,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03649965" w14:textId="1EB6D78D" w:rsidR="00DA152A" w:rsidRPr="00D44DD4"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La teoría del derecho es parte del proyecto crítico,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685924A" w14:textId="5D5E2A02" w:rsidR="00C9086D" w:rsidRPr="00D44DD4"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26"/>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w:t>
      </w:r>
      <w:r w:rsidR="00A258C1" w:rsidRPr="00D44DD4">
        <w:rPr>
          <w:rFonts w:ascii="Times New Roman" w:hAnsi="Times New Roman"/>
          <w:sz w:val="24"/>
          <w:szCs w:val="24"/>
          <w:lang w:val="es-PE"/>
        </w:rPr>
        <w:lastRenderedPageBreak/>
        <w:t xml:space="preserve">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4AD662F9" w14:textId="006BA465" w:rsidR="00900064" w:rsidRPr="00D44DD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27"/>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28"/>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29"/>
      </w:r>
      <w:r w:rsidRPr="00D44DD4">
        <w:rPr>
          <w:rFonts w:ascii="Times New Roman" w:hAnsi="Times New Roman"/>
          <w:sz w:val="24"/>
          <w:szCs w:val="24"/>
          <w:lang w:val="es-PE"/>
        </w:rPr>
        <w:t xml:space="preserve"> </w:t>
      </w:r>
    </w:p>
    <w:p w14:paraId="58DA53E5" w14:textId="27476F9B" w:rsidR="002316B4" w:rsidRPr="00D44DD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5DD4D3F1" w14:textId="35F98F4B" w:rsidR="00460A4B" w:rsidRPr="00D44DD4"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30"/>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w:t>
      </w:r>
      <w:r w:rsidRPr="00D44DD4">
        <w:rPr>
          <w:rFonts w:ascii="Times New Roman" w:hAnsi="Times New Roman"/>
          <w:sz w:val="24"/>
          <w:szCs w:val="24"/>
          <w:lang w:val="es-PE"/>
        </w:rPr>
        <w:lastRenderedPageBreak/>
        <w:t xml:space="preserve">derecho que se fundamente en un principio metafísico universal del derecho; que enuncia del siguiente modo: </w:t>
      </w: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2C302903" w:rsidR="00D46D3C" w:rsidRPr="00D44DD4"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Pr="00D44DD4">
        <w:rPr>
          <w:rFonts w:ascii="Times New Roman" w:hAnsi="Times New Roman"/>
          <w:sz w:val="24"/>
          <w:szCs w:val="24"/>
          <w:lang w:val="es-PE"/>
        </w:rPr>
        <w:t xml:space="preserve"> es planteada 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31"/>
      </w:r>
      <w:r w:rsidR="00C82D40" w:rsidRPr="00D44DD4">
        <w:rPr>
          <w:rFonts w:ascii="Times New Roman" w:hAnsi="Times New Roman"/>
          <w:sz w:val="24"/>
          <w:szCs w:val="24"/>
          <w:lang w:val="es-PE"/>
        </w:rPr>
        <w:t xml:space="preserve">, es una misma para todos, y por buenas razones, por lo que finalmente, es una obligación constructiva en la orientación de la civilidad. Esta obligación de la ley se ajusta a la justicia. </w:t>
      </w:r>
    </w:p>
    <w:p w14:paraId="60665B57" w14:textId="77777777" w:rsidR="00043940" w:rsidRPr="00D44DD4"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5531C99E" w:rsidR="001226ED" w:rsidRPr="00D44DD4"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w:t>
      </w:r>
      <w:r w:rsidR="00B128B2" w:rsidRPr="00D44DD4">
        <w:rPr>
          <w:rFonts w:ascii="Times New Roman" w:hAnsi="Times New Roman"/>
          <w:sz w:val="24"/>
          <w:szCs w:val="24"/>
          <w:lang w:val="es-PE"/>
        </w:rPr>
        <w:lastRenderedPageBreak/>
        <w:t>fundamental del derecho natural</w:t>
      </w:r>
      <w:r w:rsidR="00080FD5" w:rsidRPr="00D44DD4">
        <w:rPr>
          <w:rStyle w:val="Refdenotaalpie"/>
          <w:rFonts w:ascii="Times New Roman" w:hAnsi="Times New Roman"/>
          <w:sz w:val="24"/>
          <w:szCs w:val="24"/>
          <w:lang w:val="es-PE"/>
        </w:rPr>
        <w:footnoteReference w:id="32"/>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“No hay más que un solo derecho natural o innato. 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33"/>
      </w:r>
      <w:r w:rsidR="00B128B2" w:rsidRPr="00D44DD4">
        <w:rPr>
          <w:rFonts w:ascii="Times New Roman" w:hAnsi="Times New Roman"/>
          <w:sz w:val="24"/>
          <w:szCs w:val="24"/>
          <w:lang w:val="es-PE"/>
        </w:rPr>
        <w:t xml:space="preserve">. </w:t>
      </w:r>
    </w:p>
    <w:p w14:paraId="6DDA182C" w14:textId="01067720" w:rsidR="00B128B2" w:rsidRPr="00D44DD4"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158586B9" w14:textId="2A365277" w:rsidR="007D151C" w:rsidRPr="00D44DD4"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34"/>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1F697515" w14:textId="77E1BDAB" w:rsidR="004A09D5" w:rsidRPr="00D44DD4"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389DF076" w14:textId="37CD4BF5" w:rsidR="00642637" w:rsidRPr="00D44DD4"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w:t>
      </w:r>
      <w:r w:rsidRPr="00D44DD4">
        <w:rPr>
          <w:rFonts w:ascii="Times New Roman" w:hAnsi="Times New Roman"/>
          <w:sz w:val="20"/>
          <w:szCs w:val="20"/>
        </w:rPr>
        <w:lastRenderedPageBreak/>
        <w:t>los participantes reunidos en un pueblo, se llama el estado civil. (…) Unidos los ciudadanos por el interés común de mantenerse en el estado jurídico, se llama en un sentido más extenso cosa pública (res pública). (2008; p. 163)</w:t>
      </w:r>
    </w:p>
    <w:p w14:paraId="150F5FCE" w14:textId="6F371B86" w:rsidR="00512F90" w:rsidRPr="00D44DD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35"/>
      </w:r>
      <w:r w:rsidRPr="00D44DD4">
        <w:rPr>
          <w:rFonts w:ascii="Times New Roman" w:hAnsi="Times New Roman"/>
          <w:sz w:val="24"/>
          <w:szCs w:val="24"/>
        </w:rPr>
        <w:t xml:space="preserve"> como una reunión de personas articuladas por el derecho. </w:t>
      </w:r>
    </w:p>
    <w:p w14:paraId="0BD8E550" w14:textId="20118209" w:rsidR="000E2E3F" w:rsidRPr="00D44DD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36"/>
      </w:r>
    </w:p>
    <w:p w14:paraId="2F199D52" w14:textId="287A537D" w:rsidR="00C312E4" w:rsidRPr="00D44DD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37"/>
      </w:r>
    </w:p>
    <w:p w14:paraId="31AF7A01" w14:textId="2104F3CB" w:rsidR="00C312E4" w:rsidRPr="00D44DD4" w:rsidRDefault="00C312E4" w:rsidP="001D7A6A">
      <w:pPr>
        <w:spacing w:after="0" w:line="360" w:lineRule="auto"/>
        <w:rPr>
          <w:rFonts w:ascii="Times New Roman" w:hAnsi="Times New Roman"/>
          <w:sz w:val="24"/>
          <w:szCs w:val="24"/>
          <w:lang w:val="es-PE"/>
        </w:rPr>
      </w:pPr>
      <w:r w:rsidRPr="00D44DD4">
        <w:rPr>
          <w:rFonts w:ascii="Times New Roman" w:hAnsi="Times New Roman"/>
          <w:sz w:val="24"/>
          <w:szCs w:val="24"/>
        </w:rPr>
        <w:t xml:space="preserve">De estas consideraciones resulta la idea de un ciudadano como quien pertenece a una ciudad ordenada de este modo, cuya libertad es sublimada de lo individual, a lo civil y de lo </w:t>
      </w:r>
      <w:r w:rsidRPr="00D44DD4">
        <w:rPr>
          <w:rFonts w:ascii="Times New Roman" w:hAnsi="Times New Roman"/>
          <w:sz w:val="24"/>
          <w:szCs w:val="24"/>
        </w:rPr>
        <w:lastRenderedPageBreak/>
        <w:t>que le resultan tres atributos fundamentales que Kant le atribuye: el ser libres, iguales y civilmente independientes, tal y como se puede apreciar en el pasaje siguiente:</w:t>
      </w: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462D9767" w:rsidR="00C81482" w:rsidRPr="00D44DD4"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40"/>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41"/>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o menores, pero en cuyos casos, nunca se niegan ni la libertad, ni la igualdad; y dentro de esa imposibilidad de independencia humana a la que le empuja la sociabilidad, el ciudadano debe verse involucrado y educado en los asuntos públicos. </w:t>
      </w:r>
    </w:p>
    <w:p w14:paraId="74DADFA1" w14:textId="6791EFE9" w:rsidR="008E7FAA" w:rsidRPr="00D44DD4"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w:t>
      </w:r>
      <w:r w:rsidRPr="00D44DD4">
        <w:rPr>
          <w:rFonts w:ascii="Times New Roman" w:hAnsi="Times New Roman"/>
          <w:sz w:val="24"/>
          <w:szCs w:val="24"/>
          <w:lang w:val="es-PE"/>
        </w:rPr>
        <w:lastRenderedPageBreak/>
        <w:t xml:space="preserve">función pública como subordinada. </w:t>
      </w:r>
      <w:r w:rsidRPr="00D44DD4">
        <w:rPr>
          <w:rStyle w:val="Refdenotaalpie"/>
          <w:rFonts w:ascii="Times New Roman" w:hAnsi="Times New Roman"/>
          <w:sz w:val="24"/>
          <w:szCs w:val="24"/>
          <w:lang w:val="es-PE"/>
        </w:rPr>
        <w:footnoteReference w:id="42"/>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43"/>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44"/>
      </w:r>
    </w:p>
    <w:p w14:paraId="30BADC3D" w14:textId="251EB1E5" w:rsidR="008E7FAA" w:rsidRPr="00D44DD4"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45"/>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01BF92ED" w14:textId="3F992A3A" w:rsidR="003A1DEE" w:rsidRPr="00D44DD4"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46"/>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47"/>
      </w:r>
      <w:r w:rsidRPr="00D44DD4">
        <w:rPr>
          <w:rFonts w:ascii="Times New Roman" w:hAnsi="Times New Roman"/>
          <w:sz w:val="24"/>
          <w:szCs w:val="24"/>
          <w:lang w:val="es-PE"/>
        </w:rPr>
        <w:t xml:space="preserve">. Esto no quita </w:t>
      </w:r>
      <w:r w:rsidRPr="00D44DD4">
        <w:rPr>
          <w:rFonts w:ascii="Times New Roman" w:hAnsi="Times New Roman"/>
          <w:sz w:val="24"/>
          <w:szCs w:val="24"/>
          <w:lang w:val="es-PE"/>
        </w:rPr>
        <w:lastRenderedPageBreak/>
        <w:t>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48"/>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49"/>
      </w:r>
      <w:r w:rsidR="00EB456F" w:rsidRPr="00D44DD4">
        <w:rPr>
          <w:rFonts w:ascii="Times New Roman" w:hAnsi="Times New Roman"/>
          <w:sz w:val="24"/>
          <w:szCs w:val="24"/>
        </w:rPr>
        <w:t xml:space="preserve">. </w:t>
      </w:r>
    </w:p>
    <w:p w14:paraId="5499FCF9" w14:textId="53DFDA9E" w:rsidR="00EB456F" w:rsidRPr="00D44DD4"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600CADA0" w14:textId="00119AF1" w:rsidR="00DD4DEA" w:rsidRPr="00D44DD4" w:rsidRDefault="009E51BB" w:rsidP="00EB456F">
      <w:pPr>
        <w:ind w:left="1208" w:firstLine="0"/>
        <w:rPr>
          <w:rFonts w:ascii="Times New Roman" w:hAnsi="Times New Roman"/>
          <w:sz w:val="20"/>
          <w:szCs w:val="20"/>
        </w:rPr>
      </w:pPr>
      <w:r w:rsidRPr="00D44DD4">
        <w:rPr>
          <w:rFonts w:ascii="Times New Roman" w:hAnsi="Times New Roman"/>
          <w:sz w:val="20"/>
          <w:szCs w:val="20"/>
        </w:rPr>
        <w:t>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08F0EB7E" w14:textId="7AA9122B" w:rsidR="00DD4DEA" w:rsidRPr="00D44DD4"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50"/>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51"/>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w:t>
      </w:r>
      <w:r w:rsidR="00EF0657" w:rsidRPr="00D44DD4">
        <w:rPr>
          <w:rFonts w:ascii="Times New Roman" w:hAnsi="Times New Roman"/>
          <w:sz w:val="24"/>
          <w:szCs w:val="24"/>
        </w:rPr>
        <w:lastRenderedPageBreak/>
        <w:t xml:space="preserve">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7F4EF739" w14:textId="1F866DE7" w:rsidR="00DD4DEA" w:rsidRPr="00D44DD4"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60AB8431" w14:textId="66FE4499" w:rsidR="00DD4DEA" w:rsidRPr="00D44DD4"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0A4443" w:rsidRPr="00D44DD4">
        <w:rPr>
          <w:rFonts w:ascii="Times New Roman" w:hAnsi="Times New Roman"/>
          <w:sz w:val="24"/>
          <w:szCs w:val="24"/>
        </w:rPr>
        <w:t xml:space="preserve"> La concepción del derecho tiene un sentido formalmente antibélico.</w:t>
      </w:r>
      <w:r w:rsidR="000A4443" w:rsidRPr="00D44DD4">
        <w:rPr>
          <w:rStyle w:val="Refdenotaalpie"/>
          <w:rFonts w:ascii="Times New Roman" w:hAnsi="Times New Roman"/>
          <w:sz w:val="24"/>
          <w:szCs w:val="24"/>
        </w:rPr>
        <w:footnoteReference w:id="52"/>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53"/>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251B0E0A" w14:textId="1233E447" w:rsidR="007713A9" w:rsidRPr="00D44DD4"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77777777" w:rsidR="007713A9" w:rsidRPr="00D44DD4" w:rsidRDefault="007713A9" w:rsidP="00EF0657">
      <w:pPr>
        <w:ind w:left="1208" w:firstLine="0"/>
        <w:rPr>
          <w:rFonts w:ascii="Times New Roman" w:hAnsi="Times New Roman"/>
          <w:sz w:val="20"/>
          <w:szCs w:val="20"/>
        </w:rPr>
      </w:pPr>
      <w:r w:rsidRPr="00D44DD4">
        <w:rPr>
          <w:rFonts w:ascii="Times New Roman" w:hAnsi="Times New Roman"/>
          <w:sz w:val="20"/>
          <w:szCs w:val="20"/>
        </w:rPr>
        <w:lastRenderedPageBreak/>
        <w:t>Estos principios no son leyes dadas por el estado ya constituido, sino principios según los cuales únicamente es posible una constitución estatal, conforme a principios puros de la razón.” (1964; p.159)</w:t>
      </w:r>
    </w:p>
    <w:p w14:paraId="027FD52C" w14:textId="5A9FCCD3" w:rsidR="009F5F63" w:rsidRPr="00D44DD4"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54"/>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55"/>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Ideas para una historia universal en 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5889A6D5" w14:textId="65902703" w:rsidR="0088645D" w:rsidRPr="00D44DD4" w:rsidRDefault="00B73D7A" w:rsidP="009F5F63">
      <w:pPr>
        <w:ind w:left="1208" w:firstLine="0"/>
        <w:rPr>
          <w:rFonts w:ascii="Times New Roman" w:hAnsi="Times New Roman"/>
          <w:sz w:val="24"/>
          <w:szCs w:val="24"/>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29901BF0" w14:textId="4817F0E6" w:rsidR="00B67FA8" w:rsidRPr="00D44DD4"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56"/>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que no defiende la democracia, tal y como se entendía en su contexto</w:t>
      </w:r>
      <w:r w:rsidRPr="00D44DD4">
        <w:rPr>
          <w:rStyle w:val="Refdenotaalpie"/>
          <w:rFonts w:ascii="Times New Roman" w:hAnsi="Times New Roman"/>
          <w:sz w:val="24"/>
          <w:szCs w:val="24"/>
        </w:rPr>
        <w:footnoteReference w:id="57"/>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58"/>
      </w:r>
      <w:r w:rsidRPr="00D44DD4">
        <w:rPr>
          <w:rFonts w:ascii="Times New Roman" w:hAnsi="Times New Roman"/>
          <w:sz w:val="24"/>
          <w:szCs w:val="24"/>
          <w:shd w:val="clear" w:color="auto" w:fill="FFFFFF"/>
        </w:rPr>
        <w:t xml:space="preserve">. </w:t>
      </w:r>
    </w:p>
    <w:p w14:paraId="51316E23" w14:textId="6DA314F9"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extenso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630798AC" w:rsidR="009F5F63" w:rsidRPr="00D44DD4" w:rsidRDefault="00F54BCE" w:rsidP="00225871">
      <w:pPr>
        <w:spacing w:line="360" w:lineRule="auto"/>
        <w:rPr>
          <w:rFonts w:ascii="Times New Roman" w:hAnsi="Times New Roman"/>
          <w:sz w:val="24"/>
          <w:szCs w:val="24"/>
        </w:rPr>
      </w:pPr>
      <w:r w:rsidRPr="00D44DD4">
        <w:rPr>
          <w:rFonts w:ascii="Times New Roman" w:hAnsi="Times New Roman"/>
          <w:sz w:val="24"/>
          <w:szCs w:val="24"/>
        </w:rPr>
        <w:t xml:space="preserve">Para A. </w:t>
      </w:r>
      <w:proofErr w:type="spellStart"/>
      <w:r w:rsidRPr="00D44DD4">
        <w:rPr>
          <w:rFonts w:ascii="Times New Roman" w:hAnsi="Times New Roman"/>
          <w:sz w:val="24"/>
          <w:szCs w:val="24"/>
        </w:rPr>
        <w:t>Caviglia</w:t>
      </w:r>
      <w:proofErr w:type="spellEnd"/>
      <w:r w:rsidRPr="00D44DD4">
        <w:rPr>
          <w:rFonts w:ascii="Times New Roman" w:hAnsi="Times New Roman"/>
          <w:sz w:val="24"/>
          <w:szCs w:val="24"/>
        </w:rPr>
        <w:t xml:space="preserve">: </w:t>
      </w:r>
      <w:r w:rsidR="00225871" w:rsidRPr="00D44DD4">
        <w:rPr>
          <w:rFonts w:ascii="Times New Roman" w:hAnsi="Times New Roman"/>
          <w:sz w:val="24"/>
          <w:szCs w:val="24"/>
        </w:rPr>
        <w:t>“Paz, libertad y rechazo a la tiranía atraviesan el pensamiento político</w:t>
      </w:r>
      <w:r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Pr="00D44DD4">
        <w:rPr>
          <w:rFonts w:ascii="Times New Roman" w:hAnsi="Times New Roman"/>
          <w:sz w:val="24"/>
          <w:szCs w:val="24"/>
        </w:rPr>
        <w:t xml:space="preserve"> A esto cabe añadirle lo que refiere H. S. Reiss en la introducción a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59"/>
      </w:r>
      <w:r w:rsidR="00735155" w:rsidRPr="00D44DD4">
        <w:rPr>
          <w:rFonts w:ascii="Times New Roman" w:hAnsi="Times New Roman"/>
          <w:sz w:val="24"/>
          <w:szCs w:val="24"/>
        </w:rPr>
        <w:t xml:space="preserve">. </w:t>
      </w:r>
    </w:p>
    <w:p w14:paraId="6D136A30" w14:textId="7978AD80" w:rsidR="0088645D" w:rsidRPr="00D44DD4"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60"/>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61"/>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62"/>
      </w:r>
    </w:p>
    <w:p w14:paraId="66372BEA" w14:textId="73AA64F1" w:rsidR="0088645D" w:rsidRPr="00D44DD4"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63"/>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64"/>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65"/>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66"/>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67"/>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68"/>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69"/>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70"/>
      </w:r>
      <w:r w:rsidR="006611AB" w:rsidRPr="00D44DD4">
        <w:rPr>
          <w:rFonts w:ascii="Times New Roman" w:hAnsi="Times New Roman"/>
          <w:sz w:val="24"/>
          <w:szCs w:val="24"/>
        </w:rPr>
        <w:t xml:space="preserve">. </w:t>
      </w:r>
    </w:p>
    <w:p w14:paraId="60A86DBE" w14:textId="63904337" w:rsidR="0088645D" w:rsidRPr="00D44DD4"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72"/>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73"/>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74"/>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0A579BFF" w14:textId="101B8F98" w:rsidR="0088645D" w:rsidRPr="00D44DD4" w:rsidRDefault="005E4FAD" w:rsidP="0088645D">
      <w:pPr>
        <w:spacing w:line="360" w:lineRule="auto"/>
        <w:rPr>
          <w:rFonts w:ascii="Times New Roman" w:hAnsi="Times New Roman"/>
          <w:sz w:val="24"/>
          <w:szCs w:val="24"/>
        </w:rPr>
      </w:pPr>
      <w:r w:rsidRPr="00D44DD4">
        <w:rPr>
          <w:rFonts w:ascii="Times New Roman" w:hAnsi="Times New Roman"/>
          <w:sz w:val="24"/>
          <w:szCs w:val="24"/>
        </w:rPr>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w:t>
      </w:r>
      <w:r w:rsidR="0088645D" w:rsidRPr="00D44DD4">
        <w:rPr>
          <w:rFonts w:ascii="Times New Roman" w:hAnsi="Times New Roman"/>
          <w:sz w:val="24"/>
          <w:szCs w:val="24"/>
        </w:rPr>
        <w:lastRenderedPageBreak/>
        <w:t xml:space="preserve">(Kant,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 ya que la conducción está </w:t>
      </w:r>
      <w:r w:rsidR="00080FD5" w:rsidRPr="00D44DD4">
        <w:rPr>
          <w:rFonts w:ascii="Times New Roman" w:hAnsi="Times New Roman"/>
          <w:sz w:val="24"/>
          <w:szCs w:val="24"/>
        </w:rPr>
        <w:t>del lado de la teoría, por cuant</w:t>
      </w:r>
      <w:r w:rsidRPr="00D44DD4">
        <w:rPr>
          <w:rFonts w:ascii="Times New Roman" w:hAnsi="Times New Roman"/>
          <w:sz w:val="24"/>
          <w:szCs w:val="24"/>
        </w:rPr>
        <w:t xml:space="preserve">o contempla las exigencias de las ideas mediante la razón, en lugar de atenerse al ámbito práctico y acostumbrado del derecho positivo. </w:t>
      </w:r>
      <w:r w:rsidR="00611B7E" w:rsidRPr="00D44DD4">
        <w:rPr>
          <w:rFonts w:ascii="Times New Roman" w:hAnsi="Times New Roman"/>
          <w:sz w:val="24"/>
          <w:szCs w:val="24"/>
        </w:rPr>
        <w:t xml:space="preserve">Ejemplo de esto puede encontrarse en que: </w:t>
      </w:r>
      <w:r w:rsidR="0088645D" w:rsidRPr="00D44DD4">
        <w:rPr>
          <w:rFonts w:ascii="Times New Roman" w:hAnsi="Times New Roman"/>
          <w:sz w:val="24"/>
          <w:szCs w:val="24"/>
        </w:rPr>
        <w:t>“Kant ataca toda la herencia de privilegios feudales, un notable problema de su época. También descarta en principio la esclavitud u otra condición política inferior para un ciudadano.” (1991; p. 26)</w:t>
      </w:r>
    </w:p>
    <w:p w14:paraId="787B1A4B" w14:textId="51F31E95" w:rsidR="0088645D" w:rsidRPr="00D44DD4"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Es en esta línea que Reiss expresa un sentido muy claro de lo que representa el pensamiento político de Kant. En primer lugar, es liberal, además de permitir la crítica, y finalmente, representa una sociedad abierta deliberativa. Esto queda expresado por el editor de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7E5C05A6" w14:textId="74A942A3" w:rsidR="000A4443" w:rsidRPr="00D44DD4"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75"/>
      </w:r>
      <w:r w:rsidRPr="00D44DD4">
        <w:rPr>
          <w:rFonts w:ascii="Times New Roman" w:hAnsi="Times New Roman"/>
          <w:sz w:val="24"/>
          <w:szCs w:val="24"/>
        </w:rPr>
        <w:t xml:space="preserve"> Este problema se dirige hacia la idea de una existencia humana cosmopolita en cuanto: “</w:t>
      </w:r>
      <w:r w:rsidRPr="00D44DD4">
        <w:rPr>
          <w:rFonts w:ascii="Times New Roman" w:hAnsi="Times New Roman"/>
          <w:sz w:val="24"/>
          <w:szCs w:val="24"/>
        </w:rPr>
        <w:t>El derecho, sin embargo, no puede posiblemente prevalecer entre los seres humanos a lo largo de un estado si su libertad está amenazada por la acción de otros estados</w:t>
      </w:r>
      <w:r w:rsidRPr="00D44DD4">
        <w:rPr>
          <w:rFonts w:ascii="Times New Roman" w:hAnsi="Times New Roman"/>
          <w:sz w:val="24"/>
          <w:szCs w:val="24"/>
        </w:rPr>
        <w:t xml:space="preserve"> </w:t>
      </w:r>
      <w:r w:rsidRPr="00D44DD4">
        <w:rPr>
          <w:rFonts w:ascii="Times New Roman" w:hAnsi="Times New Roman"/>
          <w:sz w:val="24"/>
          <w:szCs w:val="24"/>
        </w:rPr>
        <w:t>(1991; p. 33)</w:t>
      </w:r>
      <w:r w:rsidRPr="00D44DD4">
        <w:rPr>
          <w:rFonts w:ascii="Times New Roman" w:hAnsi="Times New Roman"/>
          <w:sz w:val="24"/>
          <w:szCs w:val="24"/>
        </w:rPr>
        <w:t>”</w:t>
      </w:r>
      <w:r w:rsidRPr="00D44DD4">
        <w:rPr>
          <w:rFonts w:ascii="Times New Roman" w:hAnsi="Times New Roman"/>
          <w:sz w:val="24"/>
          <w:szCs w:val="24"/>
        </w:rPr>
        <w:t xml:space="preserve"> y precisamente por ello: “Este es el problema último de la política.”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76"/>
      </w:r>
      <w:r w:rsidRPr="00D44DD4">
        <w:rPr>
          <w:rFonts w:ascii="Times New Roman" w:hAnsi="Times New Roman"/>
          <w:sz w:val="24"/>
          <w:szCs w:val="24"/>
        </w:rPr>
        <w:t xml:space="preserve"> y precisamente por ello, es finalidad del proyecto crítico, tanto para lo moral, como lo jurídico, lo político y la educación que: </w:t>
      </w:r>
      <w:r w:rsidR="0088645D" w:rsidRPr="00D44DD4">
        <w:rPr>
          <w:rFonts w:ascii="Times New Roman" w:hAnsi="Times New Roman"/>
          <w:sz w:val="24"/>
          <w:szCs w:val="24"/>
        </w:rPr>
        <w:t>“Es un deber el trabajar en miras del establecimiento de una sociedad cosmopolita.” (1991; p. 34)</w:t>
      </w:r>
    </w:p>
    <w:p w14:paraId="0F6FA430" w14:textId="01DD9362" w:rsidR="0088645D" w:rsidRPr="00D44DD4" w:rsidRDefault="000A4443"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xml:space="preserve">” </w:t>
      </w:r>
      <w:r w:rsidRPr="00D44DD4">
        <w:rPr>
          <w:rFonts w:ascii="Times New Roman" w:hAnsi="Times New Roman"/>
          <w:sz w:val="24"/>
          <w:szCs w:val="24"/>
        </w:rPr>
        <w:t>(1991; p. 34)</w:t>
      </w:r>
      <w:r w:rsidRPr="00D44DD4">
        <w:rPr>
          <w:rFonts w:ascii="Times New Roman" w:hAnsi="Times New Roman"/>
          <w:sz w:val="24"/>
          <w:szCs w:val="24"/>
        </w:rPr>
        <w:t xml:space="preserve">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63C79827" w14:textId="4550C104" w:rsidR="0088645D" w:rsidRPr="00D44DD4"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w:t>
      </w:r>
      <w:r w:rsidRPr="00D44DD4">
        <w:rPr>
          <w:rFonts w:ascii="Times New Roman" w:hAnsi="Times New Roman"/>
          <w:sz w:val="24"/>
          <w:szCs w:val="24"/>
        </w:rPr>
        <w:t xml:space="preserve"> cuando refiere que la naturaleza siembra un sentido a la historia</w:t>
      </w:r>
      <w:r w:rsidRPr="00D44DD4">
        <w:rPr>
          <w:rStyle w:val="Refdenotaalpie"/>
          <w:rFonts w:ascii="Times New Roman" w:hAnsi="Times New Roman"/>
          <w:sz w:val="24"/>
          <w:szCs w:val="24"/>
        </w:rPr>
        <w:footnoteReference w:id="77"/>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78"/>
      </w:r>
      <w:r w:rsidRPr="00D44DD4">
        <w:rPr>
          <w:rFonts w:ascii="Times New Roman" w:hAnsi="Times New Roman"/>
          <w:sz w:val="24"/>
          <w:szCs w:val="24"/>
        </w:rPr>
        <w:t xml:space="preserve"> al ser humano. Justamente en este sentido fundamental, uno 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w:t>
      </w:r>
      <w:r w:rsidR="00307ACF" w:rsidRPr="00D44DD4">
        <w:rPr>
          <w:rFonts w:ascii="Times New Roman" w:hAnsi="Times New Roman"/>
          <w:sz w:val="24"/>
          <w:szCs w:val="24"/>
        </w:rPr>
        <w:lastRenderedPageBreak/>
        <w:t xml:space="preserve">educación representa esa raíz de la cual florece la racionalidad política. Esto queda evidenciado cuando Reiss nos indica que: </w:t>
      </w:r>
    </w:p>
    <w:p w14:paraId="7B24FE16" w14:textId="797B2D32" w:rsidR="0088645D" w:rsidRPr="00D44DD4"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004713BA" w14:textId="5C1814CE" w:rsidR="0088645D" w:rsidRPr="00D44DD4"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w:t>
      </w:r>
      <w:r w:rsidRPr="00D44DD4">
        <w:rPr>
          <w:rFonts w:ascii="Times New Roman" w:hAnsi="Times New Roman"/>
          <w:sz w:val="24"/>
          <w:szCs w:val="24"/>
        </w:rPr>
        <w:t xml:space="preserve">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79"/>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80"/>
      </w:r>
      <w:r w:rsidRPr="00D44DD4">
        <w:rPr>
          <w:rFonts w:ascii="Times New Roman" w:hAnsi="Times New Roman"/>
          <w:sz w:val="24"/>
          <w:szCs w:val="24"/>
        </w:rPr>
        <w:t xml:space="preserve"> y seguida de su propuesta moral. </w:t>
      </w:r>
    </w:p>
    <w:p w14:paraId="552157D7" w14:textId="555DA109" w:rsidR="0088645D" w:rsidRPr="00D44DD4" w:rsidRDefault="00904763" w:rsidP="0088645D">
      <w:pPr>
        <w:spacing w:line="360" w:lineRule="auto"/>
        <w:rPr>
          <w:rFonts w:ascii="Times New Roman" w:hAnsi="Times New Roman"/>
          <w:sz w:val="24"/>
          <w:szCs w:val="24"/>
          <w:lang w:val="en-US"/>
        </w:rPr>
      </w:pPr>
      <w:r w:rsidRPr="00D44DD4">
        <w:rPr>
          <w:rFonts w:ascii="Times New Roman" w:hAnsi="Times New Roman"/>
          <w:sz w:val="24"/>
          <w:szCs w:val="24"/>
        </w:rPr>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w:t>
      </w:r>
      <w:r w:rsidR="0088645D" w:rsidRPr="00D44DD4">
        <w:rPr>
          <w:rFonts w:ascii="Times New Roman" w:hAnsi="Times New Roman"/>
          <w:sz w:val="24"/>
          <w:szCs w:val="24"/>
        </w:rPr>
        <w:lastRenderedPageBreak/>
        <w:t xml:space="preserve">pensamiento político debe ser de interés, para todos aquél que valore los usos de la razón en la vida pública.” </w:t>
      </w:r>
      <w:r w:rsidR="0088645D" w:rsidRPr="00D44DD4">
        <w:rPr>
          <w:rFonts w:ascii="Times New Roman" w:hAnsi="Times New Roman"/>
          <w:sz w:val="24"/>
          <w:szCs w:val="24"/>
          <w:lang w:val="en-US"/>
        </w:rPr>
        <w:t>(1991; p.40)</w:t>
      </w:r>
    </w:p>
    <w:p w14:paraId="53104943" w14:textId="2F1F80BD" w:rsidR="00225871" w:rsidRPr="00D44DD4"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(1992)</w:t>
      </w:r>
      <w:r w:rsidRPr="00D44DD4">
        <w:rPr>
          <w:rFonts w:ascii="Times New Roman" w:hAnsi="Times New Roman"/>
          <w:sz w:val="24"/>
          <w:szCs w:val="24"/>
          <w:lang w:val="es-PE"/>
        </w:rPr>
        <w:t xml:space="preserve">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81"/>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7E782E2F" w14:textId="186AF6B1" w:rsidR="00F07AA7" w:rsidRPr="00D44DD4"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“Lo público es un elemento clave entre los conceptos políticos de Kant; 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20A33747" w14:textId="5BAF2E1A" w:rsidR="00994B56" w:rsidRPr="00D44DD4"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E47EFDB" w14:textId="1714B420" w:rsidR="00225871" w:rsidRPr="00D44DD4"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O´Neill</w:t>
      </w:r>
      <w:r w:rsidRPr="00D44DD4">
        <w:rPr>
          <w:rFonts w:ascii="Times New Roman" w:hAnsi="Times New Roman"/>
          <w:sz w:val="24"/>
          <w:szCs w:val="24"/>
          <w:lang w:val="es-PE"/>
        </w:rPr>
        <w:t xml:space="preserve">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w:t>
      </w:r>
      <w:r w:rsidR="00DB7945" w:rsidRPr="00D44DD4">
        <w:rPr>
          <w:rFonts w:ascii="Times New Roman" w:hAnsi="Times New Roman"/>
          <w:sz w:val="24"/>
          <w:szCs w:val="24"/>
          <w:lang w:val="es-PE"/>
        </w:rPr>
        <w:lastRenderedPageBreak/>
        <w:t xml:space="preserve">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82"/>
      </w:r>
      <w:r w:rsidR="00E64CE9" w:rsidRPr="00D44DD4">
        <w:rPr>
          <w:rFonts w:ascii="Times New Roman" w:hAnsi="Times New Roman"/>
          <w:sz w:val="24"/>
          <w:szCs w:val="24"/>
        </w:rPr>
        <w:t xml:space="preserve">.  </w:t>
      </w:r>
    </w:p>
    <w:p w14:paraId="443E1F0C" w14:textId="62FBCB12" w:rsidR="00225871" w:rsidRPr="00D44DD4" w:rsidRDefault="00E64CE9" w:rsidP="00225871">
      <w:pPr>
        <w:spacing w:line="360" w:lineRule="auto"/>
        <w:rPr>
          <w:rFonts w:ascii="Times New Roman" w:hAnsi="Times New Roman"/>
          <w:sz w:val="24"/>
          <w:szCs w:val="24"/>
        </w:rPr>
      </w:pPr>
      <w:r w:rsidRPr="00D44DD4">
        <w:rPr>
          <w:rFonts w:ascii="Times New Roman" w:hAnsi="Times New Roman"/>
          <w:sz w:val="24"/>
          <w:szCs w:val="24"/>
        </w:rPr>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83"/>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70AA67E3" w14:textId="5464FD2F"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w:t>
      </w:r>
      <w:proofErr w:type="spellStart"/>
      <w:r w:rsidRPr="00D44DD4">
        <w:rPr>
          <w:rFonts w:ascii="Times New Roman" w:hAnsi="Times New Roman"/>
          <w:sz w:val="24"/>
          <w:szCs w:val="24"/>
        </w:rPr>
        <w:t>Caviglia</w:t>
      </w:r>
      <w:proofErr w:type="spellEnd"/>
      <w:r w:rsidRPr="00D44DD4">
        <w:rPr>
          <w:rFonts w:ascii="Times New Roman" w:hAnsi="Times New Roman"/>
          <w:sz w:val="24"/>
          <w:szCs w:val="24"/>
        </w:rPr>
        <w:t xml:space="preserve">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84"/>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w:t>
      </w:r>
      <w:r w:rsidRPr="00D44DD4">
        <w:rPr>
          <w:rFonts w:ascii="Times New Roman" w:hAnsi="Times New Roman"/>
          <w:sz w:val="24"/>
          <w:szCs w:val="24"/>
        </w:rPr>
        <w:lastRenderedPageBreak/>
        <w:t>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63C216E6" w:rsidR="004C4429" w:rsidRPr="00D44DD4" w:rsidRDefault="004C4429" w:rsidP="004C442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desarrollada por Kant. </w:t>
      </w: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01B16E2" w:rsidR="00EA5D6C" w:rsidRPr="00D44DD4" w:rsidRDefault="00142CCE"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77DA3BC6"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0A3410DF"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0A77EAE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357B094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C203B44"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7529EC0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50FF37"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125BDB3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68F4A417"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0C47F68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3FC9494C"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280DC18D"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32C7090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8B1297B" w14:textId="77777777" w:rsidR="00417078" w:rsidRPr="00D44DD4" w:rsidRDefault="00417078"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5F911D6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5D223B28"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5444A99"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r w:rsidRPr="00D44DD4">
        <w:rPr>
          <w:rFonts w:ascii="Times New Roman" w:hAnsi="Times New Roman"/>
          <w:sz w:val="24"/>
          <w:szCs w:val="24"/>
          <w:lang w:val="en-US"/>
        </w:rPr>
        <w:t xml:space="preserve">Ediciones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27EE73A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01D682C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1D63512D"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62DF92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2CBB1FEF"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21C4EF77"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1B23615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375996B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2F834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070DED5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3C57192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746C788B" w14:textId="77777777" w:rsidR="00417078" w:rsidRPr="00D44DD4" w:rsidRDefault="00417078"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005974C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02E252D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F8F987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02D98144"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FB2D82"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 xml:space="preserve">Kant </w:t>
      </w:r>
      <w:proofErr w:type="spellStart"/>
      <w:r w:rsidRPr="00D44DD4">
        <w:rPr>
          <w:rFonts w:ascii="Times New Roman" w:hAnsi="Times New Roman"/>
          <w:i/>
          <w:sz w:val="24"/>
          <w:szCs w:val="24"/>
          <w:lang w:val="es-PE"/>
        </w:rPr>
        <w:t>political</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H.S. Reiss</w:t>
      </w:r>
    </w:p>
    <w:p w14:paraId="700DB92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98500B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5E78FD3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629607AE"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30B197F8" w14:textId="77777777" w:rsidR="00417078" w:rsidRPr="00D44DD4" w:rsidRDefault="00417078"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281FE54E"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6AAC9D80"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7B23323B"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104AEF82"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Kymlicka,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25D2FB43"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9FDF33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67349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859F2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1DBFC4E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0F23EB1"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485BE58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0881C5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758D840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510E58AE"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2E6CF323"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24B85D1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4FD7C086"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2301C2FA" w14:textId="77777777" w:rsidR="00417078" w:rsidRPr="00D44DD4" w:rsidRDefault="00417078"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15A1B2AF" w14:textId="77777777" w:rsidR="00417078" w:rsidRPr="00D44DD4" w:rsidRDefault="00417078" w:rsidP="00546B0C">
      <w:pPr>
        <w:ind w:left="720" w:hanging="720"/>
        <w:rPr>
          <w:rFonts w:ascii="Times New Roman" w:hAnsi="Times New Roman"/>
          <w:sz w:val="24"/>
          <w:szCs w:val="24"/>
          <w:lang w:val="en-US"/>
        </w:rPr>
      </w:pPr>
      <w:r w:rsidRPr="00D44DD4">
        <w:rPr>
          <w:rFonts w:ascii="Times New Roman" w:hAnsi="Times New Roman"/>
          <w:sz w:val="24"/>
          <w:szCs w:val="24"/>
          <w:lang w:val="en-US"/>
        </w:rPr>
        <w:t xml:space="preserve">Williams, B. (1998) </w:t>
      </w:r>
      <w:proofErr w:type="spellStart"/>
      <w:r w:rsidRPr="00D44DD4">
        <w:rPr>
          <w:rFonts w:ascii="Times New Roman" w:hAnsi="Times New Roman"/>
          <w:i/>
          <w:sz w:val="24"/>
          <w:szCs w:val="24"/>
          <w:lang w:val="en-US"/>
        </w:rPr>
        <w:t>Introducción</w:t>
      </w:r>
      <w:proofErr w:type="spellEnd"/>
      <w:r w:rsidRPr="00D44DD4">
        <w:rPr>
          <w:rFonts w:ascii="Times New Roman" w:hAnsi="Times New Roman"/>
          <w:i/>
          <w:sz w:val="24"/>
          <w:szCs w:val="24"/>
          <w:lang w:val="en-US"/>
        </w:rPr>
        <w:t xml:space="preserve"> a la </w:t>
      </w:r>
      <w:proofErr w:type="spellStart"/>
      <w:r w:rsidRPr="00D44DD4">
        <w:rPr>
          <w:rFonts w:ascii="Times New Roman" w:hAnsi="Times New Roman"/>
          <w:i/>
          <w:sz w:val="24"/>
          <w:szCs w:val="24"/>
          <w:lang w:val="en-US"/>
        </w:rPr>
        <w:t>ética</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Colección</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Teorema</w:t>
      </w:r>
      <w:proofErr w:type="spellEnd"/>
      <w:r w:rsidRPr="00D44DD4">
        <w:rPr>
          <w:rFonts w:ascii="Times New Roman" w:hAnsi="Times New Roman"/>
          <w:sz w:val="24"/>
          <w:szCs w:val="24"/>
          <w:lang w:val="en-US"/>
        </w:rPr>
        <w:t>.</w:t>
      </w:r>
      <w:bookmarkEnd w:id="0"/>
    </w:p>
    <w:sectPr w:rsidR="00417078" w:rsidRPr="00D44DD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FD302" w14:textId="77777777" w:rsidR="00E32A2A" w:rsidRDefault="00E32A2A" w:rsidP="009D68C6">
      <w:pPr>
        <w:spacing w:after="0"/>
      </w:pPr>
      <w:r>
        <w:separator/>
      </w:r>
    </w:p>
  </w:endnote>
  <w:endnote w:type="continuationSeparator" w:id="0">
    <w:p w14:paraId="1503BFDD" w14:textId="77777777" w:rsidR="00E32A2A" w:rsidRDefault="00E32A2A"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5E4FAD" w:rsidRPr="00142CCE" w:rsidRDefault="005E4FAD"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430F3" w14:textId="77777777" w:rsidR="00E32A2A" w:rsidRDefault="00E32A2A" w:rsidP="009D68C6">
      <w:pPr>
        <w:spacing w:after="0"/>
      </w:pPr>
      <w:r>
        <w:separator/>
      </w:r>
    </w:p>
  </w:footnote>
  <w:footnote w:type="continuationSeparator" w:id="0">
    <w:p w14:paraId="5C3DDCFA" w14:textId="77777777" w:rsidR="00E32A2A" w:rsidRDefault="00E32A2A" w:rsidP="009D68C6">
      <w:pPr>
        <w:spacing w:after="0"/>
      </w:pPr>
      <w:r>
        <w:continuationSeparator/>
      </w:r>
    </w:p>
  </w:footnote>
  <w:footnote w:id="1">
    <w:p w14:paraId="63E94597" w14:textId="4C0C26E9" w:rsidR="005E4FAD" w:rsidRPr="00DD473A" w:rsidRDefault="005E4FAD"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5E4FAD" w:rsidRPr="00061484" w:rsidRDefault="005E4FAD" w:rsidP="00866EB2">
      <w:pPr>
        <w:rPr>
          <w:rFonts w:ascii="Times New Roman" w:hAnsi="Times New Roman"/>
          <w:color w:val="000000" w:themeColor="text1"/>
          <w:sz w:val="24"/>
          <w:szCs w:val="24"/>
        </w:rPr>
      </w:pPr>
    </w:p>
    <w:p w14:paraId="3D3A76C8" w14:textId="1B28B539" w:rsidR="005E4FAD" w:rsidRPr="00866EB2" w:rsidRDefault="005E4FAD">
      <w:pPr>
        <w:pStyle w:val="Textonotapie"/>
        <w:rPr>
          <w:lang w:val="es-PE"/>
        </w:rPr>
      </w:pPr>
    </w:p>
  </w:footnote>
  <w:footnote w:id="2">
    <w:p w14:paraId="3329D79D" w14:textId="2753CC65" w:rsidR="005E4FAD" w:rsidRPr="00716CA7" w:rsidRDefault="005E4FAD">
      <w:pPr>
        <w:pStyle w:val="Textonotapie"/>
      </w:pPr>
      <w:r w:rsidRPr="00815C4B">
        <w:rPr>
          <w:rStyle w:val="Refdenotaalpie"/>
          <w:rFonts w:ascii="Times New Roman" w:hAnsi="Times New Roman"/>
        </w:rPr>
        <w:footnoteRef/>
      </w:r>
      <w:r w:rsidRPr="00815C4B">
        <w:rPr>
          <w:rFonts w:ascii="Times New Roman" w:hAnsi="Times New Roman"/>
        </w:rPr>
        <w:t xml:space="preserve"> </w:t>
      </w:r>
      <w:proofErr w:type="spellStart"/>
      <w:r w:rsidRPr="00815C4B">
        <w:rPr>
          <w:rFonts w:ascii="Times New Roman" w:hAnsi="Times New Roman"/>
          <w:color w:val="4D5156"/>
          <w:shd w:val="clear" w:color="auto" w:fill="FFFFFF"/>
        </w:rPr>
        <w:t>Κρίνειν</w:t>
      </w:r>
      <w:proofErr w:type="spellEnd"/>
      <w:r w:rsidRPr="00716CA7">
        <w:rPr>
          <w:rFonts w:ascii="Times New Roman" w:hAnsi="Times New Roman"/>
          <w:color w:val="4D5156"/>
          <w:shd w:val="clear" w:color="auto" w:fill="FFFFFF"/>
        </w:rPr>
        <w:t>, en cuanto verbo, supone:</w:t>
      </w:r>
      <w:r w:rsidRPr="00716CA7">
        <w:rPr>
          <w:rFonts w:ascii="Times New Roman" w:hAnsi="Times New Roman"/>
        </w:rPr>
        <w:t xml:space="preserve"> separar, decidir.</w:t>
      </w:r>
    </w:p>
  </w:footnote>
  <w:footnote w:id="3">
    <w:p w14:paraId="3B60BBD6" w14:textId="19A17028" w:rsidR="005E4FAD" w:rsidRPr="0041523B" w:rsidRDefault="005E4FAD">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4">
    <w:p w14:paraId="26DEFF32" w14:textId="5D5D7925" w:rsidR="005E4FAD" w:rsidRPr="005A5142" w:rsidRDefault="005E4FAD"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5">
    <w:p w14:paraId="01EDE015" w14:textId="6E92445E" w:rsidR="005E4FAD" w:rsidRPr="005F48DE" w:rsidRDefault="005E4FAD"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6">
    <w:p w14:paraId="05F4400D" w14:textId="7728C52B" w:rsidR="005E4FAD" w:rsidRPr="005F3B23" w:rsidRDefault="005E4FAD">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7">
    <w:p w14:paraId="4BE620AB" w14:textId="5BA60AA1" w:rsidR="005E4FAD" w:rsidRPr="005F3B23" w:rsidRDefault="005E4FAD">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8">
    <w:p w14:paraId="277CBC4A" w14:textId="77777777" w:rsidR="005E4FAD" w:rsidRPr="00061484" w:rsidRDefault="005E4FAD"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5E4FAD" w:rsidRPr="007970ED" w:rsidRDefault="005E4FAD">
      <w:pPr>
        <w:pStyle w:val="Textonotapie"/>
        <w:rPr>
          <w:rFonts w:ascii="Times New Roman" w:hAnsi="Times New Roman"/>
          <w:lang w:val="es-PE"/>
        </w:rPr>
      </w:pPr>
    </w:p>
  </w:footnote>
  <w:footnote w:id="9">
    <w:p w14:paraId="5AF048B8" w14:textId="77777777" w:rsidR="005E4FAD" w:rsidRPr="009875AF" w:rsidRDefault="005E4FAD"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5E4FAD" w:rsidRPr="009875AF" w:rsidRDefault="005E4FAD" w:rsidP="009875AF">
      <w:pPr>
        <w:pStyle w:val="Textonotapie"/>
      </w:pPr>
    </w:p>
  </w:footnote>
  <w:footnote w:id="10">
    <w:p w14:paraId="5503426D" w14:textId="1680C5DF" w:rsidR="005E4FAD" w:rsidRPr="00F6388A" w:rsidRDefault="005E4FAD"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1">
    <w:p w14:paraId="3E069F6B" w14:textId="6BE7D61D" w:rsidR="005E4FAD" w:rsidRPr="006364A4" w:rsidRDefault="005E4FAD"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2">
    <w:p w14:paraId="3D47831E" w14:textId="2C0CE620" w:rsidR="005E4FAD" w:rsidRPr="006F0018" w:rsidRDefault="005E4FAD"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Reiss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13">
    <w:p w14:paraId="44AF315C" w14:textId="5596FE94" w:rsidR="005E4FAD" w:rsidRPr="003334E4" w:rsidRDefault="005E4FA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14">
    <w:p w14:paraId="00D11D4F" w14:textId="7980C391" w:rsidR="005E4FAD" w:rsidRPr="003334E4" w:rsidRDefault="005E4FA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15">
    <w:p w14:paraId="5BF82365" w14:textId="7689B754" w:rsidR="005E4FAD" w:rsidRPr="003F5CE4" w:rsidRDefault="005E4FAD" w:rsidP="003F5CE4">
      <w:pPr>
        <w:rPr>
          <w:rFonts w:ascii="Times New Roman" w:hAnsi="Times New Roman"/>
          <w:color w:val="000000" w:themeColor="text1"/>
          <w:sz w:val="20"/>
          <w:szCs w:val="20"/>
        </w:rPr>
      </w:pPr>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54874076" w14:textId="765953FE" w:rsidR="005E4FAD" w:rsidRPr="003F5CE4" w:rsidRDefault="005E4FAD">
      <w:pPr>
        <w:pStyle w:val="Textonotapie"/>
      </w:pPr>
    </w:p>
  </w:footnote>
  <w:footnote w:id="16">
    <w:p w14:paraId="01874AE7" w14:textId="7B1D49DC" w:rsidR="005E4FAD" w:rsidRPr="00263C17" w:rsidRDefault="005E4FAD" w:rsidP="00444C94">
      <w:r w:rsidRPr="00263C17">
        <w:rPr>
          <w:rStyle w:val="Refdenotaalpie"/>
          <w:rFonts w:ascii="Times New Roman" w:hAnsi="Times New Roman"/>
          <w:sz w:val="20"/>
          <w:szCs w:val="20"/>
        </w:rPr>
        <w:footnoteRef/>
      </w:r>
      <w:r>
        <w:rPr>
          <w:rFonts w:ascii="Times New Roman" w:hAnsi="Times New Roman"/>
          <w:sz w:val="20"/>
          <w:szCs w:val="20"/>
        </w:rPr>
        <w:t xml:space="preserve"> Reiss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17">
    <w:p w14:paraId="0884B5F6" w14:textId="77777777" w:rsidR="00444C94" w:rsidRPr="00444C94" w:rsidRDefault="00444C94"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444C94" w:rsidRPr="00444C94" w:rsidRDefault="00444C94">
      <w:pPr>
        <w:pStyle w:val="Textonotapie"/>
      </w:pPr>
    </w:p>
  </w:footnote>
  <w:footnote w:id="18">
    <w:p w14:paraId="01572D42" w14:textId="0E70AE2F" w:rsidR="005E4FAD" w:rsidRPr="00A71C75" w:rsidRDefault="005E4FAD"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19">
    <w:p w14:paraId="3FDDFE71" w14:textId="76AF2550" w:rsidR="005E4FAD" w:rsidRPr="00C77EA4" w:rsidRDefault="005E4FAD"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20">
    <w:p w14:paraId="3B5CFD00" w14:textId="57A95581" w:rsidR="005E4FAD" w:rsidRPr="009E4EEC" w:rsidRDefault="005E4FAD"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w:t>
      </w:r>
      <w:r w:rsidRPr="00CA66B7">
        <w:rPr>
          <w:rFonts w:ascii="Times New Roman" w:hAnsi="Times New Roman"/>
          <w:color w:val="FF0000"/>
          <w:sz w:val="20"/>
          <w:szCs w:val="20"/>
        </w:rPr>
        <w:t>Me temo que no recuerdo esta referencia, pero creo que lo dice en las lecciones de ética</w:t>
      </w:r>
      <w:r>
        <w:rPr>
          <w:rFonts w:ascii="Times New Roman" w:hAnsi="Times New Roman"/>
          <w:color w:val="FF0000"/>
          <w:sz w:val="20"/>
          <w:szCs w:val="20"/>
        </w:rPr>
        <w:t xml:space="preserve"> o</w:t>
      </w:r>
      <w:r w:rsidRPr="00CA66B7">
        <w:rPr>
          <w:rFonts w:ascii="Times New Roman" w:hAnsi="Times New Roman"/>
          <w:color w:val="FF0000"/>
          <w:sz w:val="20"/>
          <w:szCs w:val="20"/>
        </w:rPr>
        <w:t xml:space="preserve"> de pedagogía. </w:t>
      </w:r>
      <w:r w:rsidRPr="00CA66B7">
        <w:rPr>
          <w:rFonts w:ascii="Times New Roman" w:hAnsi="Times New Roman"/>
          <w:sz w:val="20"/>
          <w:szCs w:val="20"/>
        </w:rPr>
        <w:t>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21">
    <w:p w14:paraId="1DC88EAD" w14:textId="38BC3A9D" w:rsidR="005E4FAD" w:rsidRPr="00263C17" w:rsidRDefault="005E4FAD"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5E4FAD" w:rsidRPr="00263C17" w:rsidRDefault="005E4FAD">
      <w:pPr>
        <w:pStyle w:val="Textonotapie"/>
      </w:pPr>
    </w:p>
  </w:footnote>
  <w:footnote w:id="22">
    <w:p w14:paraId="6795C370" w14:textId="7E7AE5B0" w:rsidR="005E4FAD" w:rsidRPr="004B5F58" w:rsidRDefault="005E4FAD"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5E4FAD" w:rsidRPr="004B5F58" w:rsidRDefault="005E4FAD">
      <w:pPr>
        <w:pStyle w:val="Textonotapie"/>
        <w:rPr>
          <w:lang w:val="es-PE"/>
        </w:rPr>
      </w:pPr>
    </w:p>
  </w:footnote>
  <w:footnote w:id="23">
    <w:p w14:paraId="6A6386C9" w14:textId="1C97E8AB" w:rsidR="005E4FAD" w:rsidRPr="006F03FD" w:rsidRDefault="005E4FAD"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24">
    <w:p w14:paraId="67429498" w14:textId="5B1BD7C8" w:rsidR="005E4FAD" w:rsidRPr="00E9124D" w:rsidRDefault="005E4FAD"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5E4FAD" w:rsidRPr="00E9124D" w:rsidRDefault="005E4FAD" w:rsidP="00E9124D">
      <w:pPr>
        <w:pStyle w:val="Textonotapie"/>
        <w:rPr>
          <w:rFonts w:ascii="Times New Roman" w:hAnsi="Times New Roman"/>
          <w:lang w:val="es-PE"/>
        </w:rPr>
      </w:pPr>
    </w:p>
  </w:footnote>
  <w:footnote w:id="25">
    <w:p w14:paraId="5539FF71" w14:textId="5DB49E24" w:rsidR="005E4FAD" w:rsidRPr="00E9124D" w:rsidRDefault="005E4FAD" w:rsidP="00E9124D">
      <w:pPr>
        <w:rPr>
          <w:rFonts w:ascii="Times New Roman" w:hAnsi="Times New Roman"/>
          <w:color w:val="000000" w:themeColor="text1"/>
          <w:sz w:val="20"/>
          <w:szCs w:val="20"/>
        </w:rPr>
      </w:pPr>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14:paraId="336CD1E6" w14:textId="24FE9229" w:rsidR="005E4FAD" w:rsidRPr="00E9124D" w:rsidRDefault="005E4FAD">
      <w:pPr>
        <w:pStyle w:val="Textonotapie"/>
      </w:pPr>
    </w:p>
  </w:footnote>
  <w:footnote w:id="26">
    <w:p w14:paraId="70B15141" w14:textId="56837AD6" w:rsidR="005E4FAD" w:rsidRPr="004531F2" w:rsidRDefault="005E4FAD"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27">
    <w:p w14:paraId="1553EC78" w14:textId="56155863" w:rsidR="005E4FAD" w:rsidRDefault="005E4FAD"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5E4FAD" w:rsidRPr="00A258C1" w:rsidRDefault="005E4FAD">
      <w:pPr>
        <w:pStyle w:val="Textonotapie"/>
        <w:rPr>
          <w:lang w:val="es-PE"/>
        </w:rPr>
      </w:pPr>
    </w:p>
  </w:footnote>
  <w:footnote w:id="28">
    <w:p w14:paraId="7DA71C6C" w14:textId="070D10B7" w:rsidR="005E4FAD" w:rsidRPr="00A258C1" w:rsidRDefault="005E4FAD"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29">
    <w:p w14:paraId="23BE62E3" w14:textId="6453BE45" w:rsidR="005E4FAD" w:rsidRPr="00A258C1" w:rsidRDefault="005E4FAD"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30">
    <w:p w14:paraId="6BA2B6FB" w14:textId="77777777" w:rsidR="005E4FAD" w:rsidRPr="00460A4B" w:rsidRDefault="005E4FAD" w:rsidP="00460A4B">
      <w:pPr>
        <w:spacing w:after="0"/>
        <w:rPr>
          <w:rFonts w:ascii="Times New Roman" w:hAnsi="Times New Roman"/>
          <w:sz w:val="20"/>
          <w:szCs w:val="20"/>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p w14:paraId="53028EBA" w14:textId="04CDF0FC" w:rsidR="005E4FAD" w:rsidRPr="00460A4B" w:rsidRDefault="005E4FAD">
      <w:pPr>
        <w:pStyle w:val="Textonotapie"/>
        <w:rPr>
          <w:lang w:val="es-PE"/>
        </w:rPr>
      </w:pPr>
    </w:p>
  </w:footnote>
  <w:footnote w:id="31">
    <w:p w14:paraId="25E66B9A" w14:textId="77777777" w:rsidR="005E4FAD" w:rsidRPr="00C82D40" w:rsidRDefault="005E4FAD" w:rsidP="00C82D40">
      <w:pPr>
        <w:spacing w:after="0"/>
        <w:rPr>
          <w:rFonts w:ascii="Times New Roman" w:hAnsi="Times New Roman"/>
          <w:sz w:val="20"/>
          <w:szCs w:val="20"/>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p w14:paraId="4274260B" w14:textId="5AB67D01" w:rsidR="005E4FAD" w:rsidRPr="00C82D40" w:rsidRDefault="005E4FAD">
      <w:pPr>
        <w:pStyle w:val="Textonotapie"/>
        <w:rPr>
          <w:lang w:val="es-PE"/>
        </w:rPr>
      </w:pPr>
    </w:p>
  </w:footnote>
  <w:footnote w:id="32">
    <w:p w14:paraId="39032D4F" w14:textId="34ABE279" w:rsidR="00080FD5" w:rsidRPr="00080FD5" w:rsidRDefault="00080FD5"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Reiss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33">
    <w:p w14:paraId="7210881D" w14:textId="4E568A82" w:rsidR="00080FD5" w:rsidRPr="00080FD5" w:rsidRDefault="00080FD5"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34">
    <w:p w14:paraId="4906EC6C" w14:textId="12A17B89" w:rsidR="005E4FAD" w:rsidRPr="009B2A6A" w:rsidRDefault="005E4FAD"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5E4FAD" w:rsidRPr="009B2A6A" w:rsidRDefault="005E4FAD">
      <w:pPr>
        <w:pStyle w:val="Textonotapie"/>
        <w:rPr>
          <w:lang w:val="es-PE"/>
        </w:rPr>
      </w:pPr>
    </w:p>
  </w:footnote>
  <w:footnote w:id="35">
    <w:p w14:paraId="3994BB30" w14:textId="0DC6D622" w:rsidR="005E4FAD" w:rsidRPr="001444F3" w:rsidRDefault="005E4FAD"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36">
    <w:p w14:paraId="1C8A6000" w14:textId="4CC64F31" w:rsidR="005E4FAD" w:rsidRPr="001444F3" w:rsidRDefault="005E4FAD"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37">
    <w:p w14:paraId="7BE5480A" w14:textId="663583D7" w:rsidR="005E4FAD" w:rsidRPr="00C312E4" w:rsidRDefault="005E4FAD"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38">
    <w:p w14:paraId="5E162262" w14:textId="40B937A1" w:rsidR="00283F2A" w:rsidRPr="00283F2A" w:rsidRDefault="00283F2A"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39">
    <w:p w14:paraId="505DF7E5" w14:textId="099F4F17" w:rsidR="00C11956" w:rsidRPr="00C11956" w:rsidRDefault="00C11956"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40">
    <w:p w14:paraId="0E3C05F0" w14:textId="244C4B88" w:rsidR="005E4FAD" w:rsidRPr="00C312E4" w:rsidRDefault="005E4FAD"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41">
    <w:p w14:paraId="7F61FDCB" w14:textId="2B9A80C9" w:rsidR="00611B7E" w:rsidRPr="00611B7E" w:rsidRDefault="00611B7E"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sidR="00A5217E">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42">
    <w:p w14:paraId="0FAD9715" w14:textId="3022F259" w:rsidR="005E4FAD" w:rsidRPr="008E7FAA" w:rsidRDefault="005E4FAD"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43">
    <w:p w14:paraId="64ADAB1D" w14:textId="42BC2186" w:rsidR="006256D7" w:rsidRPr="006256D7" w:rsidRDefault="006256D7"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44">
    <w:p w14:paraId="170E48A6" w14:textId="27453569" w:rsidR="005E4FAD" w:rsidRPr="00B127F0" w:rsidRDefault="005E4FAD"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45">
    <w:p w14:paraId="78298653" w14:textId="708365C0" w:rsidR="005E4FAD" w:rsidRPr="00B127F0" w:rsidRDefault="005E4FAD"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46">
    <w:p w14:paraId="1157E93A" w14:textId="0D8CA5DF" w:rsidR="005E4FAD" w:rsidRPr="00B127F0" w:rsidRDefault="005E4FAD"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47">
    <w:p w14:paraId="71F5D85F" w14:textId="43B725E3" w:rsidR="00FE5934" w:rsidRPr="00FE5934" w:rsidRDefault="00FE5934"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w:t>
      </w:r>
      <w:r w:rsidR="00DE5366" w:rsidRPr="00FE5934">
        <w:rPr>
          <w:rFonts w:ascii="Times New Roman" w:hAnsi="Times New Roman"/>
          <w:color w:val="000000" w:themeColor="text1"/>
          <w:sz w:val="20"/>
          <w:szCs w:val="20"/>
        </w:rPr>
        <w:t>Es,</w:t>
      </w:r>
      <w:r w:rsidRPr="00FE5934">
        <w:rPr>
          <w:rFonts w:ascii="Times New Roman" w:hAnsi="Times New Roman"/>
          <w:color w:val="000000" w:themeColor="text1"/>
          <w:sz w:val="20"/>
          <w:szCs w:val="20"/>
        </w:rPr>
        <w:t xml:space="preserve">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48">
    <w:p w14:paraId="04C301BA" w14:textId="062444D2" w:rsidR="005E4FAD" w:rsidRPr="005A5142" w:rsidRDefault="005E4FAD"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49">
    <w:p w14:paraId="1F480CED" w14:textId="6A8B15CD" w:rsidR="005E4FAD" w:rsidRPr="005A5142" w:rsidRDefault="005E4FAD"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50">
    <w:p w14:paraId="4D2CFB77" w14:textId="1B3E6915" w:rsidR="005E4FAD" w:rsidRPr="005A5142" w:rsidRDefault="005E4FAD">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51">
    <w:p w14:paraId="3581F6A7" w14:textId="3DD31CA2" w:rsidR="005E4FAD" w:rsidRPr="005A5142" w:rsidRDefault="005E4FAD"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52">
    <w:p w14:paraId="3E92BE93" w14:textId="6BE2BE3E" w:rsidR="000A4443" w:rsidRPr="000A4443" w:rsidRDefault="000A4443"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w:t>
      </w:r>
      <w:r w:rsidRPr="000A4443">
        <w:rPr>
          <w:rFonts w:ascii="Times New Roman" w:hAnsi="Times New Roman"/>
          <w:color w:val="000000" w:themeColor="text1"/>
          <w:sz w:val="20"/>
          <w:szCs w:val="20"/>
        </w:rPr>
        <w:t xml:space="preserve"> y luego agrega: </w:t>
      </w:r>
      <w:r w:rsidRPr="000A4443">
        <w:rPr>
          <w:rFonts w:ascii="Times New Roman" w:hAnsi="Times New Roman"/>
          <w:color w:val="000000" w:themeColor="text1"/>
          <w:sz w:val="20"/>
          <w:szCs w:val="20"/>
        </w:rPr>
        <w:t>“Ni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53">
    <w:p w14:paraId="439A81F1" w14:textId="7D2E14D9" w:rsidR="000A4443" w:rsidRPr="000A4443" w:rsidRDefault="000A4443">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54">
    <w:p w14:paraId="3F819C95" w14:textId="4419C70E" w:rsidR="00444C94" w:rsidRPr="00444C94" w:rsidRDefault="00444C94"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55">
    <w:p w14:paraId="31232862" w14:textId="3115CAA0" w:rsidR="00080FD5" w:rsidRPr="00080FD5" w:rsidRDefault="00080FD5"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56">
    <w:p w14:paraId="598172A2" w14:textId="7611DBFF" w:rsidR="00220657" w:rsidRPr="00220657" w:rsidRDefault="00220657"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57">
    <w:p w14:paraId="27EA433F" w14:textId="38254BF2" w:rsidR="005E4FAD" w:rsidRPr="00080FD5" w:rsidRDefault="005E4FAD"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58">
    <w:p w14:paraId="0977E083" w14:textId="561EDDDC" w:rsidR="00080FD5" w:rsidRPr="00080FD5" w:rsidRDefault="00080FD5"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080FD5" w:rsidRPr="00080FD5" w:rsidRDefault="00080FD5">
      <w:pPr>
        <w:pStyle w:val="Textonotapie"/>
      </w:pPr>
    </w:p>
  </w:footnote>
  <w:footnote w:id="59">
    <w:p w14:paraId="3578FD30" w14:textId="519D710E" w:rsidR="005E4FAD" w:rsidRPr="00735155" w:rsidRDefault="005E4FAD"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60">
    <w:p w14:paraId="058E266F" w14:textId="23F3122E" w:rsidR="005E4FAD" w:rsidRPr="00D51164" w:rsidRDefault="005E4FAD"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61">
    <w:p w14:paraId="3E8906F9" w14:textId="28216F21" w:rsidR="005E4FAD" w:rsidRPr="00D75D46" w:rsidRDefault="005E4FAD"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62">
    <w:p w14:paraId="4D5DB4B2" w14:textId="4B078BD9" w:rsidR="005E4FAD" w:rsidRPr="00D75D46" w:rsidRDefault="005E4FAD"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00444C94">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63">
    <w:p w14:paraId="1CC82E43" w14:textId="18AA33D3" w:rsidR="005E4FAD" w:rsidRPr="00D75D46" w:rsidRDefault="005E4FAD"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sidR="00444C94">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w:t>
      </w:r>
      <w:r w:rsidR="00DE5366" w:rsidRPr="00D75D46">
        <w:rPr>
          <w:rFonts w:ascii="Times New Roman" w:hAnsi="Times New Roman"/>
          <w:color w:val="000000" w:themeColor="text1"/>
          <w:sz w:val="20"/>
          <w:szCs w:val="20"/>
        </w:rPr>
        <w:t>Había</w:t>
      </w:r>
      <w:r w:rsidRPr="00D75D46">
        <w:rPr>
          <w:rFonts w:ascii="Times New Roman" w:hAnsi="Times New Roman"/>
          <w:color w:val="000000" w:themeColor="text1"/>
          <w:sz w:val="20"/>
          <w:szCs w:val="20"/>
        </w:rPr>
        <w:t xml:space="preserve">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64">
    <w:p w14:paraId="42DB9C7E" w14:textId="53F327CC" w:rsidR="00080FD5" w:rsidRPr="00444C94" w:rsidRDefault="00080FD5"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65">
    <w:p w14:paraId="0D50B022" w14:textId="6915D13B" w:rsidR="005E4FAD" w:rsidRPr="00444C94" w:rsidRDefault="005E4FAD"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00444C94">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66">
    <w:p w14:paraId="6AEF768C" w14:textId="52371C4E" w:rsidR="003E06A1" w:rsidRPr="003E06A1" w:rsidRDefault="003E06A1"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67">
    <w:p w14:paraId="22F23211" w14:textId="7A086BBB" w:rsidR="00444C94" w:rsidRPr="00444C94" w:rsidRDefault="00444C94"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68">
    <w:p w14:paraId="39765B39" w14:textId="5B0C217E" w:rsidR="005E4FAD" w:rsidRPr="006611AB" w:rsidRDefault="005E4FAD"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sidR="00444C94">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69">
    <w:p w14:paraId="1B1038D5" w14:textId="3E1C8D27" w:rsidR="005E4FAD" w:rsidRPr="006611AB" w:rsidRDefault="005E4FAD"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70">
    <w:p w14:paraId="0AA2DF77" w14:textId="2FF6144C" w:rsidR="005E4FAD" w:rsidRPr="00735155" w:rsidRDefault="005E4FAD"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71">
    <w:p w14:paraId="43F4F1F6" w14:textId="65ACFE21" w:rsidR="005E4FAD" w:rsidRPr="00735155" w:rsidRDefault="005E4FAD"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72">
    <w:p w14:paraId="41D512C5" w14:textId="097B7C11" w:rsidR="005E4FAD" w:rsidRPr="00735155" w:rsidRDefault="005E4FAD"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73">
    <w:p w14:paraId="38B54DAD" w14:textId="55FAA238" w:rsidR="005E4FAD" w:rsidRPr="00735155" w:rsidRDefault="005E4FAD"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74">
    <w:p w14:paraId="19114656" w14:textId="77777777" w:rsidR="005E4FAD" w:rsidRPr="00735155" w:rsidRDefault="005E4FAD"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5E4FAD" w:rsidRPr="00735155" w:rsidRDefault="005E4FAD">
      <w:pPr>
        <w:pStyle w:val="Textonotapie"/>
      </w:pPr>
    </w:p>
  </w:footnote>
  <w:footnote w:id="75">
    <w:p w14:paraId="34274DA8" w14:textId="419AB344" w:rsidR="00FE5934" w:rsidRPr="00FE5934" w:rsidRDefault="00FE5934"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76">
    <w:p w14:paraId="48B5E2A7" w14:textId="77777777" w:rsidR="00FE5934" w:rsidRPr="00FE5934" w:rsidRDefault="00FE5934"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FE5934" w:rsidRPr="00FE5934" w:rsidRDefault="00FE5934" w:rsidP="00FE5934">
      <w:pPr>
        <w:pStyle w:val="Textonotapie"/>
        <w:rPr>
          <w:lang w:val="es-PE"/>
        </w:rPr>
      </w:pPr>
    </w:p>
  </w:footnote>
  <w:footnote w:id="77">
    <w:p w14:paraId="17284393" w14:textId="5953BF22" w:rsidR="00E85978" w:rsidRPr="00E85978" w:rsidRDefault="00E85978"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78">
    <w:p w14:paraId="5EFB4E38" w14:textId="77777777" w:rsidR="00E85978" w:rsidRPr="00E85978" w:rsidRDefault="00E85978"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E85978" w:rsidRPr="00E85978" w:rsidRDefault="00E85978">
      <w:pPr>
        <w:pStyle w:val="Textonotapie"/>
        <w:rPr>
          <w:lang w:val="es-PE"/>
        </w:rPr>
      </w:pPr>
    </w:p>
  </w:footnote>
  <w:footnote w:id="79">
    <w:p w14:paraId="4B290B9A" w14:textId="39E4EE4D" w:rsidR="00523E8C" w:rsidRPr="00523E8C" w:rsidRDefault="00523E8C"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80">
    <w:p w14:paraId="6491E6CE" w14:textId="4DF34723" w:rsidR="00523E8C" w:rsidRPr="00523E8C" w:rsidRDefault="00523E8C"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81">
    <w:p w14:paraId="620142AA" w14:textId="77777777" w:rsidR="00774EAC" w:rsidRPr="00774EAC" w:rsidRDefault="00774EAC"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774EAC" w:rsidRPr="00774EAC" w:rsidRDefault="00774EAC">
      <w:pPr>
        <w:pStyle w:val="Textonotapie"/>
        <w:rPr>
          <w:lang w:val="es-PE"/>
        </w:rPr>
      </w:pPr>
    </w:p>
  </w:footnote>
  <w:footnote w:id="82">
    <w:p w14:paraId="417EE855" w14:textId="0F6E4495" w:rsidR="00E64CE9" w:rsidRPr="00E64CE9" w:rsidRDefault="00E64CE9"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83">
    <w:p w14:paraId="51B9F646" w14:textId="03E8B1DF" w:rsidR="00BB395A" w:rsidRPr="00F12BC5" w:rsidRDefault="00BB395A"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84">
    <w:p w14:paraId="0EBB088A" w14:textId="3D081F5A" w:rsidR="00F12BC5" w:rsidRPr="00F12BC5" w:rsidRDefault="00F12BC5"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Kant como filósofo del progreso político</w:t>
      </w:r>
      <w:r w:rsidRPr="00F12BC5">
        <w:rPr>
          <w:rFonts w:ascii="Times New Roman" w:hAnsi="Times New Roman"/>
          <w:i/>
          <w:color w:val="000000" w:themeColor="text1"/>
        </w:rPr>
        <w:t xml:space="preserve">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r w:rsidRPr="00F12BC5">
        <w:rPr>
          <w:rFonts w:ascii="Times New Roman" w:hAnsi="Times New Roman"/>
          <w:color w:val="000000" w:themeColor="text1"/>
        </w:rPr>
        <w:t>“</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F12BC5" w:rsidRPr="00F12BC5" w:rsidRDefault="00F12BC5">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80FD5"/>
    <w:rsid w:val="00081ABA"/>
    <w:rsid w:val="00082AEC"/>
    <w:rsid w:val="00091737"/>
    <w:rsid w:val="00093230"/>
    <w:rsid w:val="000A4443"/>
    <w:rsid w:val="000B15CF"/>
    <w:rsid w:val="000B7CA7"/>
    <w:rsid w:val="000C28E2"/>
    <w:rsid w:val="000C5F0A"/>
    <w:rsid w:val="000D1700"/>
    <w:rsid w:val="000D17C4"/>
    <w:rsid w:val="000E2E3F"/>
    <w:rsid w:val="001021DB"/>
    <w:rsid w:val="001226ED"/>
    <w:rsid w:val="00142CCE"/>
    <w:rsid w:val="001444F3"/>
    <w:rsid w:val="00146F30"/>
    <w:rsid w:val="0015708E"/>
    <w:rsid w:val="00162BC8"/>
    <w:rsid w:val="001702F4"/>
    <w:rsid w:val="00180E7A"/>
    <w:rsid w:val="00181DF7"/>
    <w:rsid w:val="001A4A4E"/>
    <w:rsid w:val="001A7F4B"/>
    <w:rsid w:val="001B160C"/>
    <w:rsid w:val="001C3C74"/>
    <w:rsid w:val="001C42CE"/>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5C11"/>
    <w:rsid w:val="00260FA5"/>
    <w:rsid w:val="00263C17"/>
    <w:rsid w:val="00271655"/>
    <w:rsid w:val="00274E31"/>
    <w:rsid w:val="00283F2A"/>
    <w:rsid w:val="002A0259"/>
    <w:rsid w:val="002C4DC0"/>
    <w:rsid w:val="002D16D8"/>
    <w:rsid w:val="002D6030"/>
    <w:rsid w:val="002E7504"/>
    <w:rsid w:val="00305637"/>
    <w:rsid w:val="00307ACF"/>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630B"/>
    <w:rsid w:val="00431C6B"/>
    <w:rsid w:val="0044264B"/>
    <w:rsid w:val="00444C94"/>
    <w:rsid w:val="004531F2"/>
    <w:rsid w:val="00460A4B"/>
    <w:rsid w:val="00467DA3"/>
    <w:rsid w:val="00472555"/>
    <w:rsid w:val="00480E46"/>
    <w:rsid w:val="00485B5E"/>
    <w:rsid w:val="00486A97"/>
    <w:rsid w:val="00490EE0"/>
    <w:rsid w:val="004923F7"/>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3E8C"/>
    <w:rsid w:val="0053194A"/>
    <w:rsid w:val="00531FA1"/>
    <w:rsid w:val="005413D1"/>
    <w:rsid w:val="005461B6"/>
    <w:rsid w:val="00546B0C"/>
    <w:rsid w:val="00547243"/>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D3006"/>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5DF3"/>
    <w:rsid w:val="006967E4"/>
    <w:rsid w:val="006B3C72"/>
    <w:rsid w:val="006D5EAA"/>
    <w:rsid w:val="006E375A"/>
    <w:rsid w:val="006E7E5C"/>
    <w:rsid w:val="006F0018"/>
    <w:rsid w:val="006F03FD"/>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92903"/>
    <w:rsid w:val="007970ED"/>
    <w:rsid w:val="007A2F8B"/>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447D3"/>
    <w:rsid w:val="008455F3"/>
    <w:rsid w:val="00853280"/>
    <w:rsid w:val="00866EB2"/>
    <w:rsid w:val="00867B89"/>
    <w:rsid w:val="00871576"/>
    <w:rsid w:val="0088383A"/>
    <w:rsid w:val="0088645D"/>
    <w:rsid w:val="008919A1"/>
    <w:rsid w:val="008A09C8"/>
    <w:rsid w:val="008A278F"/>
    <w:rsid w:val="008A6DD7"/>
    <w:rsid w:val="008B421F"/>
    <w:rsid w:val="008C3BAC"/>
    <w:rsid w:val="008E442E"/>
    <w:rsid w:val="008E7FAA"/>
    <w:rsid w:val="008F0E12"/>
    <w:rsid w:val="00900064"/>
    <w:rsid w:val="00904763"/>
    <w:rsid w:val="00906364"/>
    <w:rsid w:val="00912E61"/>
    <w:rsid w:val="009171AC"/>
    <w:rsid w:val="009221F8"/>
    <w:rsid w:val="00926BA9"/>
    <w:rsid w:val="00947EC7"/>
    <w:rsid w:val="00950556"/>
    <w:rsid w:val="00955CB5"/>
    <w:rsid w:val="00956B83"/>
    <w:rsid w:val="00957FCA"/>
    <w:rsid w:val="0096191F"/>
    <w:rsid w:val="009666ED"/>
    <w:rsid w:val="009670F6"/>
    <w:rsid w:val="00974FF6"/>
    <w:rsid w:val="00983D16"/>
    <w:rsid w:val="009875AF"/>
    <w:rsid w:val="0099443C"/>
    <w:rsid w:val="00994B56"/>
    <w:rsid w:val="00996E14"/>
    <w:rsid w:val="009A27DE"/>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26D"/>
    <w:rsid w:val="00AF356E"/>
    <w:rsid w:val="00B01988"/>
    <w:rsid w:val="00B03708"/>
    <w:rsid w:val="00B07851"/>
    <w:rsid w:val="00B127F0"/>
    <w:rsid w:val="00B128B2"/>
    <w:rsid w:val="00B12968"/>
    <w:rsid w:val="00B24E72"/>
    <w:rsid w:val="00B25ABB"/>
    <w:rsid w:val="00B325D6"/>
    <w:rsid w:val="00B32A74"/>
    <w:rsid w:val="00B33392"/>
    <w:rsid w:val="00B35EBF"/>
    <w:rsid w:val="00B66254"/>
    <w:rsid w:val="00B67FA8"/>
    <w:rsid w:val="00B73D7A"/>
    <w:rsid w:val="00B74E9C"/>
    <w:rsid w:val="00B75096"/>
    <w:rsid w:val="00B82E6A"/>
    <w:rsid w:val="00BA1161"/>
    <w:rsid w:val="00BA5C09"/>
    <w:rsid w:val="00BB37F3"/>
    <w:rsid w:val="00BB395A"/>
    <w:rsid w:val="00BB3FDB"/>
    <w:rsid w:val="00BC02DB"/>
    <w:rsid w:val="00BD1DF8"/>
    <w:rsid w:val="00BD201A"/>
    <w:rsid w:val="00BE06C4"/>
    <w:rsid w:val="00BE316D"/>
    <w:rsid w:val="00BE5392"/>
    <w:rsid w:val="00BF62E2"/>
    <w:rsid w:val="00C0547A"/>
    <w:rsid w:val="00C11956"/>
    <w:rsid w:val="00C15C65"/>
    <w:rsid w:val="00C2073A"/>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754A"/>
    <w:rsid w:val="00CD128E"/>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4DD4"/>
    <w:rsid w:val="00D46D3C"/>
    <w:rsid w:val="00D472A6"/>
    <w:rsid w:val="00D51164"/>
    <w:rsid w:val="00D52741"/>
    <w:rsid w:val="00D52F57"/>
    <w:rsid w:val="00D71BB3"/>
    <w:rsid w:val="00D72840"/>
    <w:rsid w:val="00D75D46"/>
    <w:rsid w:val="00D84ED6"/>
    <w:rsid w:val="00D85533"/>
    <w:rsid w:val="00D924A5"/>
    <w:rsid w:val="00D97548"/>
    <w:rsid w:val="00DA0E0D"/>
    <w:rsid w:val="00DA152A"/>
    <w:rsid w:val="00DA561E"/>
    <w:rsid w:val="00DB0D87"/>
    <w:rsid w:val="00DB230D"/>
    <w:rsid w:val="00DB7945"/>
    <w:rsid w:val="00DD38B7"/>
    <w:rsid w:val="00DD46D2"/>
    <w:rsid w:val="00DD473A"/>
    <w:rsid w:val="00DD4DEA"/>
    <w:rsid w:val="00DE2556"/>
    <w:rsid w:val="00DE5366"/>
    <w:rsid w:val="00E06599"/>
    <w:rsid w:val="00E32A2A"/>
    <w:rsid w:val="00E36863"/>
    <w:rsid w:val="00E37078"/>
    <w:rsid w:val="00E6376B"/>
    <w:rsid w:val="00E64CE9"/>
    <w:rsid w:val="00E72780"/>
    <w:rsid w:val="00E73EDB"/>
    <w:rsid w:val="00E75882"/>
    <w:rsid w:val="00E766EF"/>
    <w:rsid w:val="00E770E4"/>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564"/>
    <w:rsid w:val="00F03F17"/>
    <w:rsid w:val="00F0673E"/>
    <w:rsid w:val="00F07AA7"/>
    <w:rsid w:val="00F12BC5"/>
    <w:rsid w:val="00F161E0"/>
    <w:rsid w:val="00F25842"/>
    <w:rsid w:val="00F3421A"/>
    <w:rsid w:val="00F34D3C"/>
    <w:rsid w:val="00F352CC"/>
    <w:rsid w:val="00F439D7"/>
    <w:rsid w:val="00F45C23"/>
    <w:rsid w:val="00F47A7B"/>
    <w:rsid w:val="00F54BCE"/>
    <w:rsid w:val="00F55E22"/>
    <w:rsid w:val="00F6388A"/>
    <w:rsid w:val="00F72B85"/>
    <w:rsid w:val="00F75518"/>
    <w:rsid w:val="00F8241A"/>
    <w:rsid w:val="00F83C3E"/>
    <w:rsid w:val="00F866BC"/>
    <w:rsid w:val="00F959B6"/>
    <w:rsid w:val="00F95A84"/>
    <w:rsid w:val="00F96821"/>
    <w:rsid w:val="00FA1A5E"/>
    <w:rsid w:val="00FA44F5"/>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47A5-8F69-45FB-9ABE-1554B76D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49</Pages>
  <Words>16245</Words>
  <Characters>89351</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105386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44</cp:revision>
  <dcterms:created xsi:type="dcterms:W3CDTF">2024-05-23T08:14:00Z</dcterms:created>
  <dcterms:modified xsi:type="dcterms:W3CDTF">2024-05-23T20:34:00Z</dcterms:modified>
</cp:coreProperties>
</file>