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5BF" w:rsidRPr="004752D2" w:rsidRDefault="00FD34B9" w:rsidP="00FD34B9">
      <w:pPr>
        <w:jc w:val="right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UARM – Métodos de Investigación </w:t>
      </w:r>
      <w:r w:rsidR="004752D2" w:rsidRPr="004752D2">
        <w:rPr>
          <w:rFonts w:ascii="Times New Roman" w:hAnsi="Times New Roman" w:cs="Times New Roman"/>
          <w:sz w:val="20"/>
          <w:szCs w:val="20"/>
        </w:rPr>
        <w:t>1 -</w:t>
      </w:r>
      <w:r w:rsidRPr="004752D2">
        <w:rPr>
          <w:rFonts w:ascii="Times New Roman" w:hAnsi="Times New Roman" w:cs="Times New Roman"/>
          <w:sz w:val="20"/>
          <w:szCs w:val="20"/>
        </w:rPr>
        <w:t xml:space="preserve"> 2024</w:t>
      </w:r>
    </w:p>
    <w:p w:rsidR="00FD34B9" w:rsidRPr="004752D2" w:rsidRDefault="00FD34B9" w:rsidP="00FD34B9">
      <w:pPr>
        <w:jc w:val="right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>Fernando García Alcalá</w:t>
      </w:r>
    </w:p>
    <w:p w:rsidR="00FD34B9" w:rsidRPr="004752D2" w:rsidRDefault="00FD34B9" w:rsidP="00FD34B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34B9" w:rsidRPr="004752D2" w:rsidRDefault="00FD34B9" w:rsidP="00FD34B9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752D2">
        <w:rPr>
          <w:rFonts w:ascii="Times New Roman" w:hAnsi="Times New Roman" w:cs="Times New Roman"/>
          <w:b/>
          <w:sz w:val="20"/>
          <w:szCs w:val="20"/>
          <w:u w:val="single"/>
        </w:rPr>
        <w:t>Reporte Nº 1</w:t>
      </w:r>
    </w:p>
    <w:p w:rsidR="00FD34B9" w:rsidRPr="004752D2" w:rsidRDefault="00FD34B9" w:rsidP="00FD34B9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FD34B9" w:rsidRPr="004752D2" w:rsidRDefault="00FD34B9" w:rsidP="00FD34B9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Lectura: (2014) Hernández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Sampieri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, R. </w:t>
      </w:r>
      <w:r w:rsidRPr="004752D2">
        <w:rPr>
          <w:rFonts w:ascii="Times New Roman" w:hAnsi="Times New Roman" w:cs="Times New Roman"/>
          <w:i/>
          <w:sz w:val="20"/>
          <w:szCs w:val="20"/>
        </w:rPr>
        <w:t>Metodología de la Investigación</w:t>
      </w:r>
    </w:p>
    <w:p w:rsidR="00FD34B9" w:rsidRPr="004752D2" w:rsidRDefault="00FD34B9" w:rsidP="00FD34B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34B9" w:rsidRPr="004752D2" w:rsidRDefault="00FD34B9" w:rsidP="00FD34B9">
      <w:pPr>
        <w:jc w:val="both"/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4752D2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Redactar un reporte simple de una carilla (a modo de esbozo) en el que nos comente en líneas generales acerca del cuál sería el </w:t>
      </w:r>
      <w:r w:rsidRPr="004752D2">
        <w:rPr>
          <w:rFonts w:ascii="Times New Roman" w:hAnsi="Times New Roman" w:cs="Times New Roman"/>
          <w:i/>
          <w:iCs/>
          <w:color w:val="BFBFBF" w:themeColor="background1" w:themeShade="BF"/>
          <w:sz w:val="20"/>
          <w:szCs w:val="20"/>
        </w:rPr>
        <w:t>marco teórico </w:t>
      </w:r>
      <w:r w:rsidRPr="004752D2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de su investigación.</w:t>
      </w:r>
    </w:p>
    <w:p w:rsidR="00FD34B9" w:rsidRPr="004752D2" w:rsidRDefault="00FD34B9" w:rsidP="00FD34B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D34B9" w:rsidRPr="004752D2" w:rsidRDefault="00FD34B9" w:rsidP="004752D2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La investigación </w:t>
      </w:r>
      <w:r w:rsidR="00B87C6B" w:rsidRPr="004752D2">
        <w:rPr>
          <w:rFonts w:ascii="Times New Roman" w:hAnsi="Times New Roman" w:cs="Times New Roman"/>
          <w:sz w:val="20"/>
          <w:szCs w:val="20"/>
        </w:rPr>
        <w:t>(</w:t>
      </w:r>
      <w:r w:rsidRPr="004752D2">
        <w:rPr>
          <w:rFonts w:ascii="Times New Roman" w:hAnsi="Times New Roman" w:cs="Times New Roman"/>
          <w:sz w:val="20"/>
          <w:szCs w:val="20"/>
        </w:rPr>
        <w:t>en proceso de realización</w:t>
      </w:r>
      <w:r w:rsidR="00B87C6B" w:rsidRPr="004752D2">
        <w:rPr>
          <w:rFonts w:ascii="Times New Roman" w:hAnsi="Times New Roman" w:cs="Times New Roman"/>
          <w:sz w:val="20"/>
          <w:szCs w:val="20"/>
        </w:rPr>
        <w:t>)</w:t>
      </w:r>
      <w:r w:rsidRPr="004752D2">
        <w:rPr>
          <w:rFonts w:ascii="Times New Roman" w:hAnsi="Times New Roman" w:cs="Times New Roman"/>
          <w:sz w:val="20"/>
          <w:szCs w:val="20"/>
        </w:rPr>
        <w:t xml:space="preserve"> tiene por objeto analizar el lugar de la educación en el proyecto político de Kant. En virtud de esto, el marco teórico formulado supone tener en cuenta a grandes rasgos el proyecto crítico de Kant, </w:t>
      </w:r>
      <w:r w:rsidR="00B87C6B" w:rsidRPr="004752D2">
        <w:rPr>
          <w:rFonts w:ascii="Times New Roman" w:hAnsi="Times New Roman" w:cs="Times New Roman"/>
          <w:sz w:val="20"/>
          <w:szCs w:val="20"/>
        </w:rPr>
        <w:t xml:space="preserve">para luego evaluar específicamente </w:t>
      </w:r>
      <w:r w:rsidRPr="004752D2">
        <w:rPr>
          <w:rFonts w:ascii="Times New Roman" w:hAnsi="Times New Roman" w:cs="Times New Roman"/>
          <w:sz w:val="20"/>
          <w:szCs w:val="20"/>
        </w:rPr>
        <w:t>lo referente a sus ideas políticas y jurídicas, en contraste</w:t>
      </w:r>
      <w:r w:rsidR="00B87C6B" w:rsidRPr="004752D2">
        <w:rPr>
          <w:rFonts w:ascii="Times New Roman" w:hAnsi="Times New Roman" w:cs="Times New Roman"/>
          <w:sz w:val="20"/>
          <w:szCs w:val="20"/>
        </w:rPr>
        <w:t xml:space="preserve"> y complemento</w:t>
      </w:r>
      <w:r w:rsidRPr="004752D2">
        <w:rPr>
          <w:rFonts w:ascii="Times New Roman" w:hAnsi="Times New Roman" w:cs="Times New Roman"/>
          <w:sz w:val="20"/>
          <w:szCs w:val="20"/>
        </w:rPr>
        <w:t xml:space="preserve"> con lo establecido en sus lecciones de pedagogía, y de pasajes diversos desde donde pueda problematizarse el papel desarrollado por la educación en cualquier tipo de sociedad</w:t>
      </w:r>
      <w:r w:rsidR="00D23843" w:rsidRPr="004752D2">
        <w:rPr>
          <w:rFonts w:ascii="Times New Roman" w:hAnsi="Times New Roman" w:cs="Times New Roman"/>
          <w:sz w:val="20"/>
          <w:szCs w:val="20"/>
        </w:rPr>
        <w:t xml:space="preserve"> humana. </w:t>
      </w:r>
    </w:p>
    <w:p w:rsidR="00B87C6B" w:rsidRPr="004752D2" w:rsidRDefault="00B87C6B" w:rsidP="004752D2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En este sentido, atendemos para el proyecto crítico en general a lo establecido en la </w:t>
      </w:r>
      <w:r w:rsidRPr="004752D2">
        <w:rPr>
          <w:rFonts w:ascii="Times New Roman" w:hAnsi="Times New Roman" w:cs="Times New Roman"/>
          <w:i/>
          <w:sz w:val="20"/>
          <w:szCs w:val="20"/>
        </w:rPr>
        <w:t>Crítica de la razón pura</w:t>
      </w:r>
      <w:r w:rsidRPr="004752D2">
        <w:rPr>
          <w:rFonts w:ascii="Times New Roman" w:hAnsi="Times New Roman" w:cs="Times New Roman"/>
          <w:sz w:val="20"/>
          <w:szCs w:val="20"/>
        </w:rPr>
        <w:t xml:space="preserve"> y </w:t>
      </w:r>
      <w:r w:rsidRPr="004752D2">
        <w:rPr>
          <w:rFonts w:ascii="Times New Roman" w:hAnsi="Times New Roman" w:cs="Times New Roman"/>
          <w:i/>
          <w:sz w:val="20"/>
          <w:szCs w:val="20"/>
        </w:rPr>
        <w:t xml:space="preserve">¿Cómo orientarse en el pensamiento? </w:t>
      </w:r>
      <w:r w:rsidRPr="004752D2">
        <w:rPr>
          <w:rFonts w:ascii="Times New Roman" w:hAnsi="Times New Roman" w:cs="Times New Roman"/>
          <w:sz w:val="20"/>
          <w:szCs w:val="20"/>
        </w:rPr>
        <w:t>en relación a los temas involucrados al marco general</w:t>
      </w:r>
      <w:r w:rsidR="004752D2" w:rsidRPr="004752D2">
        <w:rPr>
          <w:rFonts w:ascii="Times New Roman" w:hAnsi="Times New Roman" w:cs="Times New Roman"/>
          <w:sz w:val="20"/>
          <w:szCs w:val="20"/>
        </w:rPr>
        <w:t xml:space="preserve"> de la filosofía crítica kantiana</w:t>
      </w:r>
      <w:r w:rsidRPr="004752D2">
        <w:rPr>
          <w:rFonts w:ascii="Times New Roman" w:hAnsi="Times New Roman" w:cs="Times New Roman"/>
          <w:sz w:val="20"/>
          <w:szCs w:val="20"/>
        </w:rPr>
        <w:t xml:space="preserve">. En la misma línea, se intenta plantear su relación con una nueva forma de metafísica “crítica” que se asocia a lo propuesto en lo referido a su teoría moral, especialmente revisada en la </w:t>
      </w:r>
      <w:r w:rsidRPr="004752D2">
        <w:rPr>
          <w:rFonts w:ascii="Times New Roman" w:hAnsi="Times New Roman" w:cs="Times New Roman"/>
          <w:i/>
          <w:sz w:val="20"/>
          <w:szCs w:val="20"/>
        </w:rPr>
        <w:t>Fundamentación de la metafísica de las costumbres.</w:t>
      </w:r>
    </w:p>
    <w:p w:rsidR="004752D2" w:rsidRPr="004752D2" w:rsidRDefault="004752D2" w:rsidP="004752D2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En virtud de este gran marco de la filosofía de Kant, se busca especificar lo referente a su pensamiento político y jurídico expuesto en </w:t>
      </w:r>
      <w:r w:rsidRPr="004752D2">
        <w:rPr>
          <w:rFonts w:ascii="Times New Roman" w:hAnsi="Times New Roman" w:cs="Times New Roman"/>
          <w:i/>
          <w:sz w:val="20"/>
          <w:szCs w:val="20"/>
        </w:rPr>
        <w:t xml:space="preserve">Los principios metafísicos del derecho, La Paz perpetua, En defensa de la ilustración, </w:t>
      </w:r>
      <w:r w:rsidRPr="004752D2">
        <w:rPr>
          <w:rFonts w:ascii="Times New Roman" w:hAnsi="Times New Roman" w:cs="Times New Roman"/>
          <w:sz w:val="20"/>
          <w:szCs w:val="20"/>
        </w:rPr>
        <w:t xml:space="preserve">así como textos de su filosofía de la historia. </w:t>
      </w:r>
    </w:p>
    <w:p w:rsidR="004752D2" w:rsidRPr="004752D2" w:rsidRDefault="004752D2" w:rsidP="004752D2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En relación a estos temas, cabe resaltar la necesidad de entablar un diálogo con intérpretes que hayan actualizado su pensamiento, como por ejemplo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Onora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 O´Neill, respecto del uso público de la razón,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Rainer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Forst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, en lo referente a la justificación,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Katrin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Flikschuh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, en lo que atañe a la vigencia de la metafísica y el marco amplio de la teoría liberal expuesto por John </w:t>
      </w:r>
      <w:proofErr w:type="spellStart"/>
      <w:r w:rsidRPr="004752D2">
        <w:rPr>
          <w:rFonts w:ascii="Times New Roman" w:hAnsi="Times New Roman" w:cs="Times New Roman"/>
          <w:sz w:val="20"/>
          <w:szCs w:val="20"/>
        </w:rPr>
        <w:t>Rawls</w:t>
      </w:r>
      <w:proofErr w:type="spellEnd"/>
      <w:r w:rsidRPr="004752D2">
        <w:rPr>
          <w:rFonts w:ascii="Times New Roman" w:hAnsi="Times New Roman" w:cs="Times New Roman"/>
          <w:sz w:val="20"/>
          <w:szCs w:val="20"/>
        </w:rPr>
        <w:t xml:space="preserve">, así como sus críticos y el debate que le acompaña. </w:t>
      </w:r>
    </w:p>
    <w:p w:rsidR="00B87C6B" w:rsidRPr="004752D2" w:rsidRDefault="004752D2" w:rsidP="004752D2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752D2">
        <w:rPr>
          <w:rFonts w:ascii="Times New Roman" w:hAnsi="Times New Roman" w:cs="Times New Roman"/>
          <w:sz w:val="20"/>
          <w:szCs w:val="20"/>
        </w:rPr>
        <w:t xml:space="preserve">Con este marco, se busca acreditar un sentido plenamente político de la naturaleza de la educación, y de modo más importante, la necesidad del interés pedagógico para la construcción de una ciudadanía republicana y liberal, que hoy en día, podríamos entender como democrática y de derechos humanos. </w:t>
      </w:r>
      <w:bookmarkStart w:id="0" w:name="_GoBack"/>
      <w:bookmarkEnd w:id="0"/>
    </w:p>
    <w:sectPr w:rsidR="00B87C6B" w:rsidRPr="004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B9"/>
    <w:rsid w:val="002825BF"/>
    <w:rsid w:val="004752D2"/>
    <w:rsid w:val="00B87C6B"/>
    <w:rsid w:val="00D23843"/>
    <w:rsid w:val="00FD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72D2B"/>
  <w15:chartTrackingRefBased/>
  <w15:docId w15:val="{25222047-62D4-4866-8C5C-9FA1F320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2</cp:revision>
  <dcterms:created xsi:type="dcterms:W3CDTF">2024-04-15T18:11:00Z</dcterms:created>
  <dcterms:modified xsi:type="dcterms:W3CDTF">2024-04-15T20:12:00Z</dcterms:modified>
</cp:coreProperties>
</file>