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15244CE3" w14:textId="5799307B"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proofErr w:type="spellStart"/>
      <w:r>
        <w:rPr>
          <w:rFonts w:ascii="Times New Roman" w:hAnsi="Times New Roman"/>
          <w:sz w:val="24"/>
          <w:szCs w:val="24"/>
          <w:lang w:val="es-PE"/>
        </w:rPr>
        <w:t>asd</w:t>
      </w:r>
      <w:proofErr w:type="spellEnd"/>
    </w:p>
    <w:p w14:paraId="51B4CF2F" w14:textId="207D2CBF" w:rsidR="00312036" w:rsidRDefault="00312036" w:rsidP="00312036">
      <w:pPr>
        <w:spacing w:after="0" w:line="360" w:lineRule="auto"/>
        <w:ind w:left="1416" w:firstLine="0"/>
        <w:rPr>
          <w:rFonts w:ascii="Times New Roman" w:hAnsi="Times New Roman"/>
          <w:sz w:val="24"/>
          <w:szCs w:val="24"/>
          <w:lang w:val="es-PE"/>
        </w:rPr>
      </w:pPr>
    </w:p>
    <w:p w14:paraId="339E2CB8" w14:textId="77777777" w:rsidR="00312036" w:rsidRPr="00E1778C" w:rsidRDefault="00312036" w:rsidP="00312036">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Agazzi</w:t>
      </w:r>
      <w:proofErr w:type="spellEnd"/>
      <w:r w:rsidRPr="00E1778C">
        <w:rPr>
          <w:rFonts w:ascii="Times New Roman" w:hAnsi="Times New Roman"/>
          <w:color w:val="000000" w:themeColor="text1"/>
          <w:sz w:val="24"/>
          <w:szCs w:val="24"/>
        </w:rPr>
        <w:t xml:space="preserve">, A. (1966) </w:t>
      </w:r>
      <w:r w:rsidRPr="00E1778C">
        <w:rPr>
          <w:rFonts w:ascii="Times New Roman" w:hAnsi="Times New Roman"/>
          <w:i/>
          <w:color w:val="000000" w:themeColor="text1"/>
          <w:sz w:val="24"/>
          <w:szCs w:val="24"/>
        </w:rPr>
        <w:t>Historia de la filosofía y de la pedagogía. Tomo II.</w:t>
      </w:r>
      <w:r w:rsidRPr="00E1778C">
        <w:rPr>
          <w:rFonts w:ascii="Times New Roman" w:hAnsi="Times New Roman"/>
          <w:color w:val="000000" w:themeColor="text1"/>
          <w:sz w:val="24"/>
          <w:szCs w:val="24"/>
        </w:rPr>
        <w:t xml:space="preserve"> Ed. Marfil.</w:t>
      </w:r>
    </w:p>
    <w:p w14:paraId="56265ECB" w14:textId="5A72A7BA" w:rsidR="00312036" w:rsidRDefault="00312036" w:rsidP="00312036">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“Un dogmatismo acrítico y conservador en la cultura; un absolutismo de los monarcas unido a una acu</w:t>
      </w:r>
      <w:bookmarkStart w:id="0" w:name="_GoBack"/>
      <w:bookmarkEnd w:id="0"/>
      <w:r w:rsidRPr="00E1778C">
        <w:rPr>
          <w:rFonts w:ascii="Times New Roman" w:hAnsi="Times New Roman"/>
          <w:color w:val="70AD47" w:themeColor="accent6"/>
          <w:sz w:val="24"/>
          <w:szCs w:val="24"/>
        </w:rPr>
        <w:t xml:space="preserve">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1778C">
        <w:rPr>
          <w:rFonts w:ascii="Times New Roman" w:hAnsi="Times New Roman"/>
          <w:color w:val="70AD47" w:themeColor="accent6"/>
          <w:sz w:val="24"/>
          <w:szCs w:val="24"/>
          <w:lang w:val="en-US"/>
        </w:rPr>
        <w:t>(1966; p.278)</w:t>
      </w:r>
    </w:p>
    <w:p w14:paraId="7B996D66" w14:textId="4806D24C" w:rsidR="00882E01" w:rsidRDefault="00882E01" w:rsidP="00312036">
      <w:pPr>
        <w:spacing w:line="360" w:lineRule="auto"/>
        <w:rPr>
          <w:rFonts w:ascii="Times New Roman" w:hAnsi="Times New Roman"/>
          <w:color w:val="70AD47" w:themeColor="accent6"/>
          <w:sz w:val="24"/>
          <w:szCs w:val="24"/>
          <w:lang w:val="en-US"/>
        </w:rPr>
      </w:pPr>
    </w:p>
    <w:p w14:paraId="50F491B9" w14:textId="77777777" w:rsidR="00882E01" w:rsidRPr="00882E01" w:rsidRDefault="00882E01" w:rsidP="00882E01">
      <w:pPr>
        <w:spacing w:line="360" w:lineRule="auto"/>
        <w:ind w:left="720" w:hanging="720"/>
        <w:rPr>
          <w:rFonts w:ascii="Times New Roman" w:hAnsi="Times New Roman"/>
          <w:color w:val="000000" w:themeColor="text1"/>
          <w:sz w:val="24"/>
          <w:szCs w:val="24"/>
          <w:lang w:val="en-US"/>
        </w:rPr>
      </w:pPr>
      <w:r w:rsidRPr="00E1778C">
        <w:rPr>
          <w:rFonts w:ascii="Times New Roman" w:hAnsi="Times New Roman"/>
          <w:color w:val="000000" w:themeColor="text1"/>
          <w:sz w:val="24"/>
          <w:szCs w:val="24"/>
          <w:lang w:val="en-US"/>
        </w:rPr>
        <w:t xml:space="preserve">Arendt, H. (1992) </w:t>
      </w:r>
      <w:r w:rsidRPr="00E1778C">
        <w:rPr>
          <w:rFonts w:ascii="Times New Roman" w:hAnsi="Times New Roman"/>
          <w:i/>
          <w:color w:val="000000" w:themeColor="text1"/>
          <w:sz w:val="24"/>
          <w:szCs w:val="24"/>
          <w:lang w:val="en-US"/>
        </w:rPr>
        <w:t>Lectures on Kant´s political philosophy</w:t>
      </w:r>
      <w:r w:rsidRPr="00E1778C">
        <w:rPr>
          <w:rFonts w:ascii="Times New Roman" w:hAnsi="Times New Roman"/>
          <w:color w:val="000000" w:themeColor="text1"/>
          <w:sz w:val="24"/>
          <w:szCs w:val="24"/>
          <w:lang w:val="en-US"/>
        </w:rPr>
        <w:t xml:space="preserve">. Ed. Ronald </w:t>
      </w:r>
      <w:proofErr w:type="spellStart"/>
      <w:r w:rsidRPr="00E1778C">
        <w:rPr>
          <w:rFonts w:ascii="Times New Roman" w:hAnsi="Times New Roman"/>
          <w:color w:val="000000" w:themeColor="text1"/>
          <w:sz w:val="24"/>
          <w:szCs w:val="24"/>
          <w:lang w:val="en-US"/>
        </w:rPr>
        <w:t>Beiner</w:t>
      </w:r>
      <w:proofErr w:type="spellEnd"/>
      <w:r w:rsidRPr="00E1778C">
        <w:rPr>
          <w:rFonts w:ascii="Times New Roman" w:hAnsi="Times New Roman"/>
          <w:color w:val="000000" w:themeColor="text1"/>
          <w:sz w:val="24"/>
          <w:szCs w:val="24"/>
          <w:lang w:val="en-US"/>
        </w:rPr>
        <w:t xml:space="preserve">. </w:t>
      </w:r>
      <w:r w:rsidRPr="00882E01">
        <w:rPr>
          <w:rFonts w:ascii="Times New Roman" w:hAnsi="Times New Roman"/>
          <w:color w:val="000000" w:themeColor="text1"/>
          <w:sz w:val="24"/>
          <w:szCs w:val="24"/>
          <w:lang w:val="en-US"/>
        </w:rPr>
        <w:t>University of Chicago Press.</w:t>
      </w:r>
    </w:p>
    <w:p w14:paraId="51874F7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ilustración significa en este contexto liberación de los prejuicios, de las autoridades, un evento purificador.” (1992; p.31)</w:t>
      </w:r>
    </w:p>
    <w:p w14:paraId="4F01036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filosofía misma, de acuerdo a Kant, se ha vuelto crítica en la era de la crítica e ilustración, el tiempo en que el hombre ha llegado a una mayoría de edad.” (1992; p.32)</w:t>
      </w:r>
    </w:p>
    <w:p w14:paraId="74EBE7C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“El resultado de tal criticismo es usar la propia mente, (…), crítica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 (…) Sería un error pensar que el pensamiento crítico se erige en algún lugar entre el dogmatismo y el escepticismo. Es en realidad un modo de dejar estas alternativas detrás.” (1992; p.32)</w:t>
      </w:r>
    </w:p>
    <w:p w14:paraId="1927659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771BAA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pensar críticamente, el despejar el camino del pensamiento de prejuicios, a través de opiniones y creencias examinadas, es una vieja preocupación de la filosofía. (…) De acuerdo a Platón, esto se lograba gracias al arte del discernimiento. (Para Sócrates) una vida sin </w:t>
      </w:r>
      <w:proofErr w:type="spellStart"/>
      <w:r w:rsidRPr="00E1778C">
        <w:rPr>
          <w:rFonts w:ascii="Times New Roman" w:hAnsi="Times New Roman"/>
          <w:color w:val="70AD47" w:themeColor="accent6"/>
          <w:sz w:val="24"/>
          <w:szCs w:val="24"/>
        </w:rPr>
        <w:t>exámen</w:t>
      </w:r>
      <w:proofErr w:type="spellEnd"/>
      <w:r w:rsidRPr="00E1778C">
        <w:rPr>
          <w:rFonts w:ascii="Times New Roman" w:hAnsi="Times New Roman"/>
          <w:color w:val="70AD47" w:themeColor="accent6"/>
          <w:sz w:val="24"/>
          <w:szCs w:val="24"/>
        </w:rPr>
        <w:t xml:space="preserve"> de sí misma no merece ser vivida. (…) Con esto, mediante el discurso, hace público el proceso del pensamiento. (…) Para Sócrates es un asunto lógico, así como ético.” (1992; pp.36-37)</w:t>
      </w:r>
    </w:p>
    <w:p w14:paraId="0112A69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arte del pensamiento crítico siempre ha tenido implicaciones políticas.” (1992; p.38)</w:t>
      </w:r>
    </w:p>
    <w:p w14:paraId="438D7D0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pensamiento crítico es en principio anti-autoritario” (1992; p.38)</w:t>
      </w:r>
    </w:p>
    <w:p w14:paraId="2601E8F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con los hombres de pensamiento crítico es que ellos &lt;hacen de los pilares de las verdades mejor conocidas, estremecerse cuandoquiera posan su mirada bajo ellos.&gt;” (</w:t>
      </w:r>
      <w:proofErr w:type="spellStart"/>
      <w:r w:rsidRPr="00E1778C">
        <w:rPr>
          <w:rFonts w:ascii="Times New Roman" w:hAnsi="Times New Roman"/>
          <w:color w:val="70AD47" w:themeColor="accent6"/>
          <w:sz w:val="24"/>
          <w:szCs w:val="24"/>
        </w:rPr>
        <w:t>Lessing</w:t>
      </w:r>
      <w:proofErr w:type="spellEnd"/>
      <w:r w:rsidRPr="00E1778C">
        <w:rPr>
          <w:rFonts w:ascii="Times New Roman" w:hAnsi="Times New Roman"/>
          <w:color w:val="70AD47" w:themeColor="accent6"/>
          <w:sz w:val="24"/>
          <w:szCs w:val="24"/>
        </w:rPr>
        <w:t xml:space="preserve"> citado en </w:t>
      </w:r>
      <w:proofErr w:type="spellStart"/>
      <w:r w:rsidRPr="00E1778C">
        <w:rPr>
          <w:rFonts w:ascii="Times New Roman" w:hAnsi="Times New Roman"/>
          <w:color w:val="70AD47" w:themeColor="accent6"/>
          <w:sz w:val="24"/>
          <w:szCs w:val="24"/>
        </w:rPr>
        <w:t>Arendt</w:t>
      </w:r>
      <w:proofErr w:type="spellEnd"/>
      <w:r w:rsidRPr="00E1778C">
        <w:rPr>
          <w:rFonts w:ascii="Times New Roman" w:hAnsi="Times New Roman"/>
          <w:color w:val="70AD47" w:themeColor="accent6"/>
          <w:sz w:val="24"/>
          <w:szCs w:val="24"/>
        </w:rPr>
        <w:t>, 1992; p.38)</w:t>
      </w:r>
    </w:p>
    <w:p w14:paraId="3252D08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p w14:paraId="2E16967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razón no está hecha para aislarnos, sino para poder comunicarnos con otros. (…) el factor de la publicidad es necesario para el pensamiento crítico.” (1992; p.40)</w:t>
      </w:r>
    </w:p>
    <w:p w14:paraId="33985C9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“Como la partera ayuda al niño a poner bajo la luz, para ser inspeccionado, así Sócrates trae a la luz las implicaciones a ser inspeccionadas. (…) El pensamiento crítico en gran medida consiste en este tipo de análisis.” (1992; p.41)</w:t>
      </w:r>
    </w:p>
    <w:p w14:paraId="7725714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7278DD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14:paraId="21C6525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pensamiento crítico es posible solo donde la posición de los demás están abiertas a inspección. Por ello, el pensamiento crítico, aunque sea un asunto solitario, no se desentiende de los demás.” (1992; p.43)</w:t>
      </w:r>
    </w:p>
    <w:p w14:paraId="50526445"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“Pensar, de acuerdo al entendimiento ilustrado de Kant, es pensar por uno mismo.” </w:t>
      </w:r>
      <w:r w:rsidRPr="00E1778C">
        <w:rPr>
          <w:rFonts w:ascii="Times New Roman" w:hAnsi="Times New Roman"/>
          <w:color w:val="70AD47" w:themeColor="accent6"/>
          <w:sz w:val="24"/>
          <w:szCs w:val="24"/>
          <w:lang w:val="en-US"/>
        </w:rPr>
        <w:t>(1992; p.43)</w:t>
      </w:r>
    </w:p>
    <w:p w14:paraId="03DD8489" w14:textId="77777777" w:rsidR="00882E01" w:rsidRPr="00E1778C" w:rsidRDefault="00882E01" w:rsidP="00882E01">
      <w:pPr>
        <w:spacing w:line="360" w:lineRule="auto"/>
        <w:ind w:left="720" w:hanging="720"/>
        <w:rPr>
          <w:rFonts w:ascii="Times New Roman" w:hAnsi="Times New Roman"/>
          <w:color w:val="000000" w:themeColor="text1"/>
          <w:sz w:val="24"/>
          <w:szCs w:val="24"/>
          <w:lang w:val="en-US"/>
        </w:rPr>
      </w:pPr>
    </w:p>
    <w:p w14:paraId="64322A99" w14:textId="77777777" w:rsidR="00882E01" w:rsidRPr="00E1778C" w:rsidRDefault="00882E01" w:rsidP="00882E01">
      <w:pPr>
        <w:spacing w:line="360" w:lineRule="auto"/>
        <w:ind w:left="720" w:hanging="720"/>
        <w:rPr>
          <w:rFonts w:ascii="Times New Roman" w:hAnsi="Times New Roman"/>
          <w:color w:val="000000" w:themeColor="text1"/>
          <w:sz w:val="24"/>
          <w:szCs w:val="24"/>
          <w:lang w:val="en-US"/>
        </w:rPr>
      </w:pPr>
      <w:r w:rsidRPr="00E1778C">
        <w:rPr>
          <w:rFonts w:ascii="Times New Roman" w:hAnsi="Times New Roman"/>
          <w:color w:val="000000" w:themeColor="text1"/>
          <w:sz w:val="24"/>
          <w:szCs w:val="24"/>
          <w:lang w:val="en-US"/>
        </w:rPr>
        <w:t xml:space="preserve">O´Neill, O. (1986) </w:t>
      </w:r>
      <w:r w:rsidRPr="00E1778C">
        <w:rPr>
          <w:rFonts w:ascii="Times New Roman" w:hAnsi="Times New Roman"/>
          <w:i/>
          <w:color w:val="000000" w:themeColor="text1"/>
          <w:sz w:val="24"/>
          <w:szCs w:val="24"/>
          <w:lang w:val="en-US"/>
        </w:rPr>
        <w:t>The public use of reason</w:t>
      </w:r>
      <w:r w:rsidRPr="00E1778C">
        <w:rPr>
          <w:rFonts w:ascii="Times New Roman" w:hAnsi="Times New Roman"/>
          <w:color w:val="000000" w:themeColor="text1"/>
          <w:sz w:val="24"/>
          <w:szCs w:val="24"/>
          <w:lang w:val="en-US"/>
        </w:rPr>
        <w:t>.</w:t>
      </w:r>
      <w:r w:rsidRPr="00E1778C">
        <w:rPr>
          <w:rFonts w:ascii="Times New Roman" w:hAnsi="Times New Roman"/>
          <w:i/>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Political Theory, Vol 14, Nº4, Nov. pp. 523-551.</w:t>
      </w:r>
    </w:p>
    <w:p w14:paraId="73991D9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ilustración es un proceso. Es la emergencia del </w:t>
      </w:r>
      <w:proofErr w:type="spellStart"/>
      <w:r w:rsidRPr="00E1778C">
        <w:rPr>
          <w:rFonts w:ascii="Times New Roman" w:hAnsi="Times New Roman"/>
          <w:color w:val="70AD47" w:themeColor="accent6"/>
          <w:sz w:val="24"/>
          <w:szCs w:val="24"/>
        </w:rPr>
        <w:t>prevalecimiento</w:t>
      </w:r>
      <w:proofErr w:type="spellEnd"/>
      <w:r w:rsidRPr="00E1778C">
        <w:rPr>
          <w:rFonts w:ascii="Times New Roman" w:hAnsi="Times New Roman"/>
          <w:color w:val="70AD47" w:themeColor="accent6"/>
          <w:sz w:val="24"/>
          <w:szCs w:val="24"/>
        </w:rPr>
        <w:t xml:space="preserve"> creciente de estándares no auto estupefaciente ni autoritarios” (1986; p.533)</w:t>
      </w:r>
    </w:p>
    <w:p w14:paraId="5410831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p w14:paraId="1882F35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máxima que debe guiar nuestro entendimiento es </w:t>
      </w:r>
      <w:r w:rsidRPr="00E1778C">
        <w:rPr>
          <w:rFonts w:ascii="Times New Roman" w:hAnsi="Times New Roman"/>
          <w:i/>
          <w:color w:val="70AD47" w:themeColor="accent6"/>
          <w:sz w:val="24"/>
          <w:szCs w:val="24"/>
        </w:rPr>
        <w:t>pensar por uno mismo</w:t>
      </w:r>
      <w:r w:rsidRPr="00E1778C">
        <w:rPr>
          <w:rFonts w:ascii="Times New Roman" w:hAnsi="Times New Roman"/>
          <w:color w:val="70AD47" w:themeColor="accent6"/>
          <w:sz w:val="24"/>
          <w:szCs w:val="24"/>
        </w:rPr>
        <w:t xml:space="preserve">, como lo refiere el lema de la ilustración. Kant describe esta máxima sugestivamente como &lt;la máxima de la razón nunca pasiva (…) preguntarse a uno mismo en relación a todo (…) si es practicable </w:t>
      </w:r>
      <w:r w:rsidRPr="00E1778C">
        <w:rPr>
          <w:rFonts w:ascii="Times New Roman" w:hAnsi="Times New Roman"/>
          <w:color w:val="70AD47" w:themeColor="accent6"/>
          <w:sz w:val="24"/>
          <w:szCs w:val="24"/>
        </w:rPr>
        <w:lastRenderedPageBreak/>
        <w:t>hacerle (…) un principio universal del uso de la razón&gt;” (Kant citado en O´Neill; 1986; p.543)</w:t>
      </w:r>
    </w:p>
    <w:p w14:paraId="72BDF11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(1986; p.546)</w:t>
      </w:r>
    </w:p>
    <w:p w14:paraId="7BD82C04"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p w14:paraId="48BE8B58" w14:textId="278E8840" w:rsidR="00882E01" w:rsidRDefault="00882E01" w:rsidP="00312036">
      <w:pPr>
        <w:spacing w:line="360" w:lineRule="auto"/>
        <w:rPr>
          <w:rFonts w:ascii="Times New Roman" w:hAnsi="Times New Roman"/>
          <w:color w:val="70AD47" w:themeColor="accent6"/>
          <w:sz w:val="24"/>
          <w:szCs w:val="24"/>
          <w:lang w:val="en-US"/>
        </w:rPr>
      </w:pPr>
    </w:p>
    <w:p w14:paraId="0506BECB"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Vandewalle</w:t>
      </w:r>
      <w:proofErr w:type="spellEnd"/>
      <w:r w:rsidRPr="00E1778C">
        <w:rPr>
          <w:rFonts w:ascii="Times New Roman" w:hAnsi="Times New Roman"/>
          <w:color w:val="000000" w:themeColor="text1"/>
          <w:sz w:val="24"/>
          <w:szCs w:val="24"/>
        </w:rPr>
        <w:t xml:space="preserve">, B. (2005) </w:t>
      </w:r>
      <w:r w:rsidRPr="00E1778C">
        <w:rPr>
          <w:rFonts w:ascii="Times New Roman" w:hAnsi="Times New Roman"/>
          <w:i/>
          <w:color w:val="000000" w:themeColor="text1"/>
          <w:sz w:val="24"/>
          <w:szCs w:val="24"/>
        </w:rPr>
        <w:t>Kant. Educación y crítica.</w:t>
      </w:r>
      <w:r w:rsidRPr="00E1778C">
        <w:rPr>
          <w:rFonts w:ascii="Times New Roman" w:hAnsi="Times New Roman"/>
          <w:color w:val="000000" w:themeColor="text1"/>
          <w:sz w:val="24"/>
          <w:szCs w:val="24"/>
        </w:rPr>
        <w:t xml:space="preserve"> Ed. Nueva Visión.</w:t>
      </w:r>
    </w:p>
    <w:p w14:paraId="6ED232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220DC336" w14:textId="4511F138" w:rsidR="00882E01" w:rsidRDefault="00882E01" w:rsidP="00312036">
      <w:pPr>
        <w:spacing w:line="360" w:lineRule="auto"/>
        <w:rPr>
          <w:rFonts w:ascii="Times New Roman" w:hAnsi="Times New Roman"/>
          <w:color w:val="70AD47" w:themeColor="accent6"/>
          <w:sz w:val="24"/>
          <w:szCs w:val="24"/>
          <w:lang w:val="en-US"/>
        </w:rPr>
      </w:pPr>
    </w:p>
    <w:p w14:paraId="0A3CBED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lang w:val="en-US"/>
        </w:rPr>
        <w:t xml:space="preserve">Reiss, H. (editor) </w:t>
      </w:r>
      <w:proofErr w:type="spellStart"/>
      <w:r w:rsidRPr="00E1778C">
        <w:rPr>
          <w:rFonts w:ascii="Times New Roman" w:hAnsi="Times New Roman"/>
          <w:i/>
          <w:color w:val="000000" w:themeColor="text1"/>
          <w:sz w:val="24"/>
          <w:szCs w:val="24"/>
          <w:lang w:val="en-US"/>
        </w:rPr>
        <w:t>Introducción</w:t>
      </w:r>
      <w:proofErr w:type="spellEnd"/>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(1991) </w:t>
      </w:r>
      <w:r w:rsidRPr="00E1778C">
        <w:rPr>
          <w:rFonts w:ascii="Times New Roman" w:hAnsi="Times New Roman"/>
          <w:i/>
          <w:color w:val="000000" w:themeColor="text1"/>
          <w:sz w:val="24"/>
          <w:szCs w:val="24"/>
          <w:lang w:val="en-US"/>
        </w:rPr>
        <w:t>Kant political writings</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 2</w:t>
      </w:r>
      <w:r w:rsidRPr="00E1778C">
        <w:rPr>
          <w:rFonts w:ascii="Times New Roman" w:hAnsi="Times New Roman"/>
          <w:color w:val="000000" w:themeColor="text1"/>
          <w:sz w:val="24"/>
          <w:szCs w:val="24"/>
          <w:vertAlign w:val="superscript"/>
        </w:rPr>
        <w:t>nd</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edition</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Edited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by</w:t>
      </w:r>
      <w:proofErr w:type="spellEnd"/>
      <w:r w:rsidRPr="00E1778C">
        <w:rPr>
          <w:rFonts w:ascii="Times New Roman" w:hAnsi="Times New Roman"/>
          <w:color w:val="000000" w:themeColor="text1"/>
          <w:sz w:val="24"/>
          <w:szCs w:val="24"/>
        </w:rPr>
        <w:t xml:space="preserve">: H.S. </w:t>
      </w:r>
      <w:proofErr w:type="spellStart"/>
      <w:r w:rsidRPr="00E1778C">
        <w:rPr>
          <w:rFonts w:ascii="Times New Roman" w:hAnsi="Times New Roman"/>
          <w:color w:val="000000" w:themeColor="text1"/>
          <w:sz w:val="24"/>
          <w:szCs w:val="24"/>
        </w:rPr>
        <w:t>Reiss</w:t>
      </w:r>
      <w:proofErr w:type="spellEnd"/>
    </w:p>
    <w:p w14:paraId="57722E6C" w14:textId="77777777" w:rsidR="00882E01" w:rsidRPr="00E1778C" w:rsidRDefault="00882E01" w:rsidP="00882E01">
      <w:pPr>
        <w:spacing w:line="360" w:lineRule="auto"/>
        <w:rPr>
          <w:rFonts w:ascii="Times New Roman" w:hAnsi="Times New Roman"/>
          <w:sz w:val="24"/>
          <w:szCs w:val="24"/>
        </w:rPr>
      </w:pPr>
      <w:r w:rsidRPr="00E1778C">
        <w:rPr>
          <w:rFonts w:ascii="Times New Roman" w:hAnsi="Times New Roman"/>
          <w:color w:val="70AD47" w:themeColor="accent6"/>
          <w:sz w:val="24"/>
          <w:szCs w:val="24"/>
        </w:rPr>
        <w:lastRenderedPageBreak/>
        <w:t xml:space="preserve"> “Kant era un estimulante y poderoso profesor. Sus estudiantes eran interpelados por la originalidad y vivacidad de sus observaciones, las cuales estaba sazonadas con un seco humor irónico.” (1991, p.2)</w:t>
      </w:r>
    </w:p>
    <w:p w14:paraId="526BC9CA" w14:textId="77777777" w:rsidR="00882E01" w:rsidRPr="00E1778C" w:rsidRDefault="00882E01" w:rsidP="00882E01">
      <w:pPr>
        <w:spacing w:line="360" w:lineRule="auto"/>
        <w:rPr>
          <w:rFonts w:ascii="Times New Roman" w:hAnsi="Times New Roman"/>
          <w:sz w:val="24"/>
          <w:szCs w:val="24"/>
          <w:lang w:val="en-US"/>
        </w:rPr>
      </w:pPr>
      <w:r w:rsidRPr="00E1778C">
        <w:rPr>
          <w:rFonts w:ascii="Times New Roman" w:hAnsi="Times New Roman"/>
          <w:color w:val="70AD47" w:themeColor="accent6"/>
          <w:sz w:val="24"/>
          <w:szCs w:val="24"/>
        </w:rPr>
        <w:t xml:space="preserve">“La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w:t>
      </w:r>
      <w:r w:rsidRPr="00E1778C">
        <w:rPr>
          <w:rFonts w:ascii="Times New Roman" w:hAnsi="Times New Roman"/>
          <w:color w:val="70AD47" w:themeColor="accent6"/>
          <w:sz w:val="24"/>
          <w:szCs w:val="24"/>
          <w:lang w:val="en-US"/>
        </w:rPr>
        <w:t>(1991; pp.5-6)</w:t>
      </w:r>
    </w:p>
    <w:p w14:paraId="0C291B16" w14:textId="77777777" w:rsidR="00882E01" w:rsidRPr="00E1778C" w:rsidRDefault="00882E01" w:rsidP="00882E01">
      <w:pPr>
        <w:spacing w:line="360" w:lineRule="auto"/>
        <w:ind w:left="720" w:hanging="720"/>
        <w:rPr>
          <w:rFonts w:ascii="Times New Roman" w:hAnsi="Times New Roman"/>
          <w:color w:val="000000" w:themeColor="text1"/>
          <w:sz w:val="24"/>
          <w:szCs w:val="24"/>
          <w:lang w:val="en-US"/>
        </w:rPr>
      </w:pPr>
    </w:p>
    <w:p w14:paraId="2000C02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lang w:val="en-US"/>
        </w:rPr>
        <w:t xml:space="preserve">Kant, I (2007) </w:t>
      </w:r>
      <w:r w:rsidRPr="00E1778C">
        <w:rPr>
          <w:rFonts w:ascii="Times New Roman" w:hAnsi="Times New Roman"/>
          <w:i/>
          <w:color w:val="000000" w:themeColor="text1"/>
          <w:sz w:val="24"/>
          <w:szCs w:val="24"/>
          <w:lang w:val="en-US"/>
        </w:rPr>
        <w:t xml:space="preserve">Essays regarding the </w:t>
      </w:r>
      <w:proofErr w:type="spellStart"/>
      <w:r w:rsidRPr="00E1778C">
        <w:rPr>
          <w:rFonts w:ascii="Times New Roman" w:hAnsi="Times New Roman"/>
          <w:i/>
          <w:color w:val="000000" w:themeColor="text1"/>
          <w:sz w:val="24"/>
          <w:szCs w:val="24"/>
          <w:lang w:val="en-US"/>
        </w:rPr>
        <w:t>Philantropinum</w:t>
      </w:r>
      <w:proofErr w:type="spellEnd"/>
      <w:r w:rsidRPr="00E1778C">
        <w:rPr>
          <w:rFonts w:ascii="Times New Roman" w:hAnsi="Times New Roman"/>
          <w:i/>
          <w:color w:val="000000" w:themeColor="text1"/>
          <w:sz w:val="24"/>
          <w:szCs w:val="24"/>
          <w:lang w:val="en-US"/>
        </w:rPr>
        <w:t xml:space="preserve"> (1776/1777)</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7D89BF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“Se refleja la intensa admiración de Kant por el instituto educativo </w:t>
      </w:r>
      <w:proofErr w:type="spellStart"/>
      <w:r w:rsidRPr="00E1778C">
        <w:rPr>
          <w:rFonts w:ascii="Times New Roman" w:hAnsi="Times New Roman"/>
          <w:color w:val="70AD47" w:themeColor="accent6"/>
          <w:sz w:val="24"/>
          <w:szCs w:val="24"/>
        </w:rPr>
        <w:t>Philantropinum</w:t>
      </w:r>
      <w:proofErr w:type="spellEnd"/>
      <w:r w:rsidRPr="00E1778C">
        <w:rPr>
          <w:rFonts w:ascii="Times New Roman" w:hAnsi="Times New Roman"/>
          <w:color w:val="70AD47" w:themeColor="accent6"/>
          <w:sz w:val="24"/>
          <w:szCs w:val="24"/>
        </w:rPr>
        <w:t xml:space="preserve"> que fue establecido por primera vez por Johann </w:t>
      </w:r>
      <w:proofErr w:type="spellStart"/>
      <w:r w:rsidRPr="00E1778C">
        <w:rPr>
          <w:rFonts w:ascii="Times New Roman" w:hAnsi="Times New Roman"/>
          <w:color w:val="70AD47" w:themeColor="accent6"/>
          <w:sz w:val="24"/>
          <w:szCs w:val="24"/>
        </w:rPr>
        <w:t>Bernhard</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Basedow</w:t>
      </w:r>
      <w:proofErr w:type="spellEnd"/>
      <w:r w:rsidRPr="00E1778C">
        <w:rPr>
          <w:rFonts w:ascii="Times New Roman" w:hAnsi="Times New Roman"/>
          <w:color w:val="70AD47" w:themeColor="accent6"/>
          <w:sz w:val="24"/>
          <w:szCs w:val="24"/>
        </w:rPr>
        <w:t xml:space="preserve"> (1724-90). Al final de las lecciones sobre antropología (</w:t>
      </w:r>
      <w:proofErr w:type="spellStart"/>
      <w:r w:rsidRPr="00E1778C">
        <w:rPr>
          <w:rFonts w:ascii="Times New Roman" w:hAnsi="Times New Roman"/>
          <w:i/>
          <w:color w:val="70AD47" w:themeColor="accent6"/>
          <w:sz w:val="24"/>
          <w:szCs w:val="24"/>
        </w:rPr>
        <w:t>Friedländer</w:t>
      </w:r>
      <w:proofErr w:type="spellEnd"/>
      <w:r w:rsidRPr="00E1778C">
        <w:rPr>
          <w:rFonts w:ascii="Times New Roman" w:hAnsi="Times New Roman"/>
          <w:color w:val="70AD47" w:themeColor="accent6"/>
          <w:sz w:val="24"/>
          <w:szCs w:val="24"/>
        </w:rPr>
        <w:t xml:space="preserve">) Kant resume sus esperanzas por estas instituciones como sigue: &lt;Los institutos </w:t>
      </w:r>
      <w:proofErr w:type="spellStart"/>
      <w:r w:rsidRPr="00E1778C">
        <w:rPr>
          <w:rFonts w:ascii="Times New Roman" w:hAnsi="Times New Roman"/>
          <w:color w:val="70AD47" w:themeColor="accent6"/>
          <w:sz w:val="24"/>
          <w:szCs w:val="24"/>
        </w:rPr>
        <w:t>Basedownianos</w:t>
      </w:r>
      <w:proofErr w:type="spellEnd"/>
      <w:r w:rsidRPr="00E1778C">
        <w:rPr>
          <w:rFonts w:ascii="Times New Roman" w:hAnsi="Times New Roman"/>
          <w:color w:val="70AD47" w:themeColor="accent6"/>
          <w:sz w:val="24"/>
          <w:szCs w:val="24"/>
        </w:rPr>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rPr>
          <w:rFonts w:ascii="Times New Roman" w:hAnsi="Times New Roman"/>
          <w:color w:val="70AD47" w:themeColor="accent6"/>
          <w:sz w:val="24"/>
          <w:szCs w:val="24"/>
        </w:rPr>
        <w:t>&gt;”(</w:t>
      </w:r>
      <w:proofErr w:type="gramEnd"/>
      <w:r w:rsidRPr="00E1778C">
        <w:rPr>
          <w:rFonts w:ascii="Times New Roman" w:hAnsi="Times New Roman"/>
          <w:color w:val="70AD47" w:themeColor="accent6"/>
          <w:sz w:val="24"/>
          <w:szCs w:val="24"/>
        </w:rPr>
        <w:t>Kant citado en introducción del traductor, 2007; p.98)</w:t>
      </w:r>
    </w:p>
    <w:p w14:paraId="2BE43FF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“Edificando sobre la apelación de Rousseau por un método educativo que trabaje con la naturaleza, en lugar de ir en contra de ella, los institutos </w:t>
      </w:r>
      <w:proofErr w:type="spellStart"/>
      <w:r w:rsidRPr="00E1778C">
        <w:rPr>
          <w:rFonts w:ascii="Times New Roman" w:hAnsi="Times New Roman"/>
          <w:color w:val="70AD47" w:themeColor="accent6"/>
          <w:sz w:val="24"/>
          <w:szCs w:val="24"/>
        </w:rPr>
        <w:t>Philantropinum</w:t>
      </w:r>
      <w:proofErr w:type="spellEnd"/>
      <w:r w:rsidRPr="00E1778C">
        <w:rPr>
          <w:rFonts w:ascii="Times New Roman" w:hAnsi="Times New Roman"/>
          <w:color w:val="70AD47" w:themeColor="accent6"/>
          <w:sz w:val="24"/>
          <w:szCs w:val="24"/>
        </w:rPr>
        <w:t xml:space="preserve"> presentan una variedad de técnicas y prioridades pedagógicas que desde entonces se han ganado un lugar en el canon educativo, por ejemplo, aproximaciones conversacionales a lenguajes extranjeros (incluido el </w:t>
      </w:r>
      <w:proofErr w:type="spellStart"/>
      <w:r w:rsidRPr="00E1778C">
        <w:rPr>
          <w:rFonts w:ascii="Times New Roman" w:hAnsi="Times New Roman"/>
          <w:color w:val="70AD47" w:themeColor="accent6"/>
          <w:sz w:val="24"/>
          <w:szCs w:val="24"/>
        </w:rPr>
        <w:t>latin</w:t>
      </w:r>
      <w:proofErr w:type="spellEnd"/>
      <w:r w:rsidRPr="00E1778C">
        <w:rPr>
          <w:rFonts w:ascii="Times New Roman" w:hAnsi="Times New Roman"/>
          <w:color w:val="70AD47" w:themeColor="accent6"/>
          <w:sz w:val="24"/>
          <w:szCs w:val="24"/>
        </w:rPr>
        <w:t xml:space="preserve">), gimnasia y educación física, y menos énfasis en la memorización. Pero, sobre todo, fue el énfasis no-sectario y cosmopolita del currículo de </w:t>
      </w:r>
      <w:proofErr w:type="spellStart"/>
      <w:r w:rsidRPr="00E1778C">
        <w:rPr>
          <w:rFonts w:ascii="Times New Roman" w:hAnsi="Times New Roman"/>
          <w:color w:val="70AD47" w:themeColor="accent6"/>
          <w:sz w:val="24"/>
          <w:szCs w:val="24"/>
        </w:rPr>
        <w:t>Basedow</w:t>
      </w:r>
      <w:proofErr w:type="spellEnd"/>
      <w:r w:rsidRPr="00E1778C">
        <w:rPr>
          <w:rFonts w:ascii="Times New Roman" w:hAnsi="Times New Roman"/>
          <w:color w:val="70AD47" w:themeColor="accent6"/>
          <w:sz w:val="24"/>
          <w:szCs w:val="24"/>
        </w:rPr>
        <w:t xml:space="preserve"> lo que atrajo a Kant.” (introducción del traductor, 2007; p.98)</w:t>
      </w:r>
    </w:p>
    <w:p w14:paraId="6E772D3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“Tal vez nunca antes se ha realizado una demanda más justa a la especie humana, y nunca antes tan grande y auto-extensivo beneficio ha sido desinteresadamente ofrecido, como lo es </w:t>
      </w:r>
      <w:r w:rsidRPr="00E1778C">
        <w:rPr>
          <w:rFonts w:ascii="Times New Roman" w:hAnsi="Times New Roman"/>
          <w:color w:val="70AD47" w:themeColor="accent6"/>
          <w:sz w:val="24"/>
          <w:szCs w:val="24"/>
        </w:rPr>
        <w:lastRenderedPageBreak/>
        <w:t xml:space="preserve">el caso del Sr. </w:t>
      </w:r>
      <w:proofErr w:type="spellStart"/>
      <w:r w:rsidRPr="00E1778C">
        <w:rPr>
          <w:rFonts w:ascii="Times New Roman" w:hAnsi="Times New Roman"/>
          <w:color w:val="70AD47" w:themeColor="accent6"/>
          <w:sz w:val="24"/>
          <w:szCs w:val="24"/>
        </w:rPr>
        <w:t>Basedow</w:t>
      </w:r>
      <w:proofErr w:type="spellEnd"/>
      <w:r w:rsidRPr="00E1778C">
        <w:rPr>
          <w:rFonts w:ascii="Times New Roman" w:hAnsi="Times New Roman"/>
          <w:color w:val="70AD47" w:themeColor="accent6"/>
          <w:sz w:val="24"/>
          <w:szCs w:val="24"/>
        </w:rPr>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p w14:paraId="6D0E773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“A cada mancomunidad (</w:t>
      </w:r>
      <w:proofErr w:type="spellStart"/>
      <w:r w:rsidRPr="00E1778C">
        <w:rPr>
          <w:rFonts w:ascii="Times New Roman" w:hAnsi="Times New Roman"/>
          <w:i/>
          <w:color w:val="70AD47" w:themeColor="accent6"/>
          <w:sz w:val="24"/>
          <w:szCs w:val="24"/>
        </w:rPr>
        <w:t>commonwealth</w:t>
      </w:r>
      <w:proofErr w:type="spellEnd"/>
      <w:r w:rsidRPr="00E1778C">
        <w:rPr>
          <w:rFonts w:ascii="Times New Roman" w:hAnsi="Times New Roman"/>
          <w:color w:val="70AD47" w:themeColor="accent6"/>
          <w:sz w:val="24"/>
          <w:szCs w:val="24"/>
        </w:rPr>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p w14:paraId="5EFF4EF7" w14:textId="77777777" w:rsidR="00882E01" w:rsidRPr="00E1778C" w:rsidRDefault="00882E01" w:rsidP="00882E01">
      <w:pPr>
        <w:spacing w:line="360" w:lineRule="auto"/>
        <w:rPr>
          <w:rFonts w:ascii="Times New Roman" w:hAnsi="Times New Roman"/>
          <w:color w:val="C5E0B3" w:themeColor="accent6" w:themeTint="66"/>
          <w:sz w:val="24"/>
          <w:szCs w:val="24"/>
        </w:rPr>
      </w:pPr>
      <w:r w:rsidRPr="00E1778C">
        <w:rPr>
          <w:rFonts w:ascii="Times New Roman" w:hAnsi="Times New Roman"/>
          <w:color w:val="C5E0B3" w:themeColor="accent6" w:themeTint="66"/>
          <w:sz w:val="24"/>
          <w:szCs w:val="24"/>
        </w:rPr>
        <w:t xml:space="preserve">“El </w:t>
      </w:r>
      <w:proofErr w:type="spellStart"/>
      <w:r w:rsidRPr="00E1778C">
        <w:rPr>
          <w:rFonts w:ascii="Times New Roman" w:hAnsi="Times New Roman"/>
          <w:color w:val="C5E0B3" w:themeColor="accent6" w:themeTint="66"/>
          <w:sz w:val="24"/>
          <w:szCs w:val="24"/>
        </w:rPr>
        <w:t>Philantropinum</w:t>
      </w:r>
      <w:proofErr w:type="spellEnd"/>
      <w:r w:rsidRPr="00E1778C">
        <w:rPr>
          <w:rFonts w:ascii="Times New Roman" w:hAnsi="Times New Roman"/>
          <w:color w:val="C5E0B3" w:themeColor="accent6" w:themeTint="66"/>
          <w:sz w:val="24"/>
          <w:szCs w:val="24"/>
        </w:rPr>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p w14:paraId="0385548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rFonts w:ascii="Times New Roman" w:hAnsi="Times New Roman"/>
          <w:i/>
          <w:color w:val="70AD47" w:themeColor="accent6"/>
          <w:sz w:val="24"/>
          <w:szCs w:val="24"/>
        </w:rPr>
        <w:t>una sola</w:t>
      </w:r>
      <w:r w:rsidRPr="00E1778C">
        <w:rPr>
          <w:rFonts w:ascii="Times New Roman" w:hAnsi="Times New Roman"/>
          <w:color w:val="70AD47" w:themeColor="accent6"/>
          <w:sz w:val="24"/>
          <w:szCs w:val="24"/>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w:t>
      </w:r>
      <w:proofErr w:type="spellStart"/>
      <w:r w:rsidRPr="00E1778C">
        <w:rPr>
          <w:rFonts w:ascii="Times New Roman" w:hAnsi="Times New Roman"/>
          <w:color w:val="70AD47" w:themeColor="accent6"/>
          <w:sz w:val="24"/>
          <w:szCs w:val="24"/>
        </w:rPr>
        <w:t>unficada</w:t>
      </w:r>
      <w:proofErr w:type="spellEnd"/>
      <w:r w:rsidRPr="00E1778C">
        <w:rPr>
          <w:rFonts w:ascii="Times New Roman" w:hAnsi="Times New Roman"/>
          <w:color w:val="70AD47" w:themeColor="accent6"/>
          <w:sz w:val="24"/>
          <w:szCs w:val="24"/>
        </w:rPr>
        <w:t xml:space="preserve"> de todos los filántropos, hasta que alcance su completitud. (2007; p.102)</w:t>
      </w:r>
    </w:p>
    <w:p w14:paraId="2D0900CF"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“Ahora el esfuerzo del público general de todos los países debe ser primero en dirigir hacia la ayuda de todo tipo en modelar dicha escuela.” (2007; p.103)</w:t>
      </w:r>
    </w:p>
    <w:p w14:paraId="4D70D466"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Kant, I. (2015) S</w:t>
      </w:r>
      <w:r w:rsidRPr="00E1778C">
        <w:rPr>
          <w:rFonts w:ascii="Times New Roman" w:hAnsi="Times New Roman"/>
          <w:i/>
          <w:color w:val="000000" w:themeColor="text1"/>
          <w:sz w:val="24"/>
          <w:szCs w:val="24"/>
        </w:rPr>
        <w:t>i el género humano se halla en progreso constante hacia lo mejor</w:t>
      </w:r>
      <w:r w:rsidRPr="00E1778C">
        <w:rPr>
          <w:rFonts w:ascii="Times New Roman" w:hAnsi="Times New Roman"/>
          <w:color w:val="000000" w:themeColor="text1"/>
          <w:sz w:val="24"/>
          <w:szCs w:val="24"/>
        </w:rPr>
        <w:t>. (En: Filosofía de la historia. FCE).</w:t>
      </w:r>
    </w:p>
    <w:p w14:paraId="7C9126AA"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 xml:space="preserve"> “Esperar </w:t>
      </w:r>
      <w:proofErr w:type="gramStart"/>
      <w:r w:rsidRPr="00E1778C">
        <w:rPr>
          <w:rFonts w:ascii="Times New Roman" w:hAnsi="Times New Roman"/>
          <w:color w:val="70AD47" w:themeColor="accent6"/>
          <w:sz w:val="24"/>
          <w:szCs w:val="24"/>
        </w:rPr>
        <w:t>que</w:t>
      </w:r>
      <w:proofErr w:type="gramEnd"/>
      <w:r w:rsidRPr="00E1778C">
        <w:rPr>
          <w:rFonts w:ascii="Times New Roman" w:hAnsi="Times New Roman"/>
          <w:color w:val="70AD47" w:themeColor="accent6"/>
          <w:sz w:val="24"/>
          <w:szCs w:val="24"/>
        </w:rPr>
        <w:t xml:space="preserve"> mediante la educación de la juventud, con la instrucción doméstica y más tarde escolar, de la escuela elemental a la superior, en una cultura espiritual y moral </w:t>
      </w:r>
      <w:r w:rsidRPr="00E1778C">
        <w:rPr>
          <w:rFonts w:ascii="Times New Roman" w:hAnsi="Times New Roman"/>
          <w:color w:val="70AD47" w:themeColor="accent6"/>
          <w:sz w:val="24"/>
          <w:szCs w:val="24"/>
        </w:rPr>
        <w:lastRenderedPageBreak/>
        <w:t xml:space="preserve">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rPr>
          <w:rFonts w:ascii="Times New Roman" w:hAnsi="Times New Roman"/>
          <w:color w:val="70AD47" w:themeColor="accent6"/>
          <w:sz w:val="24"/>
          <w:szCs w:val="24"/>
        </w:rPr>
        <w:t>Büsching</w:t>
      </w:r>
      <w:proofErr w:type="spellEnd"/>
      <w:r w:rsidRPr="00E1778C">
        <w:rPr>
          <w:rFonts w:ascii="Times New Roman" w:hAnsi="Times New Roman"/>
          <w:color w:val="70AD47" w:themeColor="accent6"/>
          <w:sz w:val="24"/>
          <w:szCs w:val="24"/>
        </w:rPr>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p w14:paraId="5C5FC291" w14:textId="67855140" w:rsidR="00882E01" w:rsidRDefault="00882E01" w:rsidP="00312036">
      <w:pPr>
        <w:spacing w:line="360" w:lineRule="auto"/>
        <w:rPr>
          <w:rFonts w:ascii="Times New Roman" w:hAnsi="Times New Roman"/>
          <w:color w:val="70AD47" w:themeColor="accent6"/>
          <w:sz w:val="24"/>
          <w:szCs w:val="24"/>
        </w:rPr>
      </w:pPr>
    </w:p>
    <w:p w14:paraId="28A0F49C"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41D4C43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“Kant es un filósofo que muestra y enfatiza, como pocos, el sentido que le otorga al proceso educativo un valor intrínseco y no sólo instrumental, a saber, el sentido ético.” (2006; p.75)</w:t>
      </w:r>
    </w:p>
    <w:p w14:paraId="1A783DA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14:paraId="11E2416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E1778C">
        <w:rPr>
          <w:rFonts w:ascii="Times New Roman" w:hAnsi="Times New Roman"/>
          <w:i/>
          <w:color w:val="70AD47" w:themeColor="accent6"/>
          <w:sz w:val="24"/>
          <w:szCs w:val="24"/>
        </w:rPr>
        <w:t>e-</w:t>
      </w:r>
      <w:proofErr w:type="spellStart"/>
      <w:r w:rsidRPr="00E1778C">
        <w:rPr>
          <w:rFonts w:ascii="Times New Roman" w:hAnsi="Times New Roman"/>
          <w:i/>
          <w:color w:val="70AD47" w:themeColor="accent6"/>
          <w:sz w:val="24"/>
          <w:szCs w:val="24"/>
        </w:rPr>
        <w:t>ducere</w:t>
      </w:r>
      <w:proofErr w:type="spellEnd"/>
      <w:r w:rsidRPr="00E1778C">
        <w:rPr>
          <w:rFonts w:ascii="Times New Roman" w:hAnsi="Times New Roman"/>
          <w:color w:val="70AD47" w:themeColor="accent6"/>
          <w:sz w:val="24"/>
          <w:szCs w:val="24"/>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14:paraId="2FF3F16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14:paraId="3C81906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14:paraId="518CB26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14:paraId="1DA4F91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14:paraId="5CF5328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“Sostuvo Kant (…) “que el ser humano posee, en lo más íntimo, una cierta dignidad que lo destaca de todas las criaturas” y que su “deber es no renunciar a esta dignidad de la humanidad en su propia persona.” (1983:82) (…) De esta manera, se convierte en un </w:t>
      </w:r>
      <w:r w:rsidRPr="00E1778C">
        <w:rPr>
          <w:rFonts w:ascii="Times New Roman" w:hAnsi="Times New Roman"/>
          <w:color w:val="70AD47" w:themeColor="accent6"/>
          <w:sz w:val="24"/>
          <w:szCs w:val="24"/>
        </w:rPr>
        <w:lastRenderedPageBreak/>
        <w:t>prioritario objetivo de la educación el despertar y elevar la conciencia en nosotros de la realidad de nuestros semejantes.” (2006; p.78)</w:t>
      </w:r>
    </w:p>
    <w:p w14:paraId="45A1892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14:paraId="6117FBB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14:paraId="7020145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14:paraId="19BA03D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14:paraId="1030F5B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“Los ideales que rigen el proyecto educativo se muestran coincidiendo con los ideales de la ilustración. (…) el fin de la educación, como parte inseparable del desarrollo de la </w:t>
      </w:r>
      <w:r w:rsidRPr="00E1778C">
        <w:rPr>
          <w:rFonts w:ascii="Times New Roman" w:hAnsi="Times New Roman"/>
          <w:color w:val="70AD47" w:themeColor="accent6"/>
          <w:sz w:val="24"/>
          <w:szCs w:val="24"/>
        </w:rPr>
        <w:lastRenderedPageBreak/>
        <w:t>autonomía de los individuos, consiste en desarrollar en ellos la capacidad de pensar por sí mismos” (2006; p.79)</w:t>
      </w:r>
    </w:p>
    <w:p w14:paraId="41502FD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14:paraId="3C47752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“Cuando Kant postula el famoso </w:t>
      </w:r>
      <w:r w:rsidRPr="00E1778C">
        <w:rPr>
          <w:rFonts w:ascii="Times New Roman" w:hAnsi="Times New Roman"/>
          <w:i/>
          <w:color w:val="70AD47" w:themeColor="accent6"/>
          <w:sz w:val="24"/>
          <w:szCs w:val="24"/>
        </w:rPr>
        <w:t>¡</w:t>
      </w:r>
      <w:proofErr w:type="spellStart"/>
      <w:r w:rsidRPr="00E1778C">
        <w:rPr>
          <w:rFonts w:ascii="Times New Roman" w:hAnsi="Times New Roman"/>
          <w:i/>
          <w:color w:val="70AD47" w:themeColor="accent6"/>
          <w:sz w:val="24"/>
          <w:szCs w:val="24"/>
        </w:rPr>
        <w:t>sapere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aude</w:t>
      </w:r>
      <w:proofErr w:type="spellEnd"/>
      <w:r w:rsidRPr="00E1778C">
        <w:rPr>
          <w:rFonts w:ascii="Times New Roman" w:hAnsi="Times New Roman"/>
          <w:i/>
          <w:color w:val="70AD47" w:themeColor="accent6"/>
          <w:sz w:val="24"/>
          <w:szCs w:val="24"/>
        </w:rPr>
        <w:t>! c</w:t>
      </w:r>
      <w:r w:rsidRPr="00E1778C">
        <w:rPr>
          <w:rFonts w:ascii="Times New Roman" w:hAnsi="Times New Roman"/>
          <w:color w:val="70AD47" w:themeColor="accent6"/>
          <w:sz w:val="24"/>
          <w:szCs w:val="24"/>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14:paraId="1C6698F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14:paraId="2707D56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14:paraId="729208A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w:t>
      </w:r>
      <w:r w:rsidRPr="00E1778C">
        <w:rPr>
          <w:rFonts w:ascii="Times New Roman" w:hAnsi="Times New Roman"/>
          <w:color w:val="70AD47" w:themeColor="accent6"/>
          <w:sz w:val="24"/>
          <w:szCs w:val="24"/>
        </w:rPr>
        <w:lastRenderedPageBreak/>
        <w:t>perspectiva de la cosas (…) para afrontar lo que se muestra como parte fundamental del mundo: la pluralidad y diversidad de los seres humanos.” (2006; p. 82)</w:t>
      </w:r>
    </w:p>
    <w:p w14:paraId="67622E9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rPr>
          <w:rFonts w:ascii="Times New Roman" w:hAnsi="Times New Roman"/>
          <w:color w:val="70AD47" w:themeColor="accent6"/>
          <w:sz w:val="24"/>
          <w:szCs w:val="24"/>
        </w:rPr>
        <w:t>Apel</w:t>
      </w:r>
      <w:proofErr w:type="spellEnd"/>
      <w:r w:rsidRPr="00E1778C">
        <w:rPr>
          <w:rFonts w:ascii="Times New Roman" w:hAnsi="Times New Roman"/>
          <w:color w:val="70AD47" w:themeColor="accent6"/>
          <w:sz w:val="24"/>
          <w:szCs w:val="24"/>
        </w:rPr>
        <w:t xml:space="preserve">, J.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y J. </w:t>
      </w:r>
      <w:proofErr w:type="spellStart"/>
      <w:r w:rsidRPr="00E1778C">
        <w:rPr>
          <w:rFonts w:ascii="Times New Roman" w:hAnsi="Times New Roman"/>
          <w:color w:val="70AD47" w:themeColor="accent6"/>
          <w:sz w:val="24"/>
          <w:szCs w:val="24"/>
        </w:rPr>
        <w:t>Rawls</w:t>
      </w:r>
      <w:proofErr w:type="spellEnd"/>
      <w:r w:rsidRPr="00E1778C">
        <w:rPr>
          <w:rFonts w:ascii="Times New Roman" w:hAnsi="Times New Roman"/>
          <w:color w:val="70AD47" w:themeColor="accent6"/>
          <w:sz w:val="24"/>
          <w:szCs w:val="24"/>
        </w:rPr>
        <w:t xml:space="preserve"> traducen el kantismo en la perspectiva de dar curso a configuraciones económicas, políticas y sociales que encarnen el valor de la solidaridad.” (2006; p. 84)</w:t>
      </w:r>
    </w:p>
    <w:p w14:paraId="3CA2BE9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14:paraId="4A77396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posee como misión propia disponernos para intentar una vida con sentido.” (2006; p.86)</w:t>
      </w:r>
    </w:p>
    <w:p w14:paraId="5AE19F8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palabra escuela proviene del vocablo griego </w:t>
      </w:r>
      <w:proofErr w:type="spellStart"/>
      <w:r w:rsidRPr="00E1778C">
        <w:rPr>
          <w:rFonts w:ascii="Times New Roman" w:hAnsi="Times New Roman"/>
          <w:i/>
          <w:color w:val="70AD47" w:themeColor="accent6"/>
          <w:sz w:val="24"/>
          <w:szCs w:val="24"/>
        </w:rPr>
        <w:t>scholé</w:t>
      </w:r>
      <w:proofErr w:type="spellEnd"/>
      <w:r w:rsidRPr="00E1778C">
        <w:rPr>
          <w:rFonts w:ascii="Times New Roman" w:hAnsi="Times New Roman"/>
          <w:color w:val="70AD47" w:themeColor="accent6"/>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14:paraId="1CB29F1E"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Agazzi</w:t>
      </w:r>
      <w:proofErr w:type="spellEnd"/>
      <w:r w:rsidRPr="00E1778C">
        <w:rPr>
          <w:rFonts w:ascii="Times New Roman" w:hAnsi="Times New Roman"/>
          <w:color w:val="000000" w:themeColor="text1"/>
          <w:sz w:val="24"/>
          <w:szCs w:val="24"/>
        </w:rPr>
        <w:t xml:space="preserve">, A. (1966) </w:t>
      </w:r>
      <w:r w:rsidRPr="00E1778C">
        <w:rPr>
          <w:rFonts w:ascii="Times New Roman" w:hAnsi="Times New Roman"/>
          <w:i/>
          <w:color w:val="000000" w:themeColor="text1"/>
          <w:sz w:val="24"/>
          <w:szCs w:val="24"/>
        </w:rPr>
        <w:t>Historia de la filosofía y de la pedagogía. Tomo II.</w:t>
      </w:r>
      <w:r w:rsidRPr="00E1778C">
        <w:rPr>
          <w:rFonts w:ascii="Times New Roman" w:hAnsi="Times New Roman"/>
          <w:color w:val="000000" w:themeColor="text1"/>
          <w:sz w:val="24"/>
          <w:szCs w:val="24"/>
        </w:rPr>
        <w:t xml:space="preserve"> Ed. Marfil.</w:t>
      </w:r>
    </w:p>
    <w:p w14:paraId="0B8F12E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“A causa de la misma influencia ejercida por su concepción del espíritu humano y del saber, Kant determinó una nueva orientación de la ciencia de la educación.” (1966; p.360)</w:t>
      </w:r>
    </w:p>
    <w:p w14:paraId="0AD4C29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proofErr w:type="spellStart"/>
      <w:r w:rsidRPr="00E1778C">
        <w:rPr>
          <w:rFonts w:ascii="Times New Roman" w:hAnsi="Times New Roman"/>
          <w:color w:val="70AD47" w:themeColor="accent6"/>
          <w:sz w:val="24"/>
          <w:szCs w:val="24"/>
        </w:rPr>
        <w:t>Agazzi</w:t>
      </w:r>
      <w:proofErr w:type="spellEnd"/>
      <w:r w:rsidRPr="00E1778C">
        <w:rPr>
          <w:rFonts w:ascii="Times New Roman" w:hAnsi="Times New Roman"/>
          <w:color w:val="70AD47" w:themeColor="accent6"/>
          <w:sz w:val="24"/>
          <w:szCs w:val="24"/>
        </w:rPr>
        <w:t>, 1966; p.360)</w:t>
      </w:r>
    </w:p>
    <w:p w14:paraId="1F3A0E2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fin de la educación es el mismo fin del hombre y de la historia (…) La moralidad, aun siendo propia del hombre, no es un punto de partida sino el fruto de una conquista.” (1966; p.360)</w:t>
      </w:r>
    </w:p>
    <w:p w14:paraId="113E765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14:paraId="244FB97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obra educativa, mediante la disciplina, impone la observancia de la ley e induce al educando al uso de la libertad, con la cual se convierte en norma de sí mismo, en conformidad con la ley interna del deber.” (1966; p.361)</w:t>
      </w:r>
    </w:p>
    <w:p w14:paraId="218A9805"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Lacroix</w:t>
      </w:r>
      <w:proofErr w:type="spellEnd"/>
      <w:r w:rsidRPr="00E1778C">
        <w:rPr>
          <w:rFonts w:ascii="Times New Roman" w:hAnsi="Times New Roman"/>
          <w:color w:val="000000" w:themeColor="text1"/>
          <w:sz w:val="24"/>
          <w:szCs w:val="24"/>
        </w:rPr>
        <w:t xml:space="preserve">, J. (1969) </w:t>
      </w:r>
      <w:r w:rsidRPr="00E1778C">
        <w:rPr>
          <w:rFonts w:ascii="Times New Roman" w:hAnsi="Times New Roman"/>
          <w:i/>
          <w:color w:val="000000" w:themeColor="text1"/>
          <w:sz w:val="24"/>
          <w:szCs w:val="24"/>
        </w:rPr>
        <w:t>Kant</w:t>
      </w:r>
      <w:r w:rsidRPr="00E1778C">
        <w:rPr>
          <w:rFonts w:ascii="Times New Roman" w:hAnsi="Times New Roman"/>
          <w:color w:val="000000" w:themeColor="text1"/>
          <w:sz w:val="24"/>
          <w:szCs w:val="24"/>
        </w:rPr>
        <w:t>. Ed. Sudamericana.</w:t>
      </w:r>
    </w:p>
    <w:p w14:paraId="5CF6BB7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función suprema de la educación y del derecho, fundados ambos sobre la libertad humana (…) es permitir a la naturaleza expandirse en la cultura. O más bien es la cultura misma que se vuelve la verdadera naturaleza del hombre.” (1969; p. 101)</w:t>
      </w:r>
    </w:p>
    <w:p w14:paraId="008311FD"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Vandewalle</w:t>
      </w:r>
      <w:proofErr w:type="spellEnd"/>
      <w:r w:rsidRPr="00E1778C">
        <w:rPr>
          <w:rFonts w:ascii="Times New Roman" w:hAnsi="Times New Roman"/>
          <w:color w:val="000000" w:themeColor="text1"/>
          <w:sz w:val="24"/>
          <w:szCs w:val="24"/>
        </w:rPr>
        <w:t xml:space="preserve">, B. (2005) </w:t>
      </w:r>
      <w:r w:rsidRPr="00E1778C">
        <w:rPr>
          <w:rFonts w:ascii="Times New Roman" w:hAnsi="Times New Roman"/>
          <w:i/>
          <w:color w:val="000000" w:themeColor="text1"/>
          <w:sz w:val="24"/>
          <w:szCs w:val="24"/>
        </w:rPr>
        <w:t>Kant. Educación y crítica.</w:t>
      </w:r>
      <w:r w:rsidRPr="00E1778C">
        <w:rPr>
          <w:rFonts w:ascii="Times New Roman" w:hAnsi="Times New Roman"/>
          <w:color w:val="000000" w:themeColor="text1"/>
          <w:sz w:val="24"/>
          <w:szCs w:val="24"/>
        </w:rPr>
        <w:t xml:space="preserve"> Ed. Nueva Visión.</w:t>
      </w:r>
    </w:p>
    <w:p w14:paraId="3F55C22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pedagogía fue, para Kant, tanto una práctica cotidiana como un objeto de reflexión (…) Kant dictaba unas veinte horas de clase por semana sobre temas increíblemente variados.” (2005; p.5)</w:t>
      </w:r>
    </w:p>
    <w:p w14:paraId="5805D7D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“Excitaba la curiosidad y forzaba agradablemente a pensar por uno mismo.” (Herder citado en </w:t>
      </w:r>
      <w:proofErr w:type="spellStart"/>
      <w:r w:rsidRPr="00E1778C">
        <w:rPr>
          <w:rFonts w:ascii="Times New Roman" w:hAnsi="Times New Roman"/>
          <w:color w:val="70AD47" w:themeColor="accent6"/>
          <w:sz w:val="24"/>
          <w:szCs w:val="24"/>
        </w:rPr>
        <w:t>Vandewalle</w:t>
      </w:r>
      <w:proofErr w:type="spellEnd"/>
      <w:r w:rsidRPr="00E1778C">
        <w:rPr>
          <w:rFonts w:ascii="Times New Roman" w:hAnsi="Times New Roman"/>
          <w:color w:val="70AD47" w:themeColor="accent6"/>
          <w:sz w:val="24"/>
          <w:szCs w:val="24"/>
        </w:rPr>
        <w:t>, 2005; p.6)</w:t>
      </w:r>
    </w:p>
    <w:p w14:paraId="73371718"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(1988) </w:t>
      </w:r>
      <w:r w:rsidRPr="00E1778C">
        <w:rPr>
          <w:rFonts w:ascii="Times New Roman" w:hAnsi="Times New Roman"/>
          <w:i/>
          <w:color w:val="000000" w:themeColor="text1"/>
          <w:sz w:val="24"/>
          <w:szCs w:val="24"/>
        </w:rPr>
        <w:t>Lecciones de ética</w:t>
      </w:r>
      <w:r w:rsidRPr="00E1778C">
        <w:rPr>
          <w:rFonts w:ascii="Times New Roman" w:hAnsi="Times New Roman"/>
          <w:color w:val="000000" w:themeColor="text1"/>
          <w:sz w:val="24"/>
          <w:szCs w:val="24"/>
        </w:rPr>
        <w:t>. Editorial Crítica.</w:t>
      </w:r>
    </w:p>
    <w:p w14:paraId="237DDD7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mejor ser concienzudos en todas nuestras acciones y mucho mejor aún ayudar al necesitado por medio de nuestro comportamiento, en lugar de darle únicamente aquello que nos sobra.” (1988; p.283)</w:t>
      </w:r>
    </w:p>
    <w:p w14:paraId="2EA51D4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 p.297)</w:t>
      </w:r>
    </w:p>
    <w:p w14:paraId="0F6115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p w14:paraId="2738AB7E" w14:textId="012E97D8" w:rsidR="00882E01" w:rsidRPr="00882E01" w:rsidRDefault="00882E01" w:rsidP="00312036">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p>
    <w:p w14:paraId="7D2A59B9" w14:textId="088962B8" w:rsidR="00312036" w:rsidRDefault="00312036" w:rsidP="00312036">
      <w:pPr>
        <w:spacing w:after="0" w:line="360" w:lineRule="auto"/>
        <w:ind w:left="1416" w:firstLine="0"/>
        <w:rPr>
          <w:rFonts w:ascii="Times New Roman" w:hAnsi="Times New Roman"/>
          <w:sz w:val="24"/>
          <w:szCs w:val="24"/>
          <w:lang w:val="es-PE"/>
        </w:rPr>
      </w:pPr>
    </w:p>
    <w:p w14:paraId="199CE8DD"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559D4906" w14:textId="5CC11334"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60A9B9D" w14:textId="1000BB31" w:rsidR="00312036" w:rsidRDefault="00312036" w:rsidP="00312036">
      <w:pPr>
        <w:spacing w:after="0" w:line="360" w:lineRule="auto"/>
        <w:ind w:left="1416" w:firstLine="0"/>
        <w:rPr>
          <w:rFonts w:ascii="Times New Roman" w:hAnsi="Times New Roman"/>
          <w:sz w:val="24"/>
          <w:szCs w:val="24"/>
          <w:lang w:val="es-PE"/>
        </w:rPr>
      </w:pPr>
    </w:p>
    <w:p w14:paraId="0C52F4D6" w14:textId="77777777" w:rsidR="00882E01" w:rsidRPr="00E1778C" w:rsidRDefault="00882E01" w:rsidP="00882E01">
      <w:pPr>
        <w:spacing w:line="360" w:lineRule="auto"/>
        <w:ind w:left="720" w:hanging="720"/>
        <w:rPr>
          <w:rFonts w:ascii="Times New Roman" w:hAnsi="Times New Roman"/>
          <w:color w:val="000000" w:themeColor="text1"/>
          <w:sz w:val="24"/>
          <w:szCs w:val="24"/>
          <w:shd w:val="clear" w:color="auto" w:fill="FFFFFF"/>
        </w:rPr>
      </w:pPr>
      <w:r w:rsidRPr="00E1778C">
        <w:rPr>
          <w:rFonts w:ascii="Times New Roman" w:hAnsi="Times New Roman"/>
          <w:color w:val="000000" w:themeColor="text1"/>
          <w:sz w:val="24"/>
          <w:szCs w:val="24"/>
          <w:shd w:val="clear" w:color="auto" w:fill="FFFFFF"/>
        </w:rPr>
        <w:t xml:space="preserve">Kant, I. </w:t>
      </w:r>
      <w:r w:rsidRPr="00E1778C">
        <w:rPr>
          <w:rFonts w:ascii="Times New Roman" w:hAnsi="Times New Roman"/>
          <w:color w:val="000000" w:themeColor="text1"/>
          <w:sz w:val="24"/>
          <w:szCs w:val="24"/>
        </w:rPr>
        <w:t>(</w:t>
      </w:r>
      <w:r w:rsidRPr="00E1778C">
        <w:rPr>
          <w:rFonts w:ascii="Times New Roman" w:hAnsi="Times New Roman"/>
          <w:color w:val="000000" w:themeColor="text1"/>
          <w:sz w:val="24"/>
          <w:szCs w:val="24"/>
          <w:shd w:val="clear" w:color="auto" w:fill="FFFFFF"/>
        </w:rPr>
        <w:t>2009</w:t>
      </w:r>
      <w:r w:rsidRPr="00E1778C">
        <w:rPr>
          <w:rFonts w:ascii="Times New Roman" w:hAnsi="Times New Roman"/>
          <w:color w:val="000000" w:themeColor="text1"/>
          <w:sz w:val="24"/>
          <w:szCs w:val="24"/>
        </w:rPr>
        <w:t>)</w:t>
      </w:r>
      <w:r w:rsidRPr="00E1778C">
        <w:rPr>
          <w:rFonts w:ascii="Times New Roman" w:hAnsi="Times New Roman"/>
          <w:color w:val="000000" w:themeColor="text1"/>
          <w:sz w:val="24"/>
          <w:szCs w:val="24"/>
          <w:shd w:val="clear" w:color="auto" w:fill="FFFFFF"/>
        </w:rPr>
        <w:t xml:space="preserve"> </w:t>
      </w:r>
      <w:r w:rsidRPr="00E1778C">
        <w:rPr>
          <w:rFonts w:ascii="Times New Roman" w:hAnsi="Times New Roman"/>
          <w:i/>
          <w:color w:val="000000" w:themeColor="text1"/>
          <w:sz w:val="24"/>
          <w:szCs w:val="24"/>
          <w:shd w:val="clear" w:color="auto" w:fill="FFFFFF"/>
        </w:rPr>
        <w:t>Sobre Pedagogía</w:t>
      </w:r>
      <w:r w:rsidRPr="00E1778C">
        <w:rPr>
          <w:rFonts w:ascii="Times New Roman" w:hAnsi="Times New Roman"/>
          <w:color w:val="000000" w:themeColor="text1"/>
          <w:sz w:val="24"/>
          <w:szCs w:val="24"/>
          <w:shd w:val="clear" w:color="auto" w:fill="FFFFFF"/>
        </w:rPr>
        <w:t xml:space="preserve">. Universidad Nacional de Córdoba. Encuentro Grupo Editor. </w:t>
      </w:r>
    </w:p>
    <w:p w14:paraId="658771C2" w14:textId="77777777" w:rsidR="00882E01" w:rsidRPr="00E1778C" w:rsidRDefault="00882E01" w:rsidP="00882E01">
      <w:pPr>
        <w:spacing w:line="360" w:lineRule="auto"/>
        <w:rPr>
          <w:rFonts w:ascii="Times New Roman" w:hAnsi="Times New Roman"/>
          <w:color w:val="70AD47" w:themeColor="accent6"/>
          <w:sz w:val="24"/>
          <w:szCs w:val="24"/>
          <w:shd w:val="clear" w:color="auto" w:fill="FFFFFF"/>
        </w:rPr>
      </w:pPr>
      <w:r w:rsidRPr="00E1778C">
        <w:rPr>
          <w:rFonts w:ascii="Times New Roman" w:hAnsi="Times New Roman"/>
          <w:color w:val="70AD47" w:themeColor="accent6"/>
          <w:sz w:val="24"/>
          <w:szCs w:val="24"/>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Pr="00E1778C">
        <w:rPr>
          <w:rFonts w:ascii="Times New Roman" w:hAnsi="Times New Roman"/>
          <w:color w:val="70AD47" w:themeColor="accent6"/>
          <w:sz w:val="24"/>
          <w:szCs w:val="24"/>
        </w:rPr>
        <w:t xml:space="preserve">; </w:t>
      </w:r>
      <w:r w:rsidRPr="00E1778C">
        <w:rPr>
          <w:rFonts w:ascii="Times New Roman" w:hAnsi="Times New Roman"/>
          <w:color w:val="70AD47" w:themeColor="accent6"/>
          <w:sz w:val="24"/>
          <w:szCs w:val="24"/>
          <w:shd w:val="clear" w:color="auto" w:fill="FFFFFF"/>
        </w:rPr>
        <w:t>p. 27)</w:t>
      </w:r>
    </w:p>
    <w:p w14:paraId="18240C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disciplina o la crianza transforman la animalidad en humanidad. Un animal es todo ya por su instinto; una razón extraña ha cuidado ya de ello en lugar de él. Pero el hombre necesita de su propia razón. No tiene instinto, y tiene que hacerse el plan de su conducta. Pero </w:t>
      </w:r>
      <w:r w:rsidRPr="00E1778C">
        <w:rPr>
          <w:rFonts w:ascii="Times New Roman" w:hAnsi="Times New Roman"/>
          <w:color w:val="70AD47" w:themeColor="accent6"/>
          <w:sz w:val="24"/>
          <w:szCs w:val="24"/>
        </w:rPr>
        <w:lastRenderedPageBreak/>
        <w:t>como no está inmediatamente en condiciones de hacérselo, sino que llega al mundo sin estar desarrollado, otros tienen que hacerlo por él.” (2009; p.28)</w:t>
      </w:r>
    </w:p>
    <w:p w14:paraId="39F7A96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14:paraId="6D29C0C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14:paraId="75D6A57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14:paraId="4697494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shd w:val="clear" w:color="auto" w:fill="FFFFFF"/>
        </w:rPr>
        <w:lastRenderedPageBreak/>
        <w:t>“</w:t>
      </w:r>
      <w:r w:rsidRPr="00E1778C">
        <w:rPr>
          <w:rFonts w:ascii="Times New Roman" w:hAnsi="Times New Roman"/>
          <w:color w:val="70AD47" w:themeColor="accent6"/>
          <w:sz w:val="24"/>
          <w:szCs w:val="24"/>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14:paraId="34E2404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14:paraId="66C861F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14:paraId="30643FB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proofErr w:type="gramStart"/>
      <w:r w:rsidRPr="00E1778C">
        <w:rPr>
          <w:rFonts w:ascii="Times New Roman" w:hAnsi="Times New Roman"/>
          <w:color w:val="70AD47" w:themeColor="accent6"/>
          <w:sz w:val="24"/>
          <w:szCs w:val="24"/>
        </w:rPr>
        <w:t>hombres!-</w:t>
      </w:r>
      <w:proofErr w:type="gramEnd"/>
      <w:r w:rsidRPr="00E1778C">
        <w:rPr>
          <w:rFonts w:ascii="Times New Roman" w:hAnsi="Times New Roman"/>
          <w:color w:val="70AD47" w:themeColor="accent6"/>
          <w:sz w:val="24"/>
          <w:szCs w:val="24"/>
        </w:rPr>
        <w:t>, te he dotado de todas las aptitudes para el bien. A ti te corresponde desarrollarlas; así tu propia felicidad o desdicha dependen de ti mismo.” (2009; p. 35)</w:t>
      </w:r>
    </w:p>
    <w:p w14:paraId="10EC2AC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14:paraId="4F3257C8" w14:textId="77777777" w:rsidR="00882E01" w:rsidRPr="00E1778C" w:rsidRDefault="00882E01" w:rsidP="00882E01">
      <w:pPr>
        <w:spacing w:line="360" w:lineRule="auto"/>
        <w:rPr>
          <w:rFonts w:ascii="Times New Roman" w:hAnsi="Times New Roman"/>
          <w:color w:val="70AD47" w:themeColor="accent6"/>
          <w:sz w:val="24"/>
          <w:szCs w:val="24"/>
          <w:shd w:val="clear" w:color="auto" w:fill="FFFFFF"/>
        </w:rPr>
      </w:pPr>
      <w:r w:rsidRPr="00E1778C">
        <w:rPr>
          <w:rFonts w:ascii="Times New Roman" w:hAnsi="Times New Roman"/>
          <w:color w:val="70AD47" w:themeColor="accent6"/>
          <w:sz w:val="24"/>
          <w:szCs w:val="24"/>
        </w:rPr>
        <w:lastRenderedPageBreak/>
        <w:t>“Son dos las invenciones de los hombres que se pueden considerar las más difíciles: la del arte de gobernar y la del arte de educar; y sin embargo se sigue disputando aún respecto a la idea de ellas.” (2009; p. 36)</w:t>
      </w:r>
    </w:p>
    <w:p w14:paraId="595E69A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shd w:val="clear" w:color="auto" w:fill="FFFFFF"/>
        </w:rPr>
        <w:t>“L</w:t>
      </w:r>
      <w:r w:rsidRPr="00E1778C">
        <w:rPr>
          <w:rFonts w:ascii="Times New Roman" w:hAnsi="Times New Roman"/>
          <w:color w:val="70AD47" w:themeColor="accent6"/>
          <w:sz w:val="24"/>
          <w:szCs w:val="24"/>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14:paraId="1608D96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base de un plan de educación tiene que ser hecha desde un punto de vista cosmopolita. (2009; p. 38)</w:t>
      </w:r>
    </w:p>
    <w:p w14:paraId="6C89302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buena educación es justamente aquello de donde proviene todo el bien que hay en el mundo. Los gérmenes que se encuentran en el hombre tienen que ser desarrollados más y más.” (2009; p.38)</w:t>
      </w:r>
    </w:p>
    <w:p w14:paraId="66099C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“Los motivos para el mal no se hallan en las disposiciones naturales del hombre. La causa del mal es sólo lo siguiente: que la naturaleza no es sometida a reglas. En el hombre hay sólo gérmenes para el bien” (2009; p.38) </w:t>
      </w:r>
    </w:p>
    <w:p w14:paraId="19CEE4A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14:paraId="3126233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14:paraId="1F220B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w:t>
      </w:r>
      <w:r w:rsidRPr="00E1778C">
        <w:rPr>
          <w:rFonts w:ascii="Times New Roman" w:hAnsi="Times New Roman"/>
          <w:color w:val="70AD47" w:themeColor="accent6"/>
          <w:sz w:val="24"/>
          <w:szCs w:val="24"/>
        </w:rPr>
        <w:lastRenderedPageBreak/>
        <w:t>parte, la más importante; pues se educan los niños, en lo esencial, sólo de tal manera que se deja la moralización en manos del predicador” (2009; p. 42)</w:t>
      </w:r>
    </w:p>
    <w:p w14:paraId="782636F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14:paraId="6D16D8F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14:paraId="208EBA6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rPr>
          <w:rFonts w:ascii="Times New Roman" w:hAnsi="Times New Roman"/>
          <w:color w:val="70AD47" w:themeColor="accent6"/>
          <w:sz w:val="24"/>
          <w:szCs w:val="24"/>
        </w:rPr>
        <w:t>transplanta</w:t>
      </w:r>
      <w:proofErr w:type="spellEnd"/>
      <w:r w:rsidRPr="00E1778C">
        <w:rPr>
          <w:rFonts w:ascii="Times New Roman" w:hAnsi="Times New Roman"/>
          <w:color w:val="70AD47" w:themeColor="accent6"/>
          <w:sz w:val="24"/>
          <w:szCs w:val="24"/>
        </w:rPr>
        <w:t>.” (2009; p. 47)</w:t>
      </w:r>
    </w:p>
    <w:p w14:paraId="1E92A5B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“Al niño, desde su más temprana infancia, se le debe dar libertad en todo (excepto en las cosas en las que se daña a sí mismo, por </w:t>
      </w:r>
      <w:proofErr w:type="gramStart"/>
      <w:r w:rsidRPr="00E1778C">
        <w:rPr>
          <w:rFonts w:ascii="Times New Roman" w:hAnsi="Times New Roman"/>
          <w:color w:val="70AD47" w:themeColor="accent6"/>
          <w:sz w:val="24"/>
          <w:szCs w:val="24"/>
        </w:rPr>
        <w:t>ejemplo</w:t>
      </w:r>
      <w:proofErr w:type="gramEnd"/>
      <w:r w:rsidRPr="00E1778C">
        <w:rPr>
          <w:rFonts w:ascii="Times New Roman" w:hAnsi="Times New Roman"/>
          <w:color w:val="70AD47" w:themeColor="accent6"/>
          <w:sz w:val="24"/>
          <w:szCs w:val="24"/>
        </w:rPr>
        <w:t xml:space="preserve">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w:t>
      </w:r>
      <w:r w:rsidRPr="00E1778C">
        <w:rPr>
          <w:rFonts w:ascii="Times New Roman" w:hAnsi="Times New Roman"/>
          <w:color w:val="70AD47" w:themeColor="accent6"/>
          <w:sz w:val="24"/>
          <w:szCs w:val="24"/>
        </w:rPr>
        <w:lastRenderedPageBreak/>
        <w:t xml:space="preserve">en los niños la reflexión, por </w:t>
      </w:r>
      <w:proofErr w:type="gramStart"/>
      <w:r w:rsidRPr="00E1778C">
        <w:rPr>
          <w:rFonts w:ascii="Times New Roman" w:hAnsi="Times New Roman"/>
          <w:color w:val="70AD47" w:themeColor="accent6"/>
          <w:sz w:val="24"/>
          <w:szCs w:val="24"/>
        </w:rPr>
        <w:t>ejemplo</w:t>
      </w:r>
      <w:proofErr w:type="gramEnd"/>
      <w:r w:rsidRPr="00E1778C">
        <w:rPr>
          <w:rFonts w:ascii="Times New Roman" w:hAnsi="Times New Roman"/>
          <w:color w:val="70AD47" w:themeColor="accent6"/>
          <w:sz w:val="24"/>
          <w:szCs w:val="24"/>
        </w:rPr>
        <w:t xml:space="preserve"> de que uno después tiene que cuidar por sí mismo de su sostenimiento.” (2009; p. 48)</w:t>
      </w:r>
    </w:p>
    <w:p w14:paraId="7AEC2735" w14:textId="5962115E" w:rsidR="00882E01"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1778C">
        <w:rPr>
          <w:rFonts w:ascii="Times New Roman" w:hAnsi="Times New Roman"/>
          <w:color w:val="70AD47" w:themeColor="accent6"/>
          <w:sz w:val="24"/>
          <w:szCs w:val="24"/>
          <w:lang w:val="en-US"/>
        </w:rPr>
        <w:t>(2009; p. 49)</w:t>
      </w:r>
    </w:p>
    <w:p w14:paraId="22412AA0" w14:textId="390D100C" w:rsidR="00882E01" w:rsidRDefault="00882E01" w:rsidP="00882E01">
      <w:pPr>
        <w:spacing w:line="360" w:lineRule="auto"/>
        <w:rPr>
          <w:rFonts w:ascii="Times New Roman" w:hAnsi="Times New Roman"/>
          <w:color w:val="70AD47" w:themeColor="accent6"/>
          <w:sz w:val="24"/>
          <w:szCs w:val="24"/>
          <w:lang w:val="en-US"/>
        </w:rPr>
      </w:pPr>
    </w:p>
    <w:p w14:paraId="452D609E" w14:textId="78E07971" w:rsidR="00882E01" w:rsidRDefault="00882E01" w:rsidP="00882E01">
      <w:pPr>
        <w:spacing w:line="360" w:lineRule="auto"/>
        <w:rPr>
          <w:rFonts w:ascii="Times New Roman" w:hAnsi="Times New Roman"/>
          <w:color w:val="70AD47" w:themeColor="accent6"/>
          <w:sz w:val="24"/>
          <w:szCs w:val="24"/>
          <w:lang w:val="en-US"/>
        </w:rPr>
      </w:pPr>
    </w:p>
    <w:p w14:paraId="4E972846"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lang w:val="en-US"/>
        </w:rPr>
        <w:t xml:space="preserve">Kant, I (2007) </w:t>
      </w:r>
      <w:r w:rsidRPr="00E1778C">
        <w:rPr>
          <w:rFonts w:ascii="Times New Roman" w:hAnsi="Times New Roman"/>
          <w:i/>
          <w:color w:val="000000" w:themeColor="text1"/>
          <w:sz w:val="24"/>
          <w:szCs w:val="24"/>
          <w:lang w:val="en-US"/>
        </w:rPr>
        <w:t>Anthropology from a pragmatic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17F0E8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24FB0F"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569FE168" w14:textId="77777777" w:rsidR="00882E01" w:rsidRPr="00E1778C" w:rsidRDefault="00882E01" w:rsidP="00882E01">
      <w:pPr>
        <w:spacing w:line="360" w:lineRule="auto"/>
        <w:rPr>
          <w:rFonts w:ascii="Times New Roman" w:hAnsi="Times New Roman"/>
          <w:color w:val="70AD47" w:themeColor="accent6"/>
          <w:sz w:val="24"/>
          <w:szCs w:val="24"/>
          <w:lang w:val="en-US"/>
        </w:rPr>
      </w:pPr>
    </w:p>
    <w:p w14:paraId="071A02AC" w14:textId="53AF1694" w:rsidR="00312036" w:rsidRDefault="00312036" w:rsidP="00312036">
      <w:pPr>
        <w:spacing w:after="0" w:line="360" w:lineRule="auto"/>
        <w:ind w:left="1416" w:firstLine="0"/>
        <w:rPr>
          <w:rFonts w:ascii="Times New Roman" w:hAnsi="Times New Roman"/>
          <w:sz w:val="24"/>
          <w:szCs w:val="24"/>
          <w:lang w:val="es-PE"/>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5898B6BF"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.3</w:t>
      </w:r>
      <w:r>
        <w:rPr>
          <w:rFonts w:ascii="Times New Roman" w:hAnsi="Times New Roman"/>
          <w:sz w:val="24"/>
          <w:szCs w:val="24"/>
          <w:lang w:val="es-PE"/>
        </w:rPr>
        <w:t xml:space="preserve"> Elementos de una educación para lo cívico</w:t>
      </w:r>
    </w:p>
    <w:p w14:paraId="75A797E6" w14:textId="77777777" w:rsidR="00312036" w:rsidRDefault="00312036" w:rsidP="00312036">
      <w:pPr>
        <w:spacing w:after="0" w:line="360" w:lineRule="auto"/>
        <w:ind w:left="1416" w:firstLine="0"/>
        <w:rPr>
          <w:rFonts w:ascii="Times New Roman" w:hAnsi="Times New Roman"/>
          <w:sz w:val="24"/>
          <w:szCs w:val="24"/>
          <w:lang w:val="es-PE"/>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Antropología en sentido pragmático</w:t>
      </w:r>
    </w:p>
    <w:p w14:paraId="73C7CD5F" w14:textId="531EADB2" w:rsidR="00312036" w:rsidRDefault="00312036" w:rsidP="00312036">
      <w:pPr>
        <w:spacing w:after="0" w:line="360" w:lineRule="auto"/>
        <w:ind w:left="1416" w:firstLine="0"/>
        <w:rPr>
          <w:rFonts w:ascii="Times New Roman" w:hAnsi="Times New Roman"/>
          <w:sz w:val="24"/>
          <w:szCs w:val="24"/>
          <w:lang w:val="es-PE"/>
        </w:rPr>
      </w:pPr>
    </w:p>
    <w:p w14:paraId="5AFA6CFD"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w:t>
      </w:r>
      <w:r w:rsidRPr="00E1778C">
        <w:rPr>
          <w:rFonts w:ascii="Times New Roman" w:hAnsi="Times New Roman"/>
          <w:color w:val="70AD47" w:themeColor="accent6"/>
          <w:sz w:val="24"/>
          <w:szCs w:val="24"/>
        </w:rPr>
        <w:lastRenderedPageBreak/>
        <w:t xml:space="preserve">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w:t>
      </w:r>
      <w:r w:rsidRPr="00E1778C">
        <w:rPr>
          <w:rFonts w:ascii="Times New Roman" w:hAnsi="Times New Roman"/>
          <w:color w:val="70AD47" w:themeColor="accent6"/>
          <w:sz w:val="24"/>
          <w:szCs w:val="24"/>
        </w:rPr>
        <w:lastRenderedPageBreak/>
        <w:t xml:space="preserve">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lastRenderedPageBreak/>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05514E" w14:textId="77777777" w:rsidR="00312036" w:rsidRPr="00E1778C"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sidRPr="00E1778C">
        <w:rPr>
          <w:rFonts w:ascii="Times New Roman" w:hAnsi="Times New Roman"/>
          <w:color w:val="70AD47" w:themeColor="accent6"/>
          <w:sz w:val="24"/>
          <w:szCs w:val="24"/>
        </w:rPr>
        <w:t>“Desde cuando la educación es pública?”</w:t>
      </w:r>
      <w:r w:rsidRPr="00E1778C">
        <w:rPr>
          <w:rFonts w:ascii="Times New Roman" w:hAnsi="Times New Roman"/>
          <w:b/>
          <w:sz w:val="24"/>
          <w:szCs w:val="24"/>
        </w:rPr>
        <w:tab/>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Default="00312036" w:rsidP="004C4429">
      <w:pPr>
        <w:pStyle w:val="Prrafodelista"/>
        <w:spacing w:after="0" w:line="360" w:lineRule="auto"/>
        <w:ind w:firstLine="345"/>
        <w:rPr>
          <w:rFonts w:ascii="Times New Roman" w:hAnsi="Times New Roman"/>
          <w:sz w:val="24"/>
          <w:szCs w:val="24"/>
          <w:lang w:val="es-PE"/>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lastRenderedPageBreak/>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w:t>
      </w:r>
      <w:r w:rsidRPr="00E1778C">
        <w:rPr>
          <w:rFonts w:ascii="Times New Roman" w:hAnsi="Times New Roman"/>
          <w:color w:val="70AD47" w:themeColor="accent6"/>
          <w:sz w:val="24"/>
          <w:szCs w:val="24"/>
        </w:rPr>
        <w:lastRenderedPageBreak/>
        <w:t>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p>
    <w:p w14:paraId="7A2E49CD"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  pp.</w:t>
      </w:r>
      <w:proofErr w:type="gramEnd"/>
      <w:r w:rsidRPr="00E1778C">
        <w:rPr>
          <w:rFonts w:ascii="Times New Roman" w:hAnsi="Times New Roman"/>
          <w:color w:val="000000" w:themeColor="text1"/>
          <w:sz w:val="24"/>
          <w:szCs w:val="24"/>
        </w:rPr>
        <w:t xml:space="preserve">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45659C20" w:rsidR="00417078" w:rsidRPr="00312036" w:rsidRDefault="00417078" w:rsidP="00546B0C">
      <w:pPr>
        <w:ind w:left="720" w:hanging="720"/>
        <w:rPr>
          <w:rFonts w:ascii="Times New Roman" w:hAnsi="Times New Roman"/>
          <w:sz w:val="24"/>
          <w:szCs w:val="24"/>
          <w:lang w:val="es-PE"/>
        </w:rPr>
      </w:pPr>
      <w:r w:rsidRPr="00312036">
        <w:rPr>
          <w:rFonts w:ascii="Times New Roman" w:hAnsi="Times New Roman"/>
          <w:sz w:val="24"/>
          <w:szCs w:val="24"/>
          <w:lang w:val="es-PE"/>
        </w:rPr>
        <w:t xml:space="preserve">Williams, B. (1998) </w:t>
      </w:r>
      <w:r w:rsidRPr="00312036">
        <w:rPr>
          <w:rFonts w:ascii="Times New Roman" w:hAnsi="Times New Roman"/>
          <w:i/>
          <w:sz w:val="24"/>
          <w:szCs w:val="24"/>
          <w:lang w:val="es-PE"/>
        </w:rPr>
        <w:t>Introducción a la ética</w:t>
      </w:r>
      <w:r w:rsidRPr="00312036">
        <w:rPr>
          <w:rFonts w:ascii="Times New Roman" w:hAnsi="Times New Roman"/>
          <w:sz w:val="24"/>
          <w:szCs w:val="24"/>
          <w:lang w:val="es-PE"/>
        </w:rPr>
        <w:t>. Colección Teorema.</w:t>
      </w:r>
    </w:p>
    <w:p w14:paraId="662344F3" w14:textId="7AAA49AF" w:rsidR="00312036" w:rsidRDefault="00312036" w:rsidP="00546B0C">
      <w:pPr>
        <w:ind w:left="720" w:hanging="720"/>
        <w:rPr>
          <w:rFonts w:ascii="Times New Roman" w:hAnsi="Times New Roman"/>
          <w:sz w:val="24"/>
          <w:szCs w:val="24"/>
          <w:lang w:val="es-PE"/>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proofErr w:type="spellStart"/>
      <w:r>
        <w:rPr>
          <w:rFonts w:ascii="Times New Roman" w:hAnsi="Times New Roman"/>
          <w:sz w:val="24"/>
          <w:szCs w:val="24"/>
          <w:lang w:val="es-PE"/>
        </w:rPr>
        <w:t>Katz</w:t>
      </w:r>
      <w:proofErr w:type="spellEnd"/>
      <w:r>
        <w:rPr>
          <w:rFonts w:ascii="Times New Roman" w:hAnsi="Times New Roman"/>
          <w:sz w:val="24"/>
          <w:szCs w:val="24"/>
          <w:lang w:val="es-PE"/>
        </w:rPr>
        <w:t xml:space="preserve"> editores.</w:t>
      </w:r>
    </w:p>
    <w:p w14:paraId="4853773B"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71D9B722" w14:textId="77777777" w:rsidR="00882E01" w:rsidRPr="00312036" w:rsidRDefault="00882E01" w:rsidP="00546B0C">
      <w:pPr>
        <w:ind w:left="720" w:hanging="720"/>
        <w:rPr>
          <w:rFonts w:ascii="Times New Roman" w:hAnsi="Times New Roman"/>
          <w:sz w:val="24"/>
          <w:szCs w:val="24"/>
          <w:lang w:val="es-PE"/>
        </w:rPr>
      </w:pPr>
    </w:p>
    <w:sectPr w:rsidR="00882E01"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3494A" w14:textId="77777777" w:rsidR="009A1CF4" w:rsidRDefault="009A1CF4" w:rsidP="009D68C6">
      <w:pPr>
        <w:spacing w:after="0"/>
      </w:pPr>
      <w:r>
        <w:separator/>
      </w:r>
    </w:p>
  </w:endnote>
  <w:endnote w:type="continuationSeparator" w:id="0">
    <w:p w14:paraId="55009900" w14:textId="77777777" w:rsidR="009A1CF4" w:rsidRDefault="009A1CF4"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E0042A" w:rsidRPr="00142CCE" w:rsidRDefault="00E0042A"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1FE39" w14:textId="77777777" w:rsidR="009A1CF4" w:rsidRDefault="009A1CF4" w:rsidP="009D68C6">
      <w:pPr>
        <w:spacing w:after="0"/>
      </w:pPr>
      <w:r>
        <w:separator/>
      </w:r>
    </w:p>
  </w:footnote>
  <w:footnote w:type="continuationSeparator" w:id="0">
    <w:p w14:paraId="33AB24AA" w14:textId="77777777" w:rsidR="009A1CF4" w:rsidRDefault="009A1CF4" w:rsidP="009D68C6">
      <w:pPr>
        <w:spacing w:after="0"/>
      </w:pPr>
      <w:r>
        <w:continuationSeparator/>
      </w:r>
    </w:p>
  </w:footnote>
  <w:footnote w:id="1">
    <w:p w14:paraId="63E94597" w14:textId="4C0C26E9" w:rsidR="00E0042A" w:rsidRPr="00DD473A" w:rsidRDefault="00E0042A"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E0042A" w:rsidRPr="00061484" w:rsidRDefault="00E0042A" w:rsidP="00866EB2">
      <w:pPr>
        <w:rPr>
          <w:rFonts w:ascii="Times New Roman" w:hAnsi="Times New Roman"/>
          <w:color w:val="000000" w:themeColor="text1"/>
          <w:sz w:val="24"/>
          <w:szCs w:val="24"/>
        </w:rPr>
      </w:pPr>
    </w:p>
    <w:p w14:paraId="3D3A76C8" w14:textId="1B28B539" w:rsidR="00E0042A" w:rsidRPr="00866EB2" w:rsidRDefault="00E0042A">
      <w:pPr>
        <w:pStyle w:val="Textonotapie"/>
        <w:rPr>
          <w:lang w:val="es-PE"/>
        </w:rPr>
      </w:pPr>
    </w:p>
  </w:footnote>
  <w:footnote w:id="2">
    <w:p w14:paraId="750D415D" w14:textId="2BB0C319" w:rsidR="00E0042A" w:rsidRPr="00DA6CAF" w:rsidRDefault="00E0042A"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E0042A" w:rsidRPr="00DA6CAF" w:rsidRDefault="00E0042A"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E0042A" w:rsidRPr="00544932" w:rsidRDefault="00E0042A"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E0042A" w:rsidRPr="00544932" w:rsidRDefault="00E0042A"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E0042A" w:rsidRPr="00544932" w:rsidRDefault="00E0042A" w:rsidP="00544932">
      <w:pPr>
        <w:pStyle w:val="Textonotapie"/>
      </w:pPr>
    </w:p>
  </w:footnote>
  <w:footnote w:id="6">
    <w:p w14:paraId="17274124" w14:textId="183E8163" w:rsidR="00E0042A" w:rsidRPr="00251E7B" w:rsidRDefault="00E0042A"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E0042A" w:rsidRPr="00434F63" w:rsidRDefault="00E0042A"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E0042A" w:rsidRPr="0041523B" w:rsidRDefault="00E0042A"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E0042A" w:rsidRPr="00434F63" w:rsidRDefault="00E0042A"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E0042A" w:rsidRPr="005A5142" w:rsidRDefault="00E0042A"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E0042A" w:rsidRPr="005F48DE" w:rsidRDefault="00E0042A"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E0042A" w:rsidRPr="00251E7B" w:rsidRDefault="00E0042A"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E0042A" w:rsidRPr="00061484" w:rsidRDefault="00E0042A"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E0042A" w:rsidRPr="007970ED" w:rsidRDefault="00E0042A">
      <w:pPr>
        <w:pStyle w:val="Textonotapie"/>
        <w:rPr>
          <w:rFonts w:ascii="Times New Roman" w:hAnsi="Times New Roman"/>
          <w:lang w:val="es-PE"/>
        </w:rPr>
      </w:pPr>
    </w:p>
  </w:footnote>
  <w:footnote w:id="16">
    <w:p w14:paraId="5AF048B8" w14:textId="77777777" w:rsidR="00E0042A" w:rsidRPr="009875AF" w:rsidRDefault="00E0042A"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E0042A" w:rsidRPr="009875AF" w:rsidRDefault="00E0042A" w:rsidP="009875AF">
      <w:pPr>
        <w:pStyle w:val="Textonotapie"/>
      </w:pPr>
    </w:p>
  </w:footnote>
  <w:footnote w:id="17">
    <w:p w14:paraId="5503426D" w14:textId="1680C5DF" w:rsidR="00E0042A" w:rsidRPr="00F6388A" w:rsidRDefault="00E0042A"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E0042A" w:rsidRPr="006364A4" w:rsidRDefault="00E0042A"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E0042A" w:rsidRPr="00251E7B" w:rsidRDefault="00E0042A"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E0042A" w:rsidRPr="006F0018" w:rsidRDefault="00E0042A"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E0042A" w:rsidRPr="00251E7B" w:rsidRDefault="00E0042A"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E0042A" w:rsidRPr="003F5CE4" w:rsidRDefault="00E0042A"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E0042A" w:rsidRPr="00CC5E7E" w:rsidRDefault="00E0042A"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E0042A" w:rsidRPr="00263C17" w:rsidRDefault="00E0042A"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E0042A" w:rsidRPr="00444C94" w:rsidRDefault="00E0042A"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E0042A" w:rsidRPr="00444C94" w:rsidRDefault="00E0042A">
      <w:pPr>
        <w:pStyle w:val="Textonotapie"/>
      </w:pPr>
    </w:p>
  </w:footnote>
  <w:footnote w:id="28">
    <w:p w14:paraId="01572D42" w14:textId="0E70AE2F" w:rsidR="00E0042A" w:rsidRPr="00A71C75" w:rsidRDefault="00E0042A"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E0042A" w:rsidRPr="00C77EA4" w:rsidRDefault="00E0042A"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E0042A" w:rsidRPr="009E4EEC" w:rsidRDefault="00E0042A"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E0042A" w:rsidRPr="00263C17" w:rsidRDefault="00E0042A"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E0042A" w:rsidRPr="00263C17" w:rsidRDefault="00E0042A">
      <w:pPr>
        <w:pStyle w:val="Textonotapie"/>
      </w:pPr>
    </w:p>
  </w:footnote>
  <w:footnote w:id="32">
    <w:p w14:paraId="6795C370" w14:textId="7E7AE5B0" w:rsidR="00E0042A" w:rsidRPr="004B5F58" w:rsidRDefault="00E0042A"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E0042A" w:rsidRPr="004B5F58" w:rsidRDefault="00E0042A">
      <w:pPr>
        <w:pStyle w:val="Textonotapie"/>
        <w:rPr>
          <w:lang w:val="es-PE"/>
        </w:rPr>
      </w:pPr>
    </w:p>
  </w:footnote>
  <w:footnote w:id="33">
    <w:p w14:paraId="6A6386C9" w14:textId="1C97E8AB" w:rsidR="00E0042A" w:rsidRPr="006F03FD" w:rsidRDefault="00E0042A"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E0042A" w:rsidRPr="00E9124D" w:rsidRDefault="00E0042A"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E0042A" w:rsidRPr="00E9124D" w:rsidRDefault="00E0042A" w:rsidP="00E9124D">
      <w:pPr>
        <w:pStyle w:val="Textonotapie"/>
        <w:rPr>
          <w:rFonts w:ascii="Times New Roman" w:hAnsi="Times New Roman"/>
          <w:lang w:val="es-PE"/>
        </w:rPr>
      </w:pPr>
    </w:p>
  </w:footnote>
  <w:footnote w:id="35">
    <w:p w14:paraId="336CD1E6" w14:textId="14F5238B" w:rsidR="00E0042A" w:rsidRPr="00E9124D" w:rsidRDefault="00E0042A"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E0042A" w:rsidRPr="00544932" w:rsidRDefault="00E0042A"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E0042A" w:rsidRPr="00544932" w:rsidRDefault="00E0042A"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E0042A" w:rsidRPr="00251E7B" w:rsidRDefault="00E0042A"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E0042A" w:rsidRPr="004531F2" w:rsidRDefault="00E0042A"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E0042A" w:rsidRDefault="00E0042A"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E0042A" w:rsidRPr="00A258C1" w:rsidRDefault="00E0042A">
      <w:pPr>
        <w:pStyle w:val="Textonotapie"/>
        <w:rPr>
          <w:lang w:val="es-PE"/>
        </w:rPr>
      </w:pPr>
    </w:p>
  </w:footnote>
  <w:footnote w:id="41">
    <w:p w14:paraId="7DA71C6C" w14:textId="070D10B7" w:rsidR="00E0042A" w:rsidRPr="00A258C1" w:rsidRDefault="00E0042A"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E0042A" w:rsidRPr="00A258C1" w:rsidRDefault="00E0042A"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E0042A" w:rsidRPr="00460A4B" w:rsidRDefault="00E0042A"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E0042A" w:rsidRPr="00C82D40" w:rsidRDefault="00E0042A"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E0042A" w:rsidRPr="009510D4" w:rsidRDefault="00E0042A"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E0042A" w:rsidRPr="00544932" w:rsidRDefault="00E0042A" w:rsidP="00544932">
      <w:pPr>
        <w:pStyle w:val="Textonotapie"/>
      </w:pPr>
    </w:p>
  </w:footnote>
  <w:footnote w:id="46">
    <w:p w14:paraId="39032D4F" w14:textId="34ABE279"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E0042A" w:rsidRPr="009B2A6A" w:rsidRDefault="00E0042A"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E0042A" w:rsidRPr="009B2A6A" w:rsidRDefault="00E0042A">
      <w:pPr>
        <w:pStyle w:val="Textonotapie"/>
        <w:rPr>
          <w:lang w:val="es-PE"/>
        </w:rPr>
      </w:pPr>
    </w:p>
  </w:footnote>
  <w:footnote w:id="49">
    <w:p w14:paraId="3994BB30" w14:textId="0DC6D622" w:rsidR="00E0042A" w:rsidRPr="001444F3" w:rsidRDefault="00E0042A"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E0042A" w:rsidRPr="001444F3" w:rsidRDefault="00E0042A"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E0042A" w:rsidRPr="00C312E4" w:rsidRDefault="00E0042A"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E0042A" w:rsidRPr="00283F2A" w:rsidRDefault="00E0042A"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E0042A" w:rsidRPr="00C11956" w:rsidRDefault="00E0042A"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E0042A" w:rsidRPr="00C312E4" w:rsidRDefault="00E0042A"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E0042A" w:rsidRPr="00611B7E" w:rsidRDefault="00E0042A"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E0042A" w:rsidRPr="008E7FAA" w:rsidRDefault="00E0042A"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E0042A" w:rsidRPr="006256D7" w:rsidRDefault="00E0042A"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E0042A" w:rsidRPr="00B127F0" w:rsidRDefault="00E0042A"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E0042A" w:rsidRPr="00FE5934" w:rsidRDefault="00E0042A"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E0042A" w:rsidRPr="005A5142" w:rsidRDefault="00E0042A"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E0042A" w:rsidRPr="005A5142" w:rsidRDefault="00E0042A"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E0042A" w:rsidRPr="005A5142" w:rsidRDefault="00E0042A">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E0042A" w:rsidRPr="005A5142" w:rsidRDefault="00E0042A"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E0042A" w:rsidRPr="000A4443" w:rsidRDefault="00E0042A"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E0042A" w:rsidRPr="000A4443" w:rsidRDefault="00E0042A">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E0042A" w:rsidRPr="00444C94" w:rsidRDefault="00E0042A"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E0042A" w:rsidRPr="00220657" w:rsidRDefault="00E0042A"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E0042A" w:rsidRPr="00080FD5" w:rsidRDefault="00E0042A"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E0042A" w:rsidRPr="00080FD5" w:rsidRDefault="00E0042A"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E0042A" w:rsidRPr="00080FD5" w:rsidRDefault="00E0042A">
      <w:pPr>
        <w:pStyle w:val="Textonotapie"/>
      </w:pPr>
    </w:p>
  </w:footnote>
  <w:footnote w:id="73">
    <w:p w14:paraId="3578FD30" w14:textId="519D710E" w:rsidR="00E0042A" w:rsidRPr="00735155" w:rsidRDefault="00E0042A"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E0042A" w:rsidRPr="00D51164" w:rsidRDefault="00E0042A"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E0042A" w:rsidRPr="00D75D46" w:rsidRDefault="00E0042A"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E0042A" w:rsidRPr="00D75D46" w:rsidRDefault="00E0042A"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E0042A" w:rsidRPr="00D75D46" w:rsidRDefault="00E0042A"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E0042A" w:rsidRPr="00444C94" w:rsidRDefault="00E0042A"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E0042A" w:rsidRPr="00444C94" w:rsidRDefault="00E0042A"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E0042A" w:rsidRPr="003E06A1" w:rsidRDefault="00E0042A"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E0042A" w:rsidRPr="00444C94" w:rsidRDefault="00E0042A"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E0042A" w:rsidRPr="006611AB" w:rsidRDefault="00E0042A"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E0042A" w:rsidRPr="006611AB" w:rsidRDefault="00E0042A"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E0042A" w:rsidRPr="00735155" w:rsidRDefault="00E0042A"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E0042A" w:rsidRPr="00735155" w:rsidRDefault="00E0042A"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E0042A" w:rsidRPr="00735155" w:rsidRDefault="00E0042A"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E0042A" w:rsidRPr="00735155" w:rsidRDefault="00E0042A">
      <w:pPr>
        <w:pStyle w:val="Textonotapie"/>
      </w:pPr>
    </w:p>
  </w:footnote>
  <w:footnote w:id="89">
    <w:p w14:paraId="34274DA8" w14:textId="419AB344" w:rsidR="00E0042A" w:rsidRPr="00FE5934" w:rsidRDefault="00E0042A"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E0042A" w:rsidRPr="00FE5934" w:rsidRDefault="00E0042A"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E0042A" w:rsidRPr="00FE5934" w:rsidRDefault="00E0042A" w:rsidP="00FE5934">
      <w:pPr>
        <w:pStyle w:val="Textonotapie"/>
        <w:rPr>
          <w:lang w:val="es-PE"/>
        </w:rPr>
      </w:pPr>
    </w:p>
  </w:footnote>
  <w:footnote w:id="91">
    <w:p w14:paraId="17284393" w14:textId="5953BF22" w:rsidR="00E0042A" w:rsidRPr="00E85978" w:rsidRDefault="00E0042A"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E0042A" w:rsidRPr="00E85978" w:rsidRDefault="00E0042A"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0042A" w:rsidRPr="00E85978" w:rsidRDefault="00E0042A">
      <w:pPr>
        <w:pStyle w:val="Textonotapie"/>
        <w:rPr>
          <w:lang w:val="es-PE"/>
        </w:rPr>
      </w:pPr>
    </w:p>
  </w:footnote>
  <w:footnote w:id="93">
    <w:p w14:paraId="4B290B9A" w14:textId="39E4EE4D" w:rsidR="00E0042A" w:rsidRPr="00523E8C" w:rsidRDefault="00E0042A"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E0042A" w:rsidRPr="00523E8C" w:rsidRDefault="00E0042A"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E0042A" w:rsidRPr="00774EAC" w:rsidRDefault="00E0042A"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E0042A" w:rsidRPr="00774EAC" w:rsidRDefault="00E0042A">
      <w:pPr>
        <w:pStyle w:val="Textonotapie"/>
        <w:rPr>
          <w:lang w:val="es-PE"/>
        </w:rPr>
      </w:pPr>
    </w:p>
  </w:footnote>
  <w:footnote w:id="96">
    <w:p w14:paraId="417EE855" w14:textId="0F6E4495" w:rsidR="00E0042A" w:rsidRPr="00E64CE9" w:rsidRDefault="00E0042A"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E0042A" w:rsidRPr="00F12BC5" w:rsidRDefault="00E0042A"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E0042A" w:rsidRPr="00F12BC5" w:rsidRDefault="00E0042A"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E0042A" w:rsidRPr="00F12BC5" w:rsidRDefault="00E0042A">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2CCE"/>
    <w:rsid w:val="001444F3"/>
    <w:rsid w:val="00146F30"/>
    <w:rsid w:val="001542F5"/>
    <w:rsid w:val="0015708E"/>
    <w:rsid w:val="00162BC8"/>
    <w:rsid w:val="001702F4"/>
    <w:rsid w:val="00180E7A"/>
    <w:rsid w:val="00181DF7"/>
    <w:rsid w:val="001A4A4E"/>
    <w:rsid w:val="001A7F4B"/>
    <w:rsid w:val="001B160C"/>
    <w:rsid w:val="001C3C74"/>
    <w:rsid w:val="001C42CE"/>
    <w:rsid w:val="001C5C84"/>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71655"/>
    <w:rsid w:val="00274E31"/>
    <w:rsid w:val="00283F2A"/>
    <w:rsid w:val="002A0259"/>
    <w:rsid w:val="002C4DC0"/>
    <w:rsid w:val="002D16D8"/>
    <w:rsid w:val="002D6030"/>
    <w:rsid w:val="002E7504"/>
    <w:rsid w:val="00305637"/>
    <w:rsid w:val="00307ACF"/>
    <w:rsid w:val="00312036"/>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2550"/>
    <w:rsid w:val="0042630B"/>
    <w:rsid w:val="00431C6B"/>
    <w:rsid w:val="00434F63"/>
    <w:rsid w:val="0044264B"/>
    <w:rsid w:val="00444C94"/>
    <w:rsid w:val="00451C82"/>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13D1"/>
    <w:rsid w:val="00544932"/>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C68AD"/>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6EB2"/>
    <w:rsid w:val="00867B89"/>
    <w:rsid w:val="00871576"/>
    <w:rsid w:val="00882E01"/>
    <w:rsid w:val="0088383A"/>
    <w:rsid w:val="0088645D"/>
    <w:rsid w:val="008919A1"/>
    <w:rsid w:val="008A09C8"/>
    <w:rsid w:val="008A278F"/>
    <w:rsid w:val="008A6C79"/>
    <w:rsid w:val="008A6DD7"/>
    <w:rsid w:val="008B421F"/>
    <w:rsid w:val="008C3BAC"/>
    <w:rsid w:val="008E442E"/>
    <w:rsid w:val="008E7FAA"/>
    <w:rsid w:val="008F0E12"/>
    <w:rsid w:val="00900064"/>
    <w:rsid w:val="00904763"/>
    <w:rsid w:val="00906364"/>
    <w:rsid w:val="00912E61"/>
    <w:rsid w:val="009171AC"/>
    <w:rsid w:val="009221F8"/>
    <w:rsid w:val="00926BA9"/>
    <w:rsid w:val="0093428E"/>
    <w:rsid w:val="00947EC7"/>
    <w:rsid w:val="00950556"/>
    <w:rsid w:val="00955CB5"/>
    <w:rsid w:val="00956B83"/>
    <w:rsid w:val="00957FCA"/>
    <w:rsid w:val="0096191F"/>
    <w:rsid w:val="009666ED"/>
    <w:rsid w:val="009670F6"/>
    <w:rsid w:val="0097403E"/>
    <w:rsid w:val="00974FF6"/>
    <w:rsid w:val="00983D16"/>
    <w:rsid w:val="009875AF"/>
    <w:rsid w:val="0099443C"/>
    <w:rsid w:val="00994B56"/>
    <w:rsid w:val="00996E14"/>
    <w:rsid w:val="009A10E0"/>
    <w:rsid w:val="009A1CF4"/>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AF680E"/>
    <w:rsid w:val="00B01988"/>
    <w:rsid w:val="00B03708"/>
    <w:rsid w:val="00B07851"/>
    <w:rsid w:val="00B127F0"/>
    <w:rsid w:val="00B128B2"/>
    <w:rsid w:val="00B12968"/>
    <w:rsid w:val="00B24E72"/>
    <w:rsid w:val="00B25ABB"/>
    <w:rsid w:val="00B316DD"/>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C15F4"/>
    <w:rsid w:val="00BC3B18"/>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0B6"/>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6222B"/>
    <w:rsid w:val="00D71BB3"/>
    <w:rsid w:val="00D72840"/>
    <w:rsid w:val="00D75D46"/>
    <w:rsid w:val="00D84ED6"/>
    <w:rsid w:val="00D85533"/>
    <w:rsid w:val="00D924A5"/>
    <w:rsid w:val="00D97548"/>
    <w:rsid w:val="00DA0E0D"/>
    <w:rsid w:val="00DA152A"/>
    <w:rsid w:val="00DA561E"/>
    <w:rsid w:val="00DA6CAF"/>
    <w:rsid w:val="00DB0D87"/>
    <w:rsid w:val="00DB230D"/>
    <w:rsid w:val="00DB7945"/>
    <w:rsid w:val="00DC6F3B"/>
    <w:rsid w:val="00DD38B7"/>
    <w:rsid w:val="00DD46D2"/>
    <w:rsid w:val="00DD473A"/>
    <w:rsid w:val="00DD4DEA"/>
    <w:rsid w:val="00DE2556"/>
    <w:rsid w:val="00DE5366"/>
    <w:rsid w:val="00E0042A"/>
    <w:rsid w:val="00E06599"/>
    <w:rsid w:val="00E32A2A"/>
    <w:rsid w:val="00E36863"/>
    <w:rsid w:val="00E37078"/>
    <w:rsid w:val="00E6376B"/>
    <w:rsid w:val="00E64CE9"/>
    <w:rsid w:val="00E706B6"/>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48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4CF5-9568-4C3B-BE53-96A4D787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82</Pages>
  <Words>26325</Words>
  <Characters>144790</Characters>
  <Application>Microsoft Office Word</Application>
  <DocSecurity>0</DocSecurity>
  <Lines>1206</Lines>
  <Paragraphs>341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5</cp:revision>
  <dcterms:created xsi:type="dcterms:W3CDTF">2024-06-13T15:10:00Z</dcterms:created>
  <dcterms:modified xsi:type="dcterms:W3CDTF">2024-06-19T18:16:00Z</dcterms:modified>
</cp:coreProperties>
</file>