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25683FFD" w:rsidR="00081ABA" w:rsidRPr="00650C16" w:rsidRDefault="00650C16" w:rsidP="00650C16">
      <w:pPr>
        <w:spacing w:after="0" w:line="360" w:lineRule="auto"/>
        <w:ind w:left="705" w:firstLine="0"/>
        <w:rPr>
          <w:rFonts w:ascii="Times New Roman" w:hAnsi="Times New Roman"/>
          <w:sz w:val="24"/>
          <w:szCs w:val="24"/>
          <w:lang w:val="es-PE"/>
        </w:rPr>
      </w:pPr>
      <w:r>
        <w:rPr>
          <w:rFonts w:ascii="Times New Roman" w:hAnsi="Times New Roman"/>
          <w:sz w:val="24"/>
          <w:szCs w:val="24"/>
          <w:lang w:val="es-PE"/>
        </w:rPr>
        <w:t xml:space="preserve">1.1 </w:t>
      </w:r>
      <w:r w:rsidR="00081ABA" w:rsidRPr="00650C16">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Kant inicia su tratado con dos ideas que serán fundamentales; En primer lugar, la importancia y necesidad humana que representa el proceso de educación, en tanto: “El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Refdenotaalpi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 A diferencia de otros animales, quienes se valen del instinto, el caso humano tiene como característica peculiar el necesitar de otros</w:t>
      </w:r>
      <w:r w:rsidR="008D4589" w:rsidRPr="00762991">
        <w:rPr>
          <w:rStyle w:val="Refdenotaalpi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“Una generación educa a la otra.</w:t>
      </w:r>
      <w:r w:rsidR="00762991" w:rsidRPr="00762991">
        <w:rPr>
          <w:rFonts w:ascii="Times New Roman" w:hAnsi="Times New Roman"/>
          <w:sz w:val="24"/>
          <w:szCs w:val="24"/>
        </w:rPr>
        <w:t>” (2009; p. 28)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Refdenotaalpi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Refdenotaalpi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Refdenotaalpi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“El hombre sólo por la educación puede llegar a ser hombre. No es nada más que lo que la educación hace de él.” (2009; p.31) </w:t>
      </w:r>
      <w:r w:rsidRPr="0006274C">
        <w:rPr>
          <w:rStyle w:val="Refdenotaalpi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t>
      </w:r>
      <w:proofErr w:type="spellStart"/>
      <w:r w:rsidRPr="00D27470">
        <w:rPr>
          <w:rFonts w:ascii="Times New Roman" w:hAnsi="Times New Roman"/>
          <w:sz w:val="24"/>
          <w:szCs w:val="24"/>
        </w:rPr>
        <w:t>Walzer</w:t>
      </w:r>
      <w:proofErr w:type="spellEnd"/>
      <w:r w:rsidRPr="00D27470">
        <w:rPr>
          <w:rFonts w:ascii="Times New Roman" w:hAnsi="Times New Roman"/>
          <w:sz w:val="24"/>
          <w:szCs w:val="24"/>
        </w:rPr>
        <w:t xml:space="preserve">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Kant que: “El proyecto de una teoría de la educación es un magnífico ideal.” (2009; p. 33)</w:t>
      </w:r>
      <w:r w:rsidRPr="00D27470">
        <w:rPr>
          <w:rStyle w:val="Refdenotaalpi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Esta consideración hace que </w:t>
      </w:r>
      <w:proofErr w:type="spellStart"/>
      <w:r w:rsidR="00AF2483" w:rsidRPr="00707A21">
        <w:rPr>
          <w:rFonts w:ascii="Times New Roman" w:hAnsi="Times New Roman"/>
          <w:sz w:val="24"/>
          <w:szCs w:val="24"/>
        </w:rPr>
        <w:t>Clifford</w:t>
      </w:r>
      <w:proofErr w:type="spellEnd"/>
      <w:r w:rsidR="00AF2483" w:rsidRPr="00707A21">
        <w:rPr>
          <w:rFonts w:ascii="Times New Roman" w:hAnsi="Times New Roman"/>
          <w:sz w:val="24"/>
          <w:szCs w:val="24"/>
        </w:rPr>
        <w:t xml:space="preserve">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Refdenotaalpi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Refdenotaalpi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Refdenotaalpi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Refdenotaalpi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Refdenotaalpi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 xml:space="preserve">Acá se pueden encontrar diversos problemas, ya que, para empezar: “La educación es privada o pública” (2009; p. 45)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w:t>
      </w:r>
      <w:proofErr w:type="spellStart"/>
      <w:r w:rsidRPr="00862929">
        <w:rPr>
          <w:rFonts w:ascii="Times New Roman" w:hAnsi="Times New Roman"/>
          <w:sz w:val="24"/>
          <w:szCs w:val="24"/>
        </w:rPr>
        <w:t>Cassirer</w:t>
      </w:r>
      <w:proofErr w:type="spellEnd"/>
      <w:r w:rsidRPr="00862929">
        <w:rPr>
          <w:rFonts w:ascii="Times New Roman" w:hAnsi="Times New Roman"/>
          <w:sz w:val="24"/>
          <w:szCs w:val="24"/>
        </w:rPr>
        <w:t xml:space="preserve">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of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Refdenotaalpi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“De ahí que sea también difícil que participen de dichos institutos niños que no sean hijos de ricos.” (2009; p. 45)</w:t>
      </w:r>
      <w:r w:rsidRPr="00862929">
        <w:rPr>
          <w:rStyle w:val="Refdenotaalpi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“El objetivo de tales institutos públicos es el perfeccionamiento de la educación doméstica.” (2009; p. 46)</w:t>
      </w:r>
      <w:r w:rsidR="00AC087D" w:rsidRPr="00AC087D">
        <w:rPr>
          <w:rStyle w:val="Refdenotaalpi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Refdenotaalpi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Refdenotaalpi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 xml:space="preserve">identidad, cultura y futuro, y por esto: “Este tipo de educación da el mejor modelo del futuro ciudadano.” </w:t>
      </w:r>
      <w:r w:rsidRPr="000B3DFA">
        <w:rPr>
          <w:rFonts w:ascii="Times New Roman" w:hAnsi="Times New Roman"/>
          <w:sz w:val="24"/>
          <w:szCs w:val="24"/>
          <w:lang w:val="es-PE"/>
        </w:rPr>
        <w:t>(2009; p. 49)</w:t>
      </w:r>
      <w:r w:rsidRPr="000B3DFA">
        <w:rPr>
          <w:rStyle w:val="Refdenotaalpi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t>
      </w:r>
      <w:proofErr w:type="spellStart"/>
      <w:r w:rsidRPr="000B3DFA">
        <w:rPr>
          <w:rFonts w:ascii="Times New Roman" w:hAnsi="Times New Roman"/>
          <w:sz w:val="24"/>
          <w:szCs w:val="24"/>
          <w:lang w:val="es-PE"/>
        </w:rPr>
        <w:t>Walzer</w:t>
      </w:r>
      <w:proofErr w:type="spellEnd"/>
      <w:r w:rsidRPr="000B3DFA">
        <w:rPr>
          <w:rFonts w:ascii="Times New Roman" w:hAnsi="Times New Roman"/>
          <w:sz w:val="24"/>
          <w:szCs w:val="24"/>
          <w:lang w:val="es-PE"/>
        </w:rPr>
        <w:t>,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w:t>
      </w:r>
      <w:proofErr w:type="spellStart"/>
      <w:r>
        <w:rPr>
          <w:rFonts w:ascii="Times New Roman" w:hAnsi="Times New Roman"/>
          <w:sz w:val="24"/>
          <w:szCs w:val="24"/>
        </w:rPr>
        <w:t>Vogt</w:t>
      </w:r>
      <w:proofErr w:type="spellEnd"/>
      <w:r>
        <w:rPr>
          <w:rFonts w:ascii="Times New Roman" w:hAnsi="Times New Roman"/>
          <w:sz w:val="24"/>
          <w:szCs w:val="24"/>
        </w:rPr>
        <w:t xml:space="preserve">,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 xml:space="preserve">Theodor </w:t>
      </w:r>
      <w:proofErr w:type="spellStart"/>
      <w:r>
        <w:rPr>
          <w:rFonts w:ascii="Times New Roman" w:hAnsi="Times New Roman"/>
          <w:sz w:val="24"/>
          <w:szCs w:val="24"/>
        </w:rPr>
        <w:t>Vogt</w:t>
      </w:r>
      <w:proofErr w:type="spellEnd"/>
      <w:r>
        <w:rPr>
          <w:rFonts w:ascii="Times New Roman" w:hAnsi="Times New Roman"/>
          <w:sz w:val="24"/>
          <w:szCs w:val="24"/>
        </w:rPr>
        <w:t xml:space="preserve">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03524B7E" w:rsidR="00312036" w:rsidRPr="002554B3" w:rsidRDefault="00312036" w:rsidP="00312036">
      <w:pPr>
        <w:spacing w:after="0" w:line="360" w:lineRule="auto"/>
        <w:ind w:left="1416" w:firstLine="0"/>
        <w:rPr>
          <w:rFonts w:ascii="Times New Roman" w:hAnsi="Times New Roman"/>
          <w:color w:val="FF0000"/>
          <w:sz w:val="24"/>
          <w:szCs w:val="24"/>
          <w:lang w:val="es-PE"/>
        </w:rPr>
      </w:pPr>
      <w:r w:rsidRPr="002554B3">
        <w:rPr>
          <w:rFonts w:ascii="Times New Roman" w:hAnsi="Times New Roman"/>
          <w:color w:val="FF0000"/>
          <w:sz w:val="24"/>
          <w:szCs w:val="24"/>
          <w:lang w:val="es-PE"/>
        </w:rPr>
        <w:t>2.3 Elementos de una educación para lo cívico</w:t>
      </w:r>
    </w:p>
    <w:p w14:paraId="0726C1F8" w14:textId="74EC0C7A" w:rsidR="000F1CB6" w:rsidRPr="002554B3" w:rsidRDefault="000F1CB6" w:rsidP="00312036">
      <w:pPr>
        <w:spacing w:after="0" w:line="360" w:lineRule="auto"/>
        <w:ind w:left="1416" w:firstLine="0"/>
        <w:rPr>
          <w:rFonts w:ascii="Times New Roman" w:hAnsi="Times New Roman"/>
          <w:color w:val="FF0000"/>
          <w:sz w:val="24"/>
          <w:szCs w:val="24"/>
          <w:lang w:val="es-PE"/>
        </w:rPr>
      </w:pPr>
    </w:p>
    <w:p w14:paraId="0F40A333" w14:textId="3F95E19C" w:rsidR="000F1CB6" w:rsidRPr="002554B3" w:rsidRDefault="000F1CB6" w:rsidP="000F1CB6">
      <w:pPr>
        <w:spacing w:line="360" w:lineRule="auto"/>
        <w:rPr>
          <w:rFonts w:ascii="Times New Roman" w:hAnsi="Times New Roman"/>
          <w:color w:val="FF0000"/>
          <w:sz w:val="24"/>
          <w:szCs w:val="24"/>
        </w:rPr>
      </w:pPr>
      <w:r w:rsidRPr="002554B3">
        <w:rPr>
          <w:rFonts w:ascii="Times New Roman" w:hAnsi="Times New Roman"/>
          <w:color w:val="FF0000"/>
          <w:sz w:val="24"/>
          <w:szCs w:val="24"/>
        </w:rPr>
        <w:t xml:space="preserve">Este apartado busca recuperar algunas líneas anteriormente revisadas con el fin de extender una reflexión que les relacione con las ideas sobre pedagogía. </w:t>
      </w:r>
    </w:p>
    <w:p w14:paraId="521BCAD1" w14:textId="77777777" w:rsidR="000F1CB6" w:rsidRPr="000F1CB6" w:rsidRDefault="000F1CB6" w:rsidP="00312036">
      <w:pPr>
        <w:spacing w:after="0" w:line="360" w:lineRule="auto"/>
        <w:ind w:left="1416" w:firstLine="0"/>
        <w:rPr>
          <w:rFonts w:ascii="Times New Roman" w:hAnsi="Times New Roman"/>
          <w:sz w:val="24"/>
          <w:szCs w:val="24"/>
        </w:rPr>
      </w:pPr>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Pr="00650C16" w:rsidRDefault="00312036" w:rsidP="00312036">
      <w:pPr>
        <w:spacing w:after="0" w:line="360" w:lineRule="auto"/>
        <w:ind w:left="1416" w:firstLine="708"/>
        <w:rPr>
          <w:rFonts w:ascii="Times New Roman" w:hAnsi="Times New Roman"/>
          <w:sz w:val="24"/>
          <w:szCs w:val="24"/>
          <w:lang w:val="en-US"/>
        </w:rPr>
      </w:pPr>
      <w:proofErr w:type="spellStart"/>
      <w:r w:rsidRPr="00650C16">
        <w:rPr>
          <w:rFonts w:ascii="Times New Roman" w:hAnsi="Times New Roman"/>
          <w:sz w:val="24"/>
          <w:szCs w:val="24"/>
          <w:lang w:val="en-US"/>
        </w:rPr>
        <w:t>Antropología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en</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sentido</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pragmático</w:t>
      </w:r>
      <w:proofErr w:type="spellEnd"/>
    </w:p>
    <w:p w14:paraId="73C7CD5F" w14:textId="531EADB2" w:rsidR="00312036" w:rsidRPr="00650C16" w:rsidRDefault="00312036" w:rsidP="00312036">
      <w:pPr>
        <w:spacing w:after="0" w:line="360" w:lineRule="auto"/>
        <w:ind w:left="1416" w:firstLine="0"/>
        <w:rPr>
          <w:rFonts w:ascii="Times New Roman" w:hAnsi="Times New Roman"/>
          <w:sz w:val="24"/>
          <w:szCs w:val="24"/>
          <w:lang w:val="en-US"/>
        </w:rPr>
      </w:pPr>
    </w:p>
    <w:p w14:paraId="5AFA6CFD" w14:textId="5F28BC52" w:rsidR="00312036" w:rsidRPr="00650C16" w:rsidRDefault="00312036" w:rsidP="00312036">
      <w:pPr>
        <w:spacing w:after="0" w:line="360" w:lineRule="auto"/>
        <w:ind w:left="1416" w:firstLine="0"/>
        <w:rPr>
          <w:rFonts w:ascii="Times New Roman" w:hAnsi="Times New Roman"/>
          <w:sz w:val="24"/>
          <w:szCs w:val="24"/>
          <w:lang w:val="en-US"/>
        </w:rPr>
      </w:pPr>
    </w:p>
    <w:p w14:paraId="3F5C8156" w14:textId="77777777" w:rsidR="005A780B" w:rsidRPr="00E1778C" w:rsidRDefault="005A780B" w:rsidP="005A780B">
      <w:pPr>
        <w:spacing w:line="360" w:lineRule="auto"/>
        <w:ind w:left="720" w:hanging="720"/>
        <w:rPr>
          <w:rFonts w:ascii="Times New Roman" w:hAnsi="Times New Roman"/>
          <w:color w:val="000000" w:themeColor="text1"/>
          <w:sz w:val="24"/>
          <w:szCs w:val="24"/>
        </w:rPr>
      </w:pPr>
      <w:r w:rsidRPr="00650C16">
        <w:rPr>
          <w:rFonts w:ascii="Times New Roman" w:hAnsi="Times New Roman"/>
          <w:color w:val="000000" w:themeColor="text1"/>
          <w:sz w:val="24"/>
          <w:szCs w:val="24"/>
          <w:lang w:val="en-US"/>
        </w:rPr>
        <w:t xml:space="preserve">Kant, I (2007) </w:t>
      </w:r>
      <w:r w:rsidRPr="00650C16">
        <w:rPr>
          <w:rFonts w:ascii="Times New Roman" w:hAnsi="Times New Roman"/>
          <w:i/>
          <w:color w:val="000000" w:themeColor="text1"/>
          <w:sz w:val="24"/>
          <w:szCs w:val="24"/>
          <w:lang w:val="en-US"/>
        </w:rPr>
        <w:t>Anthropology from a pragmati</w:t>
      </w:r>
      <w:r w:rsidRPr="00E1778C">
        <w:rPr>
          <w:rFonts w:ascii="Times New Roman" w:hAnsi="Times New Roman"/>
          <w:i/>
          <w:color w:val="000000" w:themeColor="text1"/>
          <w:sz w:val="24"/>
          <w:szCs w:val="24"/>
          <w:lang w:val="en-US"/>
        </w:rPr>
        <w:t>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ADAA2FF" w14:textId="77777777" w:rsidR="005A780B" w:rsidRPr="00E1778C" w:rsidRDefault="005A780B" w:rsidP="005A780B">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ABF9EA" w14:textId="77777777" w:rsidR="005A780B" w:rsidRPr="00E1778C" w:rsidRDefault="005A780B" w:rsidP="005A780B">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38CD8462" w14:textId="77777777" w:rsidR="005A780B" w:rsidRPr="00D44DD4" w:rsidRDefault="005A780B"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w:t>
      </w:r>
      <w:r w:rsidRPr="00E1778C">
        <w:rPr>
          <w:rFonts w:ascii="Times New Roman" w:hAnsi="Times New Roman"/>
          <w:color w:val="70AD47" w:themeColor="accent6"/>
          <w:sz w:val="24"/>
          <w:szCs w:val="24"/>
        </w:rPr>
        <w:lastRenderedPageBreak/>
        <w:t>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w:t>
      </w:r>
      <w:r w:rsidRPr="00E1778C">
        <w:rPr>
          <w:rFonts w:ascii="Times New Roman" w:hAnsi="Times New Roman"/>
          <w:color w:val="70AD47" w:themeColor="accent6"/>
          <w:sz w:val="24"/>
          <w:szCs w:val="24"/>
        </w:rPr>
        <w:lastRenderedPageBreak/>
        <w:t xml:space="preserve">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w:t>
      </w:r>
      <w:r w:rsidRPr="00E1778C">
        <w:rPr>
          <w:rFonts w:ascii="Times New Roman" w:hAnsi="Times New Roman"/>
          <w:color w:val="70AD47" w:themeColor="accent6"/>
          <w:sz w:val="24"/>
          <w:szCs w:val="24"/>
        </w:rPr>
        <w:lastRenderedPageBreak/>
        <w:t xml:space="preserve">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7184FD" w14:textId="77777777" w:rsidR="006762A3"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cuando la educación es pública?”</w:t>
      </w:r>
    </w:p>
    <w:p w14:paraId="0F430E58" w14:textId="77777777" w:rsidR="006762A3"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p>
    <w:p w14:paraId="4B05514E" w14:textId="6E4B6F01" w:rsidR="00312036" w:rsidRPr="00E1778C"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Pr>
          <w:rFonts w:ascii="Times New Roman" w:hAnsi="Times New Roman"/>
          <w:color w:val="70AD47" w:themeColor="accent6"/>
          <w:sz w:val="24"/>
          <w:szCs w:val="24"/>
        </w:rPr>
        <w:t xml:space="preserve">En año 2024 se publicó el resultado de la prueba PISA 2022, en donde el Perú obtuvo el promedio más bajo de todo Sudamérica. Esta prueba, en particular medía el pensamiento creativo y crítico. </w:t>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w:t>
      </w:r>
      <w:r w:rsidRPr="00E1778C">
        <w:rPr>
          <w:rFonts w:ascii="Times New Roman" w:hAnsi="Times New Roman"/>
          <w:color w:val="70AD47" w:themeColor="accent6"/>
          <w:sz w:val="24"/>
          <w:szCs w:val="24"/>
        </w:rPr>
        <w:lastRenderedPageBreak/>
        <w:t>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Pr="00ED5104" w:rsidRDefault="00312036" w:rsidP="004C4429">
      <w:pPr>
        <w:pStyle w:val="Prrafodelista"/>
        <w:spacing w:after="0" w:line="360" w:lineRule="auto"/>
        <w:ind w:firstLine="345"/>
        <w:rPr>
          <w:rFonts w:ascii="Times New Roman" w:hAnsi="Times New Roman"/>
          <w:sz w:val="24"/>
          <w:szCs w:val="24"/>
          <w:lang w:val="en-US"/>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educación de los niños dependía antes de la riqueza, ambición y cultivo de sus padres. Esto nos parece una dependencia equivocada a nosotros, primero, porque la comunidad como </w:t>
      </w:r>
      <w:r w:rsidRPr="00E1778C">
        <w:rPr>
          <w:rFonts w:ascii="Times New Roman" w:hAnsi="Times New Roman"/>
          <w:color w:val="70AD47" w:themeColor="accent6"/>
          <w:sz w:val="24"/>
          <w:szCs w:val="24"/>
        </w:rPr>
        <w:lastRenderedPageBreak/>
        <w:t>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“Si la educación se transforma en pura capacitación, lo que entonces se patentiza es el influjo que la visión instrumental está ejerciendo sobre nosotros y nuestras expectativas, y, </w:t>
      </w:r>
      <w:r w:rsidRPr="00E1778C">
        <w:rPr>
          <w:rFonts w:ascii="Times New Roman" w:hAnsi="Times New Roman"/>
          <w:color w:val="70AD47" w:themeColor="accent6"/>
          <w:sz w:val="24"/>
          <w:szCs w:val="24"/>
        </w:rPr>
        <w:lastRenderedPageBreak/>
        <w:t>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w:t>
      </w:r>
      <w:r w:rsidRPr="00E1778C">
        <w:rPr>
          <w:rFonts w:ascii="Times New Roman" w:hAnsi="Times New Roman"/>
          <w:color w:val="70AD47" w:themeColor="accent6"/>
          <w:sz w:val="24"/>
          <w:szCs w:val="24"/>
        </w:rPr>
        <w:lastRenderedPageBreak/>
        <w:t xml:space="preserve">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p>
    <w:p w14:paraId="7A2E49CD" w14:textId="3359901B"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w:t>
      </w:r>
      <w:proofErr w:type="gramEnd"/>
      <w:r w:rsidRPr="00E1778C">
        <w:rPr>
          <w:rFonts w:ascii="Times New Roman" w:hAnsi="Times New Roman"/>
          <w:color w:val="000000" w:themeColor="text1"/>
          <w:sz w:val="24"/>
          <w:szCs w:val="24"/>
        </w:rPr>
        <w:t>, pp.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bookmarkStart w:id="0" w:name="_GoBack"/>
      <w:bookmarkEnd w:id="0"/>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Pr="00650C16"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w:t>
      </w:r>
      <w:proofErr w:type="spellStart"/>
      <w:r w:rsidRPr="00650C16">
        <w:rPr>
          <w:rFonts w:ascii="Times New Roman" w:hAnsi="Times New Roman"/>
          <w:sz w:val="24"/>
          <w:szCs w:val="24"/>
          <w:lang w:val="en-US"/>
        </w:rPr>
        <w:t>Fondo</w:t>
      </w:r>
      <w:proofErr w:type="spellEnd"/>
      <w:r w:rsidRPr="00650C16">
        <w:rPr>
          <w:rFonts w:ascii="Times New Roman" w:hAnsi="Times New Roman"/>
          <w:sz w:val="24"/>
          <w:szCs w:val="24"/>
          <w:lang w:val="en-US"/>
        </w:rPr>
        <w:t xml:space="preserve"> de </w:t>
      </w:r>
      <w:proofErr w:type="spellStart"/>
      <w:r w:rsidRPr="00650C16">
        <w:rPr>
          <w:rFonts w:ascii="Times New Roman" w:hAnsi="Times New Roman"/>
          <w:sz w:val="24"/>
          <w:szCs w:val="24"/>
          <w:lang w:val="en-US"/>
        </w:rPr>
        <w:t>Cultura</w:t>
      </w:r>
      <w:proofErr w:type="spellEnd"/>
      <w:r w:rsidRPr="00650C16">
        <w:rPr>
          <w:rFonts w:ascii="Times New Roman" w:hAnsi="Times New Roman"/>
          <w:sz w:val="24"/>
          <w:szCs w:val="24"/>
          <w:lang w:val="en-US"/>
        </w:rPr>
        <w:t xml:space="preserve"> </w:t>
      </w:r>
      <w:proofErr w:type="spellStart"/>
      <w:r w:rsidRPr="00650C16">
        <w:rPr>
          <w:rFonts w:ascii="Times New Roman" w:hAnsi="Times New Roman"/>
          <w:sz w:val="24"/>
          <w:szCs w:val="24"/>
          <w:lang w:val="en-US"/>
        </w:rPr>
        <w:t>Económica</w:t>
      </w:r>
      <w:proofErr w:type="spellEnd"/>
      <w:r w:rsidRPr="00650C16">
        <w:rPr>
          <w:rFonts w:ascii="Times New Roman" w:hAnsi="Times New Roman"/>
          <w:sz w:val="24"/>
          <w:szCs w:val="24"/>
          <w:lang w:val="en-US"/>
        </w:rPr>
        <w:t xml:space="preserve">. </w:t>
      </w:r>
    </w:p>
    <w:p w14:paraId="17F7C713" w14:textId="17A6FD6B" w:rsidR="002B1489" w:rsidRPr="00650C16" w:rsidRDefault="002B1489" w:rsidP="002B1489">
      <w:pPr>
        <w:ind w:left="720" w:hanging="720"/>
        <w:rPr>
          <w:rFonts w:ascii="Times New Roman" w:hAnsi="Times New Roman"/>
          <w:sz w:val="24"/>
          <w:szCs w:val="24"/>
          <w:lang w:val="es-PE"/>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sidRPr="00650C16">
        <w:rPr>
          <w:rFonts w:ascii="Times New Roman" w:hAnsi="Times New Roman"/>
          <w:sz w:val="24"/>
          <w:szCs w:val="24"/>
          <w:lang w:val="es-PE"/>
        </w:rPr>
        <w:t xml:space="preserve">Yale </w:t>
      </w:r>
      <w:proofErr w:type="spellStart"/>
      <w:r w:rsidRPr="00650C16">
        <w:rPr>
          <w:rFonts w:ascii="Times New Roman" w:hAnsi="Times New Roman"/>
          <w:sz w:val="24"/>
          <w:szCs w:val="24"/>
          <w:lang w:val="es-PE"/>
        </w:rPr>
        <w:t>University</w:t>
      </w:r>
      <w:proofErr w:type="spellEnd"/>
      <w:r w:rsidRPr="00650C16">
        <w:rPr>
          <w:rFonts w:ascii="Times New Roman" w:hAnsi="Times New Roman"/>
          <w:sz w:val="24"/>
          <w:szCs w:val="24"/>
          <w:lang w:val="es-PE"/>
        </w:rPr>
        <w:t xml:space="preserve"> </w:t>
      </w:r>
      <w:proofErr w:type="spellStart"/>
      <w:r w:rsidRPr="00650C16">
        <w:rPr>
          <w:rFonts w:ascii="Times New Roman" w:hAnsi="Times New Roman"/>
          <w:sz w:val="24"/>
          <w:szCs w:val="24"/>
          <w:lang w:val="es-PE"/>
        </w:rPr>
        <w:t>Press</w:t>
      </w:r>
      <w:proofErr w:type="spellEnd"/>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proofErr w:type="spellStart"/>
      <w:r w:rsidRPr="00690700">
        <w:rPr>
          <w:rFonts w:ascii="Times New Roman" w:hAnsi="Times New Roman"/>
          <w:sz w:val="24"/>
          <w:szCs w:val="24"/>
          <w:lang w:val="es-PE"/>
        </w:rPr>
        <w:t>Katz</w:t>
      </w:r>
      <w:proofErr w:type="spellEnd"/>
      <w:r w:rsidRPr="00690700">
        <w:rPr>
          <w:rFonts w:ascii="Times New Roman" w:hAnsi="Times New Roman"/>
          <w:sz w:val="24"/>
          <w:szCs w:val="24"/>
          <w:lang w:val="es-PE"/>
        </w:rPr>
        <w:t xml:space="preserve"> Editores).</w:t>
      </w:r>
    </w:p>
    <w:p w14:paraId="47DB32F0" w14:textId="77777777" w:rsidR="005A4657" w:rsidRPr="00690700" w:rsidRDefault="005A4657" w:rsidP="00546B0C">
      <w:pPr>
        <w:ind w:left="720" w:hanging="720"/>
        <w:rPr>
          <w:rFonts w:ascii="Times New Roman" w:hAnsi="Times New Roman"/>
          <w:sz w:val="24"/>
          <w:szCs w:val="24"/>
          <w:lang w:val="en-US"/>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94F24" w14:textId="77777777" w:rsidR="00F80692" w:rsidRDefault="00F80692" w:rsidP="009D68C6">
      <w:pPr>
        <w:spacing w:after="0"/>
      </w:pPr>
      <w:r>
        <w:separator/>
      </w:r>
    </w:p>
  </w:endnote>
  <w:endnote w:type="continuationSeparator" w:id="0">
    <w:p w14:paraId="460089AF" w14:textId="77777777" w:rsidR="00F80692" w:rsidRDefault="00F80692"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690700" w:rsidRPr="00142CCE" w:rsidRDefault="00690700"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B0096" w14:textId="77777777" w:rsidR="00F80692" w:rsidRDefault="00F80692" w:rsidP="009D68C6">
      <w:pPr>
        <w:spacing w:after="0"/>
      </w:pPr>
      <w:r>
        <w:separator/>
      </w:r>
    </w:p>
  </w:footnote>
  <w:footnote w:type="continuationSeparator" w:id="0">
    <w:p w14:paraId="74C3D047" w14:textId="77777777" w:rsidR="00F80692" w:rsidRDefault="00F80692"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Textonotapie"/>
        <w:rPr>
          <w:lang w:val="es-PE"/>
        </w:rPr>
      </w:pPr>
    </w:p>
  </w:footnote>
  <w:footnote w:id="2">
    <w:p w14:paraId="750D415D" w14:textId="2BB0C319" w:rsidR="00690700" w:rsidRPr="00DA6CAF" w:rsidRDefault="00690700"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Textonotapie"/>
      </w:pPr>
    </w:p>
  </w:footnote>
  <w:footnote w:id="6">
    <w:p w14:paraId="17274124" w14:textId="183E8163" w:rsidR="00690700" w:rsidRPr="00251E7B" w:rsidRDefault="00690700"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Textonotapie"/>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Textonotapie"/>
      </w:pPr>
    </w:p>
  </w:footnote>
  <w:footnote w:id="17">
    <w:p w14:paraId="5503426D" w14:textId="1680C5DF" w:rsidR="00690700" w:rsidRPr="00F6388A" w:rsidRDefault="00690700"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Textonotapie"/>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Textonotapie"/>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Textonotapie"/>
        <w:rPr>
          <w:lang w:val="es-PE"/>
        </w:rPr>
      </w:pPr>
    </w:p>
  </w:footnote>
  <w:footnote w:id="33">
    <w:p w14:paraId="6A6386C9" w14:textId="1C97E8AB" w:rsidR="00690700" w:rsidRPr="006F03FD" w:rsidRDefault="00690700"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690700" w:rsidRPr="00E9124D" w:rsidRDefault="00690700"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Textonotapie"/>
        <w:rPr>
          <w:rFonts w:ascii="Times New Roman" w:hAnsi="Times New Roman"/>
          <w:lang w:val="es-PE"/>
        </w:rPr>
      </w:pPr>
    </w:p>
  </w:footnote>
  <w:footnote w:id="35">
    <w:p w14:paraId="336CD1E6" w14:textId="14F5238B" w:rsidR="00690700" w:rsidRPr="00E9124D" w:rsidRDefault="00690700"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Textonotapie"/>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Textonotapie"/>
      </w:pPr>
    </w:p>
  </w:footnote>
  <w:footnote w:id="46">
    <w:p w14:paraId="39032D4F" w14:textId="34ABE279"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Textonotapie"/>
        <w:rPr>
          <w:lang w:val="es-PE"/>
        </w:rPr>
      </w:pPr>
    </w:p>
  </w:footnote>
  <w:footnote w:id="49">
    <w:p w14:paraId="3994BB30" w14:textId="0DC6D622" w:rsidR="00690700" w:rsidRPr="001444F3" w:rsidRDefault="00690700"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690700" w:rsidRPr="00C11956" w:rsidRDefault="00690700"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Textonotapie"/>
      </w:pPr>
    </w:p>
  </w:footnote>
  <w:footnote w:id="73">
    <w:p w14:paraId="3578FD30" w14:textId="519D710E" w:rsidR="00690700" w:rsidRPr="00735155" w:rsidRDefault="00690700"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Textonotapie"/>
      </w:pPr>
    </w:p>
  </w:footnote>
  <w:footnote w:id="89">
    <w:p w14:paraId="34274DA8" w14:textId="419AB344" w:rsidR="00690700" w:rsidRPr="00FE5934" w:rsidRDefault="00690700"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Textonotapie"/>
        <w:rPr>
          <w:lang w:val="es-PE"/>
        </w:rPr>
      </w:pPr>
    </w:p>
  </w:footnote>
  <w:footnote w:id="91">
    <w:p w14:paraId="17284393" w14:textId="5953BF22" w:rsidR="00690700" w:rsidRPr="00E85978" w:rsidRDefault="00690700"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Textonotapie"/>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Textonotapie"/>
        <w:rPr>
          <w:lang w:val="es-PE"/>
        </w:rPr>
      </w:pPr>
    </w:p>
  </w:footnote>
  <w:footnote w:id="96">
    <w:p w14:paraId="417EE855" w14:textId="0F6E4495" w:rsidR="00690700" w:rsidRPr="00E64CE9" w:rsidRDefault="00690700"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Textonotapie"/>
        <w:rPr>
          <w:lang w:val="es-PE"/>
        </w:rPr>
      </w:pPr>
    </w:p>
  </w:footnote>
  <w:footnote w:id="99">
    <w:p w14:paraId="6DC6E940" w14:textId="1F0965CA" w:rsidR="00690700" w:rsidRPr="00C2243C" w:rsidRDefault="00690700"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Textonotapie"/>
        <w:rPr>
          <w:lang w:val="es-PE"/>
        </w:rPr>
      </w:pPr>
    </w:p>
  </w:footnote>
  <w:footnote w:id="101">
    <w:p w14:paraId="2E9AA4AB" w14:textId="7FDF0600" w:rsidR="00690700" w:rsidRPr="00AE503C" w:rsidRDefault="00690700"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690700" w:rsidRPr="00ED5104" w:rsidRDefault="00690700"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690700" w:rsidRPr="00967B00" w:rsidRDefault="006907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Refdenotaalpi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Refdenotaalpi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Refdenotaalpi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Refdenotaalpi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Refdenotaalpi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Refdenotaalpi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Refdenotaalpi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Refdenotaalpie"/>
        </w:rPr>
        <w:footnoteRef/>
      </w:r>
      <w:r>
        <w:t xml:space="preserve"> </w:t>
      </w:r>
      <w:r>
        <w:rPr>
          <w:lang w:val="es-PE"/>
        </w:rPr>
        <w:t xml:space="preserve">El pasaje completo de Kant dice lo siguiente: </w:t>
      </w:r>
      <w:r w:rsidRPr="00E1778C">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Refdenotaalpi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Refdenotaalpi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Refdenotaalpi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Refdenotaalpi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Refdenotaalpi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Refdenotaalpi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Refdenotaalpie"/>
        </w:rPr>
        <w:footnoteRef/>
      </w:r>
      <w:r>
        <w:t xml:space="preserve"> Kant señala, en la cita completa, lo siguiente: “</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Refdenotaalpi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Refdenotaalpi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Refdenotaalpi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4B3"/>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591"/>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012A"/>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16"/>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0692"/>
    <w:rsid w:val="00F8241A"/>
    <w:rsid w:val="00F83C3E"/>
    <w:rsid w:val="00F866BC"/>
    <w:rsid w:val="00F92BC9"/>
    <w:rsid w:val="00F959B6"/>
    <w:rsid w:val="00F95A84"/>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61B5-6F31-495C-91FE-2A7D3E8B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87</Pages>
  <Words>26296</Words>
  <Characters>144628</Characters>
  <Application>Microsoft Office Word</Application>
  <DocSecurity>0</DocSecurity>
  <Lines>1205</Lines>
  <Paragraphs>341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32</cp:revision>
  <dcterms:created xsi:type="dcterms:W3CDTF">2024-06-26T03:08:00Z</dcterms:created>
  <dcterms:modified xsi:type="dcterms:W3CDTF">2024-07-10T22:37:00Z</dcterms:modified>
</cp:coreProperties>
</file>