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42B21" w:rsidRPr="006E7C46" w:rsidRDefault="006E7C46">
      <w:pPr>
        <w:spacing w:before="240" w:after="24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“Año del Fortalecimiento de la Soberanía Nacional”</w:t>
      </w:r>
    </w:p>
    <w:p w14:paraId="00000002" w14:textId="77777777" w:rsidR="00A42B21" w:rsidRPr="006E7C46" w:rsidRDefault="006E7C46">
      <w:pPr>
        <w:spacing w:before="240" w:after="24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UNIVERSIDAD ANTONIO RUIZ DE MONTOYA</w:t>
      </w:r>
    </w:p>
    <w:p w14:paraId="00000003" w14:textId="77777777" w:rsidR="00A42B21" w:rsidRPr="006E7C46" w:rsidRDefault="006E7C46">
      <w:pPr>
        <w:shd w:val="clear" w:color="auto" w:fill="FFFFFF"/>
        <w:spacing w:before="240" w:after="240"/>
        <w:ind w:left="72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 xml:space="preserve"> </w:t>
      </w:r>
    </w:p>
    <w:p w14:paraId="00000004" w14:textId="77777777" w:rsidR="00A42B21" w:rsidRPr="006E7C46" w:rsidRDefault="006E7C46">
      <w:pPr>
        <w:shd w:val="clear" w:color="auto" w:fill="FFFFFF"/>
        <w:spacing w:before="240" w:after="240"/>
        <w:ind w:left="72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 xml:space="preserve">  </w:t>
      </w:r>
    </w:p>
    <w:p w14:paraId="00000005" w14:textId="77777777" w:rsidR="00A42B21" w:rsidRPr="006E7C46" w:rsidRDefault="006E7C46">
      <w:pPr>
        <w:shd w:val="clear" w:color="auto" w:fill="FFFFFF"/>
        <w:spacing w:before="240" w:after="24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Curso:</w:t>
      </w:r>
    </w:p>
    <w:p w14:paraId="00000006" w14:textId="77777777" w:rsidR="00A42B21" w:rsidRPr="006E7C46" w:rsidRDefault="006E7C46">
      <w:pPr>
        <w:shd w:val="clear" w:color="auto" w:fill="FFFFFF"/>
        <w:spacing w:before="240" w:after="240"/>
        <w:jc w:val="center"/>
        <w:rPr>
          <w:rFonts w:ascii="Times New Roman" w:eastAsia="Times New Roman" w:hAnsi="Times New Roman" w:cs="Times New Roman"/>
          <w:color w:val="222222"/>
          <w:sz w:val="24"/>
          <w:szCs w:val="24"/>
          <w:highlight w:val="white"/>
          <w:lang w:val="es-PE"/>
        </w:rPr>
      </w:pPr>
      <w:r w:rsidRPr="006E7C46">
        <w:rPr>
          <w:rFonts w:ascii="Times New Roman" w:eastAsia="Times New Roman" w:hAnsi="Times New Roman" w:cs="Times New Roman"/>
          <w:color w:val="222222"/>
          <w:sz w:val="24"/>
          <w:szCs w:val="24"/>
          <w:highlight w:val="white"/>
          <w:lang w:val="es-PE"/>
        </w:rPr>
        <w:t>Pensamiento Crítico</w:t>
      </w:r>
    </w:p>
    <w:p w14:paraId="00000007" w14:textId="77777777" w:rsidR="00A42B21" w:rsidRPr="006E7C46" w:rsidRDefault="006E7C46">
      <w:pPr>
        <w:shd w:val="clear" w:color="auto" w:fill="FFFFFF"/>
        <w:spacing w:before="240" w:after="240"/>
        <w:ind w:left="72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 xml:space="preserve"> </w:t>
      </w:r>
    </w:p>
    <w:p w14:paraId="00000008" w14:textId="77777777" w:rsidR="00A42B21" w:rsidRPr="006E7C46" w:rsidRDefault="006E7C46">
      <w:pPr>
        <w:shd w:val="clear" w:color="auto" w:fill="FFFFFF"/>
        <w:spacing w:before="240" w:after="24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Facultad:</w:t>
      </w:r>
    </w:p>
    <w:p w14:paraId="00000009" w14:textId="77777777" w:rsidR="00A42B21" w:rsidRPr="006E7C46" w:rsidRDefault="006E7C46">
      <w:pPr>
        <w:spacing w:before="240" w:after="240"/>
        <w:jc w:val="center"/>
        <w:rPr>
          <w:rFonts w:ascii="Times New Roman" w:eastAsia="Times New Roman" w:hAnsi="Times New Roman" w:cs="Times New Roman"/>
          <w:color w:val="222222"/>
          <w:sz w:val="24"/>
          <w:szCs w:val="24"/>
          <w:highlight w:val="white"/>
          <w:lang w:val="es-PE"/>
        </w:rPr>
      </w:pPr>
      <w:r w:rsidRPr="006E7C46">
        <w:rPr>
          <w:rFonts w:ascii="Times New Roman" w:eastAsia="Times New Roman" w:hAnsi="Times New Roman" w:cs="Times New Roman"/>
          <w:color w:val="222222"/>
          <w:sz w:val="24"/>
          <w:szCs w:val="24"/>
          <w:highlight w:val="white"/>
          <w:lang w:val="es-PE"/>
        </w:rPr>
        <w:t>Facultad de Filosofía, Educación y Ciencias Humanas</w:t>
      </w:r>
    </w:p>
    <w:p w14:paraId="0000000A" w14:textId="77777777" w:rsidR="00A42B21" w:rsidRPr="006E7C46" w:rsidRDefault="006E7C46">
      <w:pPr>
        <w:spacing w:before="240" w:after="240"/>
        <w:jc w:val="center"/>
        <w:rPr>
          <w:rFonts w:ascii="Times New Roman" w:eastAsia="Times New Roman" w:hAnsi="Times New Roman" w:cs="Times New Roman"/>
          <w:color w:val="222222"/>
          <w:sz w:val="24"/>
          <w:szCs w:val="24"/>
          <w:highlight w:val="white"/>
          <w:lang w:val="es-PE"/>
        </w:rPr>
      </w:pPr>
      <w:r w:rsidRPr="006E7C46">
        <w:rPr>
          <w:rFonts w:ascii="Times New Roman" w:eastAsia="Times New Roman" w:hAnsi="Times New Roman" w:cs="Times New Roman"/>
          <w:color w:val="222222"/>
          <w:sz w:val="24"/>
          <w:szCs w:val="24"/>
          <w:highlight w:val="white"/>
          <w:lang w:val="es-PE"/>
        </w:rPr>
        <w:t xml:space="preserve"> </w:t>
      </w:r>
    </w:p>
    <w:p w14:paraId="0000000B" w14:textId="77777777" w:rsidR="00A42B21" w:rsidRPr="006E7C46" w:rsidRDefault="006E7C46">
      <w:pPr>
        <w:spacing w:before="240" w:after="24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Docentes:</w:t>
      </w:r>
    </w:p>
    <w:p w14:paraId="0000000C" w14:textId="77777777" w:rsidR="00A42B21" w:rsidRPr="006E7C46" w:rsidRDefault="006E7C46">
      <w:pPr>
        <w:spacing w:before="240" w:after="240"/>
        <w:jc w:val="center"/>
        <w:rPr>
          <w:rFonts w:ascii="Times New Roman" w:eastAsia="Times New Roman" w:hAnsi="Times New Roman" w:cs="Times New Roman"/>
          <w:color w:val="222222"/>
          <w:sz w:val="24"/>
          <w:szCs w:val="24"/>
          <w:highlight w:val="white"/>
          <w:lang w:val="es-PE"/>
        </w:rPr>
      </w:pPr>
      <w:proofErr w:type="spellStart"/>
      <w:r w:rsidRPr="006E7C46">
        <w:rPr>
          <w:rFonts w:ascii="Times New Roman" w:eastAsia="Times New Roman" w:hAnsi="Times New Roman" w:cs="Times New Roman"/>
          <w:color w:val="222222"/>
          <w:sz w:val="24"/>
          <w:szCs w:val="24"/>
          <w:highlight w:val="white"/>
          <w:lang w:val="es-PE"/>
        </w:rPr>
        <w:t>Raschid</w:t>
      </w:r>
      <w:proofErr w:type="spellEnd"/>
      <w:r w:rsidRPr="006E7C46">
        <w:rPr>
          <w:rFonts w:ascii="Times New Roman" w:eastAsia="Times New Roman" w:hAnsi="Times New Roman" w:cs="Times New Roman"/>
          <w:color w:val="222222"/>
          <w:sz w:val="24"/>
          <w:szCs w:val="24"/>
          <w:highlight w:val="white"/>
          <w:lang w:val="es-PE"/>
        </w:rPr>
        <w:t xml:space="preserve"> </w:t>
      </w:r>
      <w:proofErr w:type="spellStart"/>
      <w:r w:rsidRPr="006E7C46">
        <w:rPr>
          <w:rFonts w:ascii="Times New Roman" w:eastAsia="Times New Roman" w:hAnsi="Times New Roman" w:cs="Times New Roman"/>
          <w:color w:val="222222"/>
          <w:sz w:val="24"/>
          <w:szCs w:val="24"/>
          <w:highlight w:val="white"/>
          <w:lang w:val="es-PE"/>
        </w:rPr>
        <w:t>Rabi</w:t>
      </w:r>
      <w:proofErr w:type="spellEnd"/>
    </w:p>
    <w:p w14:paraId="0000000D" w14:textId="77777777" w:rsidR="00A42B21" w:rsidRPr="006E7C46" w:rsidRDefault="006E7C46">
      <w:pPr>
        <w:spacing w:before="240" w:after="240"/>
        <w:jc w:val="center"/>
        <w:rPr>
          <w:rFonts w:ascii="Times New Roman" w:eastAsia="Times New Roman" w:hAnsi="Times New Roman" w:cs="Times New Roman"/>
          <w:color w:val="222222"/>
          <w:sz w:val="24"/>
          <w:szCs w:val="24"/>
          <w:highlight w:val="white"/>
          <w:lang w:val="es-PE"/>
        </w:rPr>
      </w:pPr>
      <w:r w:rsidRPr="006E7C46">
        <w:rPr>
          <w:rFonts w:ascii="Times New Roman" w:eastAsia="Times New Roman" w:hAnsi="Times New Roman" w:cs="Times New Roman"/>
          <w:color w:val="222222"/>
          <w:sz w:val="24"/>
          <w:szCs w:val="24"/>
          <w:highlight w:val="white"/>
          <w:lang w:val="es-PE"/>
        </w:rPr>
        <w:t>Fernando García Alcalá</w:t>
      </w:r>
    </w:p>
    <w:p w14:paraId="0000000E" w14:textId="77777777" w:rsidR="00A42B21" w:rsidRPr="006E7C46" w:rsidRDefault="006E7C46">
      <w:pPr>
        <w:spacing w:before="240" w:after="24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 xml:space="preserve"> </w:t>
      </w:r>
    </w:p>
    <w:p w14:paraId="0000000F" w14:textId="77777777" w:rsidR="00A42B21" w:rsidRPr="006E7C46" w:rsidRDefault="006E7C46">
      <w:pPr>
        <w:spacing w:before="240" w:after="24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Estudiante:</w:t>
      </w:r>
    </w:p>
    <w:p w14:paraId="00000010" w14:textId="77777777" w:rsidR="00A42B21" w:rsidRPr="006E7C46" w:rsidRDefault="006E7C46">
      <w:pPr>
        <w:spacing w:before="240" w:after="240"/>
        <w:jc w:val="center"/>
        <w:rPr>
          <w:rFonts w:ascii="Times New Roman" w:eastAsia="Times New Roman" w:hAnsi="Times New Roman" w:cs="Times New Roman"/>
          <w:b/>
          <w:color w:val="222222"/>
          <w:sz w:val="24"/>
          <w:szCs w:val="24"/>
          <w:highlight w:val="white"/>
          <w:lang w:val="es-PE"/>
        </w:rPr>
      </w:pPr>
      <w:r w:rsidRPr="006E7C46">
        <w:rPr>
          <w:rFonts w:ascii="Times New Roman" w:eastAsia="Times New Roman" w:hAnsi="Times New Roman" w:cs="Times New Roman"/>
          <w:b/>
          <w:color w:val="222222"/>
          <w:sz w:val="24"/>
          <w:szCs w:val="24"/>
          <w:highlight w:val="white"/>
          <w:lang w:val="es-PE"/>
        </w:rPr>
        <w:t>Felipa Guardia, José Alonso</w:t>
      </w:r>
    </w:p>
    <w:p w14:paraId="00000011" w14:textId="77777777" w:rsidR="00A42B21" w:rsidRPr="006E7C46" w:rsidRDefault="00A42B21">
      <w:pPr>
        <w:spacing w:before="240" w:after="240"/>
        <w:jc w:val="both"/>
        <w:rPr>
          <w:rFonts w:ascii="Times New Roman" w:eastAsia="Times New Roman" w:hAnsi="Times New Roman" w:cs="Times New Roman"/>
          <w:color w:val="222222"/>
          <w:sz w:val="24"/>
          <w:szCs w:val="24"/>
          <w:highlight w:val="white"/>
          <w:lang w:val="es-PE"/>
        </w:rPr>
      </w:pPr>
    </w:p>
    <w:p w14:paraId="00000012" w14:textId="77777777" w:rsidR="00A42B21" w:rsidRPr="006E7C46" w:rsidRDefault="00A42B21">
      <w:pPr>
        <w:ind w:left="720" w:hanging="720"/>
        <w:rPr>
          <w:rFonts w:ascii="Times New Roman" w:eastAsia="Times New Roman" w:hAnsi="Times New Roman" w:cs="Times New Roman"/>
          <w:color w:val="222222"/>
          <w:sz w:val="24"/>
          <w:szCs w:val="24"/>
          <w:highlight w:val="white"/>
          <w:lang w:val="es-PE"/>
        </w:rPr>
      </w:pPr>
    </w:p>
    <w:p w14:paraId="00000013" w14:textId="77777777" w:rsidR="00A42B21" w:rsidRPr="006E7C46" w:rsidRDefault="00A42B21">
      <w:pPr>
        <w:ind w:left="720" w:hanging="720"/>
        <w:rPr>
          <w:rFonts w:ascii="Times New Roman" w:eastAsia="Times New Roman" w:hAnsi="Times New Roman" w:cs="Times New Roman"/>
          <w:color w:val="222222"/>
          <w:sz w:val="24"/>
          <w:szCs w:val="24"/>
          <w:highlight w:val="white"/>
          <w:lang w:val="es-PE"/>
        </w:rPr>
      </w:pPr>
    </w:p>
    <w:p w14:paraId="00000014" w14:textId="77777777" w:rsidR="00A42B21" w:rsidRPr="006E7C46" w:rsidRDefault="00A42B21">
      <w:pPr>
        <w:ind w:left="720" w:hanging="720"/>
        <w:rPr>
          <w:rFonts w:ascii="Times New Roman" w:eastAsia="Times New Roman" w:hAnsi="Times New Roman" w:cs="Times New Roman"/>
          <w:color w:val="222222"/>
          <w:sz w:val="24"/>
          <w:szCs w:val="24"/>
          <w:highlight w:val="white"/>
          <w:lang w:val="es-PE"/>
        </w:rPr>
      </w:pPr>
    </w:p>
    <w:p w14:paraId="00000015" w14:textId="77777777" w:rsidR="00A42B21" w:rsidRPr="006E7C46" w:rsidRDefault="006E7C46">
      <w:pPr>
        <w:ind w:left="720" w:hanging="720"/>
        <w:rPr>
          <w:rFonts w:ascii="Times New Roman" w:eastAsia="Times New Roman" w:hAnsi="Times New Roman" w:cs="Times New Roman"/>
          <w:color w:val="222222"/>
          <w:sz w:val="24"/>
          <w:szCs w:val="24"/>
          <w:highlight w:val="white"/>
          <w:lang w:val="es-PE"/>
        </w:rPr>
      </w:pPr>
      <w:r w:rsidRPr="006E7C46">
        <w:rPr>
          <w:lang w:val="es-PE"/>
        </w:rPr>
        <w:br w:type="page"/>
      </w:r>
    </w:p>
    <w:p w14:paraId="00000016" w14:textId="77777777" w:rsidR="00A42B21" w:rsidRPr="006E7C46" w:rsidRDefault="006E7C46">
      <w:pPr>
        <w:jc w:val="center"/>
        <w:rPr>
          <w:rFonts w:ascii="Times New Roman" w:eastAsia="Times New Roman" w:hAnsi="Times New Roman" w:cs="Times New Roman"/>
          <w:b/>
          <w:sz w:val="24"/>
          <w:szCs w:val="24"/>
          <w:u w:val="single"/>
          <w:lang w:val="es-PE"/>
        </w:rPr>
      </w:pPr>
      <w:r w:rsidRPr="006E7C46">
        <w:rPr>
          <w:rFonts w:ascii="Times New Roman" w:eastAsia="Times New Roman" w:hAnsi="Times New Roman" w:cs="Times New Roman"/>
          <w:b/>
          <w:sz w:val="24"/>
          <w:szCs w:val="24"/>
          <w:u w:val="single"/>
          <w:lang w:val="es-PE"/>
        </w:rPr>
        <w:lastRenderedPageBreak/>
        <w:t>Moralidad entre el valor de una vida</w:t>
      </w:r>
    </w:p>
    <w:p w14:paraId="00000017" w14:textId="77777777" w:rsidR="00A42B21" w:rsidRPr="006E7C46" w:rsidRDefault="00A42B21">
      <w:pPr>
        <w:jc w:val="both"/>
        <w:rPr>
          <w:rFonts w:ascii="Times New Roman" w:eastAsia="Times New Roman" w:hAnsi="Times New Roman" w:cs="Times New Roman"/>
          <w:sz w:val="24"/>
          <w:szCs w:val="24"/>
          <w:lang w:val="es-PE"/>
        </w:rPr>
      </w:pPr>
    </w:p>
    <w:p w14:paraId="00000018" w14:textId="5280B420" w:rsidR="00A42B21" w:rsidRPr="006E7C46" w:rsidRDefault="006E7C46">
      <w:pPr>
        <w:spacing w:line="360" w:lineRule="auto"/>
        <w:jc w:val="both"/>
        <w:rPr>
          <w:rFonts w:ascii="Times New Roman" w:eastAsia="Times New Roman" w:hAnsi="Times New Roman" w:cs="Times New Roman"/>
          <w:sz w:val="24"/>
          <w:szCs w:val="24"/>
          <w:lang w:val="es-PE"/>
        </w:rPr>
      </w:pPr>
      <w:r w:rsidRPr="006E7C46">
        <w:rPr>
          <w:rFonts w:ascii="Times New Roman" w:eastAsia="Times New Roman" w:hAnsi="Times New Roman" w:cs="Times New Roman"/>
          <w:sz w:val="24"/>
          <w:szCs w:val="24"/>
          <w:lang w:val="es-PE"/>
        </w:rPr>
        <w:t>El ser humano es capaz de observar su entorno de una manera distinta, de esta manera, se plantea que la persona en sí adopta una cosmovisión la cual permite que esta busque solucionar problemas de la mejor manera en cuanto a su perspectiva. Sin embargo, pu</w:t>
      </w:r>
      <w:r w:rsidRPr="006E7C46">
        <w:rPr>
          <w:rFonts w:ascii="Times New Roman" w:eastAsia="Times New Roman" w:hAnsi="Times New Roman" w:cs="Times New Roman"/>
          <w:sz w:val="24"/>
          <w:szCs w:val="24"/>
          <w:lang w:val="es-PE"/>
        </w:rPr>
        <w:t>eden ocurrir un enfrentamiento de ideas en cuanto a la persona realizando que realiza actos que considera “buenos” pueden parecer actos “malignos”. Un ejemplo claro se presentaría en las situaciones de eutanasia. La mayoría de personas o estados consideran</w:t>
      </w:r>
      <w:r w:rsidRPr="006E7C46">
        <w:rPr>
          <w:rFonts w:ascii="Times New Roman" w:eastAsia="Times New Roman" w:hAnsi="Times New Roman" w:cs="Times New Roman"/>
          <w:sz w:val="24"/>
          <w:szCs w:val="24"/>
          <w:lang w:val="es-PE"/>
        </w:rPr>
        <w:t xml:space="preserve"> que la vida es, de por sí, un derecho y desde perspectivas religiosas, considerada como un milagro. Sin embargo, se presentan actos en el cual el ser humano se encuentra en un periodo de constante agonía, en la cual la mayoría de casos se presentan en enf</w:t>
      </w:r>
      <w:r w:rsidRPr="006E7C46">
        <w:rPr>
          <w:rFonts w:ascii="Times New Roman" w:eastAsia="Times New Roman" w:hAnsi="Times New Roman" w:cs="Times New Roman"/>
          <w:sz w:val="24"/>
          <w:szCs w:val="24"/>
          <w:lang w:val="es-PE"/>
        </w:rPr>
        <w:t>ermedades terminales, y aquellas personas buscan acabar con ese dolor bajo el método de la eutanasia. Arrebatar una vida ajena si es considerado como actos malignos de por sí, pero acaso, ¿Acabar con nuestra propia vida para aliviar nuestro cuerpo es consi</w:t>
      </w:r>
      <w:r w:rsidRPr="006E7C46">
        <w:rPr>
          <w:rFonts w:ascii="Times New Roman" w:eastAsia="Times New Roman" w:hAnsi="Times New Roman" w:cs="Times New Roman"/>
          <w:sz w:val="24"/>
          <w:szCs w:val="24"/>
          <w:lang w:val="es-PE"/>
        </w:rPr>
        <w:t>derado como un acto no ético? Hay constantes debates en cuanto a estados que autorizan la eutanasia y otros que no, aquellas perspectivas consideran el acto de la eutanasia</w:t>
      </w:r>
      <w:r w:rsidRPr="006E7C46">
        <w:rPr>
          <w:rFonts w:ascii="Times New Roman" w:eastAsia="Times New Roman" w:hAnsi="Times New Roman" w:cs="Times New Roman"/>
          <w:sz w:val="24"/>
          <w:szCs w:val="24"/>
          <w:lang w:val="es-PE"/>
        </w:rPr>
        <w:t xml:space="preserve"> como un crimen</w:t>
      </w:r>
      <w:r w:rsidRPr="006E7C46">
        <w:rPr>
          <w:rFonts w:ascii="Times New Roman" w:eastAsia="Times New Roman" w:hAnsi="Times New Roman" w:cs="Times New Roman"/>
          <w:sz w:val="24"/>
          <w:szCs w:val="24"/>
          <w:lang w:val="es-PE"/>
        </w:rPr>
        <w:t>. Ahora, bajo esta idea ¿Cometer delitos hacia la humanidad para el b</w:t>
      </w:r>
      <w:r w:rsidRPr="006E7C46">
        <w:rPr>
          <w:rFonts w:ascii="Times New Roman" w:eastAsia="Times New Roman" w:hAnsi="Times New Roman" w:cs="Times New Roman"/>
          <w:sz w:val="24"/>
          <w:szCs w:val="24"/>
          <w:lang w:val="es-PE"/>
        </w:rPr>
        <w:t>ien común puede ser considerado como actos malignos? En el presente ensayo se utilizará como objeto de estudio un artículo de noticia de SunSentinel sobre un padre que asesina a su hija, y se va a ligar con temas de la eutanasia Gonorazky y relacionando la</w:t>
      </w:r>
      <w:r w:rsidRPr="006E7C46">
        <w:rPr>
          <w:rFonts w:ascii="Times New Roman" w:eastAsia="Times New Roman" w:hAnsi="Times New Roman" w:cs="Times New Roman"/>
          <w:sz w:val="24"/>
          <w:szCs w:val="24"/>
          <w:lang w:val="es-PE"/>
        </w:rPr>
        <w:t xml:space="preserve"> eutanasia con fines éticos utilizando a Arendt y Clifford.</w:t>
      </w:r>
    </w:p>
    <w:p w14:paraId="00000019" w14:textId="77777777" w:rsidR="00A42B21" w:rsidRPr="006E7C46" w:rsidRDefault="00A42B21">
      <w:pPr>
        <w:spacing w:line="360" w:lineRule="auto"/>
        <w:jc w:val="both"/>
        <w:rPr>
          <w:rFonts w:ascii="Times New Roman" w:eastAsia="Times New Roman" w:hAnsi="Times New Roman" w:cs="Times New Roman"/>
          <w:sz w:val="24"/>
          <w:szCs w:val="24"/>
          <w:lang w:val="es-PE"/>
        </w:rPr>
      </w:pPr>
    </w:p>
    <w:p w14:paraId="0000001A" w14:textId="7CF0BCF4" w:rsidR="00A42B21" w:rsidRPr="006E7C46" w:rsidRDefault="006E7C46">
      <w:pPr>
        <w:spacing w:line="360" w:lineRule="auto"/>
        <w:jc w:val="both"/>
        <w:rPr>
          <w:rFonts w:ascii="Times New Roman" w:eastAsia="Times New Roman" w:hAnsi="Times New Roman" w:cs="Times New Roman"/>
          <w:color w:val="052025"/>
          <w:sz w:val="24"/>
          <w:szCs w:val="24"/>
          <w:highlight w:val="white"/>
          <w:lang w:val="es-PE"/>
        </w:rPr>
      </w:pPr>
      <w:r w:rsidRPr="006E7C46">
        <w:rPr>
          <w:rFonts w:ascii="Times New Roman" w:eastAsia="Times New Roman" w:hAnsi="Times New Roman" w:cs="Times New Roman"/>
          <w:sz w:val="24"/>
          <w:szCs w:val="24"/>
          <w:lang w:val="es-PE"/>
        </w:rPr>
        <w:t>En el condado de Davie, Florida, un padre de familia cometió el crimen</w:t>
      </w:r>
      <w:r w:rsidRPr="006E7C46">
        <w:rPr>
          <w:rFonts w:ascii="Times New Roman" w:eastAsia="Times New Roman" w:hAnsi="Times New Roman" w:cs="Times New Roman"/>
          <w:sz w:val="24"/>
          <w:szCs w:val="24"/>
          <w:lang w:val="es-PE"/>
        </w:rPr>
        <w:t xml:space="preserve"> de asesinar a su hija que padecía de cáncer al fémur a los 11 años y se había considerado por los médicos como una enfermedad terminal. La familia estaba consciente del dato y habían de</w:t>
      </w:r>
      <w:r w:rsidRPr="006E7C46">
        <w:rPr>
          <w:rFonts w:ascii="Times New Roman" w:eastAsia="Times New Roman" w:hAnsi="Times New Roman" w:cs="Times New Roman"/>
          <w:sz w:val="24"/>
          <w:szCs w:val="24"/>
          <w:lang w:val="es-PE"/>
        </w:rPr>
        <w:t>cidido darle a su hija una buena calidad de vida hasta su muerte. Sin embargo, el padre decidió acelerar la muerte de su hija que se encontraba en terribles condiciones (</w:t>
      </w:r>
      <w:r w:rsidRPr="006E7C46">
        <w:rPr>
          <w:rFonts w:ascii="Times New Roman" w:eastAsia="Times New Roman" w:hAnsi="Times New Roman" w:cs="Times New Roman"/>
          <w:color w:val="052025"/>
          <w:sz w:val="24"/>
          <w:szCs w:val="24"/>
          <w:highlight w:val="white"/>
          <w:lang w:val="es-PE"/>
        </w:rPr>
        <w:t>Eileen, Austen, Wells &amp; Brooke, 2020). Esta noticia conlleva que el padre había desarr</w:t>
      </w:r>
      <w:r w:rsidRPr="006E7C46">
        <w:rPr>
          <w:rFonts w:ascii="Times New Roman" w:eastAsia="Times New Roman" w:hAnsi="Times New Roman" w:cs="Times New Roman"/>
          <w:color w:val="052025"/>
          <w:sz w:val="24"/>
          <w:szCs w:val="24"/>
          <w:highlight w:val="white"/>
          <w:lang w:val="es-PE"/>
        </w:rPr>
        <w:t>ollado un trastorno conocido como “agotamiento del cuidador” y la acción que cometió, bajo su perspectiva, se hubiese considerado como una “muerte piadosa”. Queda claro que la mayoría de vecinos y personas que se encontraban en los alrededores observaron e</w:t>
      </w:r>
      <w:r w:rsidRPr="006E7C46">
        <w:rPr>
          <w:rFonts w:ascii="Times New Roman" w:eastAsia="Times New Roman" w:hAnsi="Times New Roman" w:cs="Times New Roman"/>
          <w:color w:val="052025"/>
          <w:sz w:val="24"/>
          <w:szCs w:val="24"/>
          <w:highlight w:val="white"/>
          <w:lang w:val="es-PE"/>
        </w:rPr>
        <w:t>ste atentado simplemente como “maligno”. Ahora, la niña se encontraba en terribles condiciones y generalmente una persona se deprime muy rápido al ver a su hija en ese estado. Se coincide que estos son temas muy personales y la toma de decisiones es de sum</w:t>
      </w:r>
      <w:r w:rsidRPr="006E7C46">
        <w:rPr>
          <w:rFonts w:ascii="Times New Roman" w:eastAsia="Times New Roman" w:hAnsi="Times New Roman" w:cs="Times New Roman"/>
          <w:color w:val="052025"/>
          <w:sz w:val="24"/>
          <w:szCs w:val="24"/>
          <w:highlight w:val="white"/>
          <w:lang w:val="es-PE"/>
        </w:rPr>
        <w:t xml:space="preserve">a importancia en el ser humano, y, claro, nadie es perfecto y siempre puede tomar las decisiones correctas, pero, toda acción genera un efecto mariposa, y el ser humano genera esos </w:t>
      </w:r>
      <w:r w:rsidRPr="006E7C46">
        <w:rPr>
          <w:rFonts w:ascii="Times New Roman" w:eastAsia="Times New Roman" w:hAnsi="Times New Roman" w:cs="Times New Roman"/>
          <w:color w:val="052025"/>
          <w:sz w:val="24"/>
          <w:szCs w:val="24"/>
          <w:highlight w:val="white"/>
          <w:lang w:val="es-PE"/>
        </w:rPr>
        <w:lastRenderedPageBreak/>
        <w:t>efectos bajo las acciones que realiza. Ahora si relacionamos estos temas ba</w:t>
      </w:r>
      <w:r w:rsidRPr="006E7C46">
        <w:rPr>
          <w:rFonts w:ascii="Times New Roman" w:eastAsia="Times New Roman" w:hAnsi="Times New Roman" w:cs="Times New Roman"/>
          <w:color w:val="052025"/>
          <w:sz w:val="24"/>
          <w:szCs w:val="24"/>
          <w:highlight w:val="white"/>
          <w:lang w:val="es-PE"/>
        </w:rPr>
        <w:t>jo fines éticos, según Clifford (1877), la toma de decisiones se asemeja</w:t>
      </w:r>
      <w:r w:rsidRPr="006E7C46">
        <w:rPr>
          <w:rFonts w:ascii="Times New Roman" w:eastAsia="Times New Roman" w:hAnsi="Times New Roman" w:cs="Times New Roman"/>
          <w:color w:val="052025"/>
          <w:sz w:val="24"/>
          <w:szCs w:val="24"/>
          <w:highlight w:val="white"/>
          <w:lang w:val="es-PE"/>
        </w:rPr>
        <w:t xml:space="preserve"> entre el bien y el mal, cada decisión que se tome se debe considerar como la “asunción” de que su perspectiva es la correcta. Esto quiere decir que una decisión, claramente presenta </w:t>
      </w:r>
      <w:r w:rsidRPr="006E7C46">
        <w:rPr>
          <w:rFonts w:ascii="Times New Roman" w:eastAsia="Times New Roman" w:hAnsi="Times New Roman" w:cs="Times New Roman"/>
          <w:color w:val="052025"/>
          <w:sz w:val="24"/>
          <w:szCs w:val="24"/>
          <w:highlight w:val="white"/>
          <w:lang w:val="es-PE"/>
        </w:rPr>
        <w:t>situaciones de causa-efecto, y, por lo tanto, algunas de ellas suelen ser consideradas como un juego de ruleta. Esto presenta que el acto que realizó el padre, fue “correcto” bajo su punto de vista, y entra en debate que la muerte piadosa se observa como a</w:t>
      </w:r>
      <w:r w:rsidRPr="006E7C46">
        <w:rPr>
          <w:rFonts w:ascii="Times New Roman" w:eastAsia="Times New Roman" w:hAnsi="Times New Roman" w:cs="Times New Roman"/>
          <w:color w:val="052025"/>
          <w:sz w:val="24"/>
          <w:szCs w:val="24"/>
          <w:highlight w:val="white"/>
          <w:lang w:val="es-PE"/>
        </w:rPr>
        <w:t xml:space="preserve">lgo que se debe aprobar debido a que es “bueno” y otro grupo observa este tipo de muertes asistidas como “delitos”. Ahora si enlazamos los temas morales que propone Arendt (1995), sustenta los actos de bondad bajo el pensamiento marxiano, y comenta que el </w:t>
      </w:r>
      <w:r w:rsidRPr="006E7C46">
        <w:rPr>
          <w:rFonts w:ascii="Times New Roman" w:eastAsia="Times New Roman" w:hAnsi="Times New Roman" w:cs="Times New Roman"/>
          <w:color w:val="052025"/>
          <w:sz w:val="24"/>
          <w:szCs w:val="24"/>
          <w:highlight w:val="white"/>
          <w:lang w:val="es-PE"/>
        </w:rPr>
        <w:t xml:space="preserve">ser humano se considera como “bondadoso” si abandona la idea del pensar, si bien una persona que no piensa es considerada como “mecánica”, presenta una cualidad de inocencia hacia las demás personas. Cuando se presentan situaciones de alta presión, el ser </w:t>
      </w:r>
      <w:r w:rsidRPr="006E7C46">
        <w:rPr>
          <w:rFonts w:ascii="Times New Roman" w:eastAsia="Times New Roman" w:hAnsi="Times New Roman" w:cs="Times New Roman"/>
          <w:color w:val="052025"/>
          <w:sz w:val="24"/>
          <w:szCs w:val="24"/>
          <w:highlight w:val="white"/>
          <w:lang w:val="es-PE"/>
        </w:rPr>
        <w:t>humano no puede contener o mantener su naturaleza común y suele ocasionar actos impulsivos, este tipo de actos se consideran “inhumanos” bajo la perspectiva de Arendt, puesto a que solo está</w:t>
      </w:r>
      <w:r w:rsidRPr="006E7C46">
        <w:rPr>
          <w:rFonts w:ascii="Times New Roman" w:eastAsia="Times New Roman" w:hAnsi="Times New Roman" w:cs="Times New Roman"/>
          <w:color w:val="052025"/>
          <w:sz w:val="24"/>
          <w:szCs w:val="24"/>
          <w:highlight w:val="white"/>
          <w:lang w:val="es-PE"/>
        </w:rPr>
        <w:t xml:space="preserve"> siguiendo sus instintos y no se dedica al pensar en las acciones </w:t>
      </w:r>
      <w:r w:rsidRPr="006E7C46">
        <w:rPr>
          <w:rFonts w:ascii="Times New Roman" w:eastAsia="Times New Roman" w:hAnsi="Times New Roman" w:cs="Times New Roman"/>
          <w:color w:val="052025"/>
          <w:sz w:val="24"/>
          <w:szCs w:val="24"/>
          <w:highlight w:val="white"/>
          <w:lang w:val="es-PE"/>
        </w:rPr>
        <w:t>que va a cometer la persona.</w:t>
      </w:r>
    </w:p>
    <w:p w14:paraId="0000001B" w14:textId="77777777" w:rsidR="00A42B21" w:rsidRPr="006E7C46" w:rsidRDefault="00A42B21">
      <w:pPr>
        <w:spacing w:line="360" w:lineRule="auto"/>
        <w:jc w:val="both"/>
        <w:rPr>
          <w:rFonts w:ascii="Times New Roman" w:eastAsia="Times New Roman" w:hAnsi="Times New Roman" w:cs="Times New Roman"/>
          <w:color w:val="052025"/>
          <w:sz w:val="24"/>
          <w:szCs w:val="24"/>
          <w:highlight w:val="white"/>
          <w:lang w:val="es-PE"/>
        </w:rPr>
      </w:pPr>
    </w:p>
    <w:p w14:paraId="0000001C" w14:textId="599A5FA5" w:rsidR="00A42B21" w:rsidRPr="006E7C46" w:rsidRDefault="006E7C46">
      <w:pPr>
        <w:spacing w:line="360" w:lineRule="auto"/>
        <w:jc w:val="both"/>
        <w:rPr>
          <w:rFonts w:ascii="Times New Roman" w:eastAsia="Times New Roman" w:hAnsi="Times New Roman" w:cs="Times New Roman"/>
          <w:color w:val="052025"/>
          <w:sz w:val="24"/>
          <w:szCs w:val="24"/>
          <w:highlight w:val="white"/>
          <w:lang w:val="es-PE"/>
        </w:rPr>
      </w:pPr>
      <w:r w:rsidRPr="006E7C46">
        <w:rPr>
          <w:rFonts w:ascii="Times New Roman" w:eastAsia="Times New Roman" w:hAnsi="Times New Roman" w:cs="Times New Roman"/>
          <w:color w:val="052025"/>
          <w:sz w:val="24"/>
          <w:szCs w:val="24"/>
          <w:highlight w:val="white"/>
          <w:lang w:val="es-PE"/>
        </w:rPr>
        <w:t>Ahora, si conectamos los actos morales y éticos descritos anteriormente, una de las formas de “muerte asistida” más conocida, es la eutanasia</w:t>
      </w:r>
      <w:r w:rsidRPr="006E7C46">
        <w:rPr>
          <w:rFonts w:ascii="Times New Roman" w:eastAsia="Times New Roman" w:hAnsi="Times New Roman" w:cs="Times New Roman"/>
          <w:color w:val="052025"/>
          <w:sz w:val="24"/>
          <w:szCs w:val="24"/>
          <w:highlight w:val="white"/>
          <w:lang w:val="es-PE"/>
        </w:rPr>
        <w:t xml:space="preserve">, el cual consiste en buscar la muerte bajo tratamientos químicos, aquellas personas </w:t>
      </w:r>
      <w:r w:rsidRPr="006E7C46">
        <w:rPr>
          <w:rFonts w:ascii="Times New Roman" w:eastAsia="Times New Roman" w:hAnsi="Times New Roman" w:cs="Times New Roman"/>
          <w:color w:val="052025"/>
          <w:sz w:val="24"/>
          <w:szCs w:val="24"/>
          <w:highlight w:val="white"/>
          <w:lang w:val="es-PE"/>
        </w:rPr>
        <w:t>que desean este tipo de final padecen de enfermedades terminales y estos buscan la muerte de forma pacífica y sin dolor, en vez de seguir lidiando con medicamentos y tratamientos que conlleva finalmente a una muerte “dolorosa”. Hay constante debate en sí e</w:t>
      </w:r>
      <w:r w:rsidRPr="006E7C46">
        <w:rPr>
          <w:rFonts w:ascii="Times New Roman" w:eastAsia="Times New Roman" w:hAnsi="Times New Roman" w:cs="Times New Roman"/>
          <w:color w:val="052025"/>
          <w:sz w:val="24"/>
          <w:szCs w:val="24"/>
          <w:highlight w:val="white"/>
          <w:lang w:val="es-PE"/>
        </w:rPr>
        <w:t>ste tipo de muerte es considerada como un acto de bondad o un acto maligno, y la mayoría de estados ya tomaron la decisión en cuanto a la legalización de este procedimiento. El choque de puntos éticos entre la valoración de la vida está ligado</w:t>
      </w:r>
      <w:r w:rsidRPr="006E7C46">
        <w:rPr>
          <w:rFonts w:ascii="Times New Roman" w:eastAsia="Times New Roman" w:hAnsi="Times New Roman" w:cs="Times New Roman"/>
          <w:color w:val="052025"/>
          <w:sz w:val="24"/>
          <w:szCs w:val="24"/>
          <w:highlight w:val="white"/>
          <w:lang w:val="es-PE"/>
        </w:rPr>
        <w:t xml:space="preserve"> en una balan</w:t>
      </w:r>
      <w:r w:rsidRPr="006E7C46">
        <w:rPr>
          <w:rFonts w:ascii="Times New Roman" w:eastAsia="Times New Roman" w:hAnsi="Times New Roman" w:cs="Times New Roman"/>
          <w:color w:val="052025"/>
          <w:sz w:val="24"/>
          <w:szCs w:val="24"/>
          <w:highlight w:val="white"/>
          <w:lang w:val="es-PE"/>
        </w:rPr>
        <w:t>za unilateral, la vida es considerada como un derecho humano y todos deben saber respetarla, pero se presentan casos en que la persona, considera que su vida ya no tiene rumbo debido a una enfermedad terminal, y simplemente busca un final deseado y sin dol</w:t>
      </w:r>
      <w:r w:rsidRPr="006E7C46">
        <w:rPr>
          <w:rFonts w:ascii="Times New Roman" w:eastAsia="Times New Roman" w:hAnsi="Times New Roman" w:cs="Times New Roman"/>
          <w:color w:val="052025"/>
          <w:sz w:val="24"/>
          <w:szCs w:val="24"/>
          <w:highlight w:val="white"/>
          <w:lang w:val="es-PE"/>
        </w:rPr>
        <w:t>or. “El hecho de que una enfermedad sea incurable pero que su evolución puede ser enlentecida genera una zona gris entre curable o incurable. Sirven para algo,</w:t>
      </w:r>
      <w:r w:rsidRPr="006E7C46">
        <w:rPr>
          <w:rFonts w:ascii="Times New Roman" w:eastAsia="Times New Roman" w:hAnsi="Times New Roman" w:cs="Times New Roman"/>
          <w:color w:val="052025"/>
          <w:sz w:val="24"/>
          <w:szCs w:val="24"/>
          <w:highlight w:val="white"/>
          <w:lang w:val="es-PE"/>
        </w:rPr>
        <w:t xml:space="preserve"> pero no curan” (Gonorazky, p. 22). El siguiente comentario observa que el tratamiento de una enfe</w:t>
      </w:r>
      <w:r w:rsidRPr="006E7C46">
        <w:rPr>
          <w:rFonts w:ascii="Times New Roman" w:eastAsia="Times New Roman" w:hAnsi="Times New Roman" w:cs="Times New Roman"/>
          <w:color w:val="052025"/>
          <w:sz w:val="24"/>
          <w:szCs w:val="24"/>
          <w:highlight w:val="white"/>
          <w:lang w:val="es-PE"/>
        </w:rPr>
        <w:t>rmedad terminal, alude a una solución falaz, y desde esta perspectiva, el ser humano se “engaña” creyendo que realizando el tratamiento puede aprovechar sus últimos momentos de vida de manera próspera, pero el final siempre va a ser el mismo, sobre todo si</w:t>
      </w:r>
      <w:r w:rsidRPr="006E7C46">
        <w:rPr>
          <w:rFonts w:ascii="Times New Roman" w:eastAsia="Times New Roman" w:hAnsi="Times New Roman" w:cs="Times New Roman"/>
          <w:color w:val="052025"/>
          <w:sz w:val="24"/>
          <w:szCs w:val="24"/>
          <w:highlight w:val="white"/>
          <w:lang w:val="es-PE"/>
        </w:rPr>
        <w:t xml:space="preserve"> aquella enfermedad terminal suele causar altos niveles de dolor. Y,</w:t>
      </w:r>
      <w:r w:rsidRPr="006E7C46">
        <w:rPr>
          <w:rFonts w:ascii="Times New Roman" w:eastAsia="Times New Roman" w:hAnsi="Times New Roman" w:cs="Times New Roman"/>
          <w:color w:val="052025"/>
          <w:sz w:val="24"/>
          <w:szCs w:val="24"/>
          <w:highlight w:val="white"/>
          <w:lang w:val="es-PE"/>
        </w:rPr>
        <w:t xml:space="preserve"> por último, se presentan situaciones en las que </w:t>
      </w:r>
      <w:r w:rsidRPr="006E7C46">
        <w:rPr>
          <w:rFonts w:ascii="Times New Roman" w:eastAsia="Times New Roman" w:hAnsi="Times New Roman" w:cs="Times New Roman"/>
          <w:color w:val="052025"/>
          <w:sz w:val="24"/>
          <w:szCs w:val="24"/>
          <w:highlight w:val="white"/>
          <w:lang w:val="es-PE"/>
        </w:rPr>
        <w:lastRenderedPageBreak/>
        <w:t>el ministerio prohíbe la muerte asistida de una paciente, pero la corte aprueba la decisión de aquella persona y es capaz de realizar el act</w:t>
      </w:r>
      <w:r w:rsidRPr="006E7C46">
        <w:rPr>
          <w:rFonts w:ascii="Times New Roman" w:eastAsia="Times New Roman" w:hAnsi="Times New Roman" w:cs="Times New Roman"/>
          <w:color w:val="052025"/>
          <w:sz w:val="24"/>
          <w:szCs w:val="24"/>
          <w:highlight w:val="white"/>
          <w:lang w:val="es-PE"/>
        </w:rPr>
        <w:t>o en sí. Ana Estrada, padecía de una enfermedad degenerativa que debilita los músculos con el transcurso del tiempo y le surgió a la edad de 12 años. A los 44 años de edad, ella solicito la eutanasia en un centro médico, sin embargo, la petición fue denega</w:t>
      </w:r>
      <w:r w:rsidRPr="006E7C46">
        <w:rPr>
          <w:rFonts w:ascii="Times New Roman" w:eastAsia="Times New Roman" w:hAnsi="Times New Roman" w:cs="Times New Roman"/>
          <w:color w:val="052025"/>
          <w:sz w:val="24"/>
          <w:szCs w:val="24"/>
          <w:highlight w:val="white"/>
          <w:lang w:val="es-PE"/>
        </w:rPr>
        <w:t>da debido a que la eutanasia no es considerada legal en el Perú, sin embargo, bajo el apoyo del poder judicial, ella fue capaz de acceder a la petición de la eutanasia</w:t>
      </w:r>
      <w:r w:rsidRPr="006E7C46">
        <w:rPr>
          <w:rFonts w:ascii="Times New Roman" w:eastAsia="Times New Roman" w:hAnsi="Times New Roman" w:cs="Times New Roman"/>
          <w:color w:val="052025"/>
          <w:sz w:val="24"/>
          <w:szCs w:val="24"/>
          <w:highlight w:val="white"/>
          <w:lang w:val="es-PE"/>
        </w:rPr>
        <w:t xml:space="preserve"> (Pighi, 2021). El valor que conlleva la decisión de terminar con la vida propia es sumam</w:t>
      </w:r>
      <w:r w:rsidRPr="006E7C46">
        <w:rPr>
          <w:rFonts w:ascii="Times New Roman" w:eastAsia="Times New Roman" w:hAnsi="Times New Roman" w:cs="Times New Roman"/>
          <w:color w:val="052025"/>
          <w:sz w:val="24"/>
          <w:szCs w:val="24"/>
          <w:highlight w:val="white"/>
          <w:lang w:val="es-PE"/>
        </w:rPr>
        <w:t>ente una decisión muy difícil, pero el espíritu y coraje del ser humano es uno de las cualidades que más se destacan entre nosotros y, de por sí, considerada como admirable.</w:t>
      </w:r>
    </w:p>
    <w:p w14:paraId="0000001D" w14:textId="77777777" w:rsidR="00A42B21" w:rsidRPr="006E7C46" w:rsidRDefault="00A42B21">
      <w:pPr>
        <w:spacing w:line="360" w:lineRule="auto"/>
        <w:jc w:val="both"/>
        <w:rPr>
          <w:rFonts w:ascii="Times New Roman" w:eastAsia="Times New Roman" w:hAnsi="Times New Roman" w:cs="Times New Roman"/>
          <w:color w:val="052025"/>
          <w:sz w:val="24"/>
          <w:szCs w:val="24"/>
          <w:highlight w:val="white"/>
          <w:lang w:val="es-PE"/>
        </w:rPr>
      </w:pPr>
    </w:p>
    <w:p w14:paraId="0000001E" w14:textId="77777777" w:rsidR="00A42B21" w:rsidRPr="006E7C46" w:rsidRDefault="006E7C46">
      <w:pPr>
        <w:spacing w:line="360" w:lineRule="auto"/>
        <w:jc w:val="both"/>
        <w:rPr>
          <w:rFonts w:ascii="Times New Roman" w:eastAsia="Times New Roman" w:hAnsi="Times New Roman" w:cs="Times New Roman"/>
          <w:color w:val="052025"/>
          <w:sz w:val="24"/>
          <w:szCs w:val="24"/>
          <w:highlight w:val="white"/>
          <w:lang w:val="es-PE"/>
        </w:rPr>
      </w:pPr>
      <w:r w:rsidRPr="006E7C46">
        <w:rPr>
          <w:rFonts w:ascii="Times New Roman" w:eastAsia="Times New Roman" w:hAnsi="Times New Roman" w:cs="Times New Roman"/>
          <w:color w:val="052025"/>
          <w:sz w:val="24"/>
          <w:szCs w:val="24"/>
          <w:highlight w:val="white"/>
          <w:lang w:val="es-PE"/>
        </w:rPr>
        <w:t>Ahora, si bien la toma de decisiones es considerada como una apuesta bajo la pers</w:t>
      </w:r>
      <w:r w:rsidRPr="006E7C46">
        <w:rPr>
          <w:rFonts w:ascii="Times New Roman" w:eastAsia="Times New Roman" w:hAnsi="Times New Roman" w:cs="Times New Roman"/>
          <w:color w:val="052025"/>
          <w:sz w:val="24"/>
          <w:szCs w:val="24"/>
          <w:highlight w:val="white"/>
          <w:lang w:val="es-PE"/>
        </w:rPr>
        <w:t>pectiva de Clifford (1877), sólo queda observar el por qué se realizan los actos malignos, si consideramos que la persona solo lo hace para satisfacer sus necesidades y perjudicar al otro, no hay que negar que el origen se conlleva solamente en el ser huma</w:t>
      </w:r>
      <w:r w:rsidRPr="006E7C46">
        <w:rPr>
          <w:rFonts w:ascii="Times New Roman" w:eastAsia="Times New Roman" w:hAnsi="Times New Roman" w:cs="Times New Roman"/>
          <w:color w:val="052025"/>
          <w:sz w:val="24"/>
          <w:szCs w:val="24"/>
          <w:highlight w:val="white"/>
          <w:lang w:val="es-PE"/>
        </w:rPr>
        <w:t>no, ¿podríamos considerar que un león es malo por cazar a los antílopes? Después de todo, los leones satisfacen su hambre al matar a aquellos animales, pero lo hacen por instinto y pertenece dentro de un ciclo, pero el hombre tiene la condición de realizar</w:t>
      </w:r>
      <w:r w:rsidRPr="006E7C46">
        <w:rPr>
          <w:rFonts w:ascii="Times New Roman" w:eastAsia="Times New Roman" w:hAnsi="Times New Roman" w:cs="Times New Roman"/>
          <w:color w:val="052025"/>
          <w:sz w:val="24"/>
          <w:szCs w:val="24"/>
          <w:highlight w:val="white"/>
          <w:lang w:val="es-PE"/>
        </w:rPr>
        <w:t xml:space="preserve"> sus propios pensamientos y reflexionar sobre los actos que comete.</w:t>
      </w:r>
    </w:p>
    <w:p w14:paraId="0000001F" w14:textId="21CABF34" w:rsidR="00A42B21" w:rsidRPr="006E7C46" w:rsidRDefault="006E7C46">
      <w:pPr>
        <w:spacing w:line="360" w:lineRule="auto"/>
        <w:ind w:left="720"/>
        <w:jc w:val="both"/>
        <w:rPr>
          <w:rFonts w:ascii="Times New Roman" w:eastAsia="Times New Roman" w:hAnsi="Times New Roman" w:cs="Times New Roman"/>
          <w:color w:val="052025"/>
          <w:sz w:val="24"/>
          <w:szCs w:val="24"/>
          <w:highlight w:val="white"/>
          <w:lang w:val="es-PE"/>
        </w:rPr>
      </w:pPr>
      <w:r w:rsidRPr="006E7C46">
        <w:rPr>
          <w:rFonts w:ascii="Times New Roman" w:eastAsia="Times New Roman" w:hAnsi="Times New Roman" w:cs="Times New Roman"/>
          <w:color w:val="052025"/>
          <w:sz w:val="24"/>
          <w:szCs w:val="24"/>
          <w:highlight w:val="white"/>
          <w:lang w:val="es-PE"/>
        </w:rPr>
        <w:t>“Por otra parte, una causa principal de sufrimiento es la violencia ejercida sobre el hombre por el hombre: en verdad, obrar mal es,</w:t>
      </w:r>
      <w:r w:rsidRPr="006E7C46">
        <w:rPr>
          <w:rFonts w:ascii="Times New Roman" w:eastAsia="Times New Roman" w:hAnsi="Times New Roman" w:cs="Times New Roman"/>
          <w:color w:val="052025"/>
          <w:sz w:val="24"/>
          <w:szCs w:val="24"/>
          <w:highlight w:val="white"/>
          <w:lang w:val="es-PE"/>
        </w:rPr>
        <w:t xml:space="preserve"> ante todo, en sentido directo o indirecto, hacer errar a</w:t>
      </w:r>
      <w:r w:rsidRPr="006E7C46">
        <w:rPr>
          <w:rFonts w:ascii="Times New Roman" w:eastAsia="Times New Roman" w:hAnsi="Times New Roman" w:cs="Times New Roman"/>
          <w:color w:val="052025"/>
          <w:sz w:val="24"/>
          <w:szCs w:val="24"/>
          <w:highlight w:val="white"/>
          <w:lang w:val="es-PE"/>
        </w:rPr>
        <w:t xml:space="preserve"> los otros, y por consiguiente hacerlos sufrir. En su estructura relacional -dialógica- el mal cometido por uno encuentra su réplica en el mal sufrido por los otros. Es en este punto de intersección mayor en que el grito del lamento es más agudo cuando el </w:t>
      </w:r>
      <w:r w:rsidRPr="006E7C46">
        <w:rPr>
          <w:rFonts w:ascii="Times New Roman" w:eastAsia="Times New Roman" w:hAnsi="Times New Roman" w:cs="Times New Roman"/>
          <w:color w:val="052025"/>
          <w:sz w:val="24"/>
          <w:szCs w:val="24"/>
          <w:highlight w:val="white"/>
          <w:lang w:val="es-PE"/>
        </w:rPr>
        <w:t>hombre se siente víctima de la maldad del hombre, como lo testimonian” (Ricoeur &amp; Gisel, 2006, p. 5)</w:t>
      </w:r>
    </w:p>
    <w:p w14:paraId="00000020" w14:textId="5B255E5A" w:rsidR="00A42B21" w:rsidRPr="006E7C46" w:rsidRDefault="006E7C46">
      <w:pPr>
        <w:spacing w:line="360" w:lineRule="auto"/>
        <w:jc w:val="both"/>
        <w:rPr>
          <w:rFonts w:ascii="Times New Roman" w:eastAsia="Times New Roman" w:hAnsi="Times New Roman" w:cs="Times New Roman"/>
          <w:color w:val="052025"/>
          <w:sz w:val="24"/>
          <w:szCs w:val="24"/>
          <w:highlight w:val="white"/>
          <w:lang w:val="es-PE"/>
        </w:rPr>
      </w:pPr>
      <w:r w:rsidRPr="006E7C46">
        <w:rPr>
          <w:rFonts w:ascii="Times New Roman" w:eastAsia="Times New Roman" w:hAnsi="Times New Roman" w:cs="Times New Roman"/>
          <w:color w:val="052025"/>
          <w:sz w:val="24"/>
          <w:szCs w:val="24"/>
          <w:highlight w:val="white"/>
          <w:lang w:val="es-PE"/>
        </w:rPr>
        <w:t>Desde esta perspectiva, se observa una vez más la causa-efecto de las cosas que ocurren en el entorno, Ricoeur &amp; Gisel (2006), comentan que los actos malig</w:t>
      </w:r>
      <w:r>
        <w:rPr>
          <w:rFonts w:ascii="Times New Roman" w:eastAsia="Times New Roman" w:hAnsi="Times New Roman" w:cs="Times New Roman"/>
          <w:color w:val="052025"/>
          <w:sz w:val="24"/>
          <w:szCs w:val="24"/>
          <w:highlight w:val="white"/>
          <w:lang w:val="es-PE"/>
        </w:rPr>
        <w:t>nos se realizan p</w:t>
      </w:r>
      <w:r w:rsidRPr="006E7C46">
        <w:rPr>
          <w:rFonts w:ascii="Times New Roman" w:eastAsia="Times New Roman" w:hAnsi="Times New Roman" w:cs="Times New Roman"/>
          <w:color w:val="052025"/>
          <w:sz w:val="24"/>
          <w:szCs w:val="24"/>
          <w:highlight w:val="white"/>
          <w:lang w:val="es-PE"/>
        </w:rPr>
        <w:t>or consecuencia de satisfacer a otra persona que no se encuentra en una condición óptima, esa satisfacción puede ser del actor del mal en sí, o lo hace por otra persona que necesita ayuda. Pero aquí, se observa que no se busca el bien comú</w:t>
      </w:r>
      <w:r w:rsidRPr="006E7C46">
        <w:rPr>
          <w:rFonts w:ascii="Times New Roman" w:eastAsia="Times New Roman" w:hAnsi="Times New Roman" w:cs="Times New Roman"/>
          <w:color w:val="052025"/>
          <w:sz w:val="24"/>
          <w:szCs w:val="24"/>
          <w:highlight w:val="white"/>
          <w:lang w:val="es-PE"/>
        </w:rPr>
        <w:t>n de la persona, se busca el bien propio, un egoísmo. ¿Podríamos considerar que las acciones de Ana Estrada y del padre que asesinó a su hija y cometió suicidio fueron actos egoístas?</w:t>
      </w:r>
    </w:p>
    <w:p w14:paraId="00000021" w14:textId="77777777" w:rsidR="00A42B21" w:rsidRPr="006E7C46" w:rsidRDefault="00A42B21">
      <w:pPr>
        <w:spacing w:line="360" w:lineRule="auto"/>
        <w:jc w:val="both"/>
        <w:rPr>
          <w:rFonts w:ascii="Times New Roman" w:eastAsia="Times New Roman" w:hAnsi="Times New Roman" w:cs="Times New Roman"/>
          <w:color w:val="052025"/>
          <w:sz w:val="24"/>
          <w:szCs w:val="24"/>
          <w:highlight w:val="white"/>
          <w:lang w:val="es-PE"/>
        </w:rPr>
      </w:pPr>
    </w:p>
    <w:p w14:paraId="00000022" w14:textId="4D9C5EC2" w:rsidR="00A42B21" w:rsidRPr="006E7C46" w:rsidRDefault="006E7C46">
      <w:pPr>
        <w:spacing w:line="360" w:lineRule="auto"/>
        <w:jc w:val="both"/>
        <w:rPr>
          <w:rFonts w:ascii="Times New Roman" w:eastAsia="Times New Roman" w:hAnsi="Times New Roman" w:cs="Times New Roman"/>
          <w:color w:val="052025"/>
          <w:sz w:val="24"/>
          <w:szCs w:val="24"/>
          <w:highlight w:val="white"/>
          <w:lang w:val="es-PE"/>
        </w:rPr>
      </w:pPr>
      <w:r w:rsidRPr="006E7C46">
        <w:rPr>
          <w:rFonts w:ascii="Times New Roman" w:eastAsia="Times New Roman" w:hAnsi="Times New Roman" w:cs="Times New Roman"/>
          <w:color w:val="052025"/>
          <w:sz w:val="24"/>
          <w:szCs w:val="24"/>
          <w:highlight w:val="white"/>
          <w:lang w:val="es-PE"/>
        </w:rPr>
        <w:lastRenderedPageBreak/>
        <w:t>Ahora, si enlazamos todas estas ideas para responder a la pregunta plan</w:t>
      </w:r>
      <w:r w:rsidRPr="006E7C46">
        <w:rPr>
          <w:rFonts w:ascii="Times New Roman" w:eastAsia="Times New Roman" w:hAnsi="Times New Roman" w:cs="Times New Roman"/>
          <w:color w:val="052025"/>
          <w:sz w:val="24"/>
          <w:szCs w:val="24"/>
          <w:highlight w:val="white"/>
          <w:lang w:val="es-PE"/>
        </w:rPr>
        <w:t xml:space="preserve">teada, es normal que la persona siempre busque su definición del bien y cómo ejecutarlo, sin embargo, hay ciertos extremos que el ser humano no debe cruzar para poder cometer los actos bondadosos. Una vez más, queda claro que el acto del padre en asesinar </w:t>
      </w:r>
      <w:r w:rsidRPr="006E7C46">
        <w:rPr>
          <w:rFonts w:ascii="Times New Roman" w:eastAsia="Times New Roman" w:hAnsi="Times New Roman" w:cs="Times New Roman"/>
          <w:color w:val="052025"/>
          <w:sz w:val="24"/>
          <w:szCs w:val="24"/>
          <w:highlight w:val="white"/>
          <w:lang w:val="es-PE"/>
        </w:rPr>
        <w:t>a su hija con una enfermedad terminal no fue la más adecuada, pero su perspectiva se observó en el que la niña deje de sufrir y dejar de causar una preocupación más a su familia, y sí, cometer suicidio es considerado como un crimen</w:t>
      </w:r>
      <w:r w:rsidRPr="006E7C46">
        <w:rPr>
          <w:rFonts w:ascii="Times New Roman" w:eastAsia="Times New Roman" w:hAnsi="Times New Roman" w:cs="Times New Roman"/>
          <w:color w:val="052025"/>
          <w:sz w:val="24"/>
          <w:szCs w:val="24"/>
          <w:highlight w:val="white"/>
          <w:lang w:val="es-PE"/>
        </w:rPr>
        <w:t>, pero aliviar el dolor d</w:t>
      </w:r>
      <w:r w:rsidRPr="006E7C46">
        <w:rPr>
          <w:rFonts w:ascii="Times New Roman" w:eastAsia="Times New Roman" w:hAnsi="Times New Roman" w:cs="Times New Roman"/>
          <w:color w:val="052025"/>
          <w:sz w:val="24"/>
          <w:szCs w:val="24"/>
          <w:highlight w:val="white"/>
          <w:lang w:val="es-PE"/>
        </w:rPr>
        <w:t>e su hija, no lo es. Si asociamos a otros ejemplos en cuanto a la eutanasia como un acto no ético, se pueden inferenciar</w:t>
      </w:r>
      <w:bookmarkStart w:id="0" w:name="_GoBack"/>
      <w:bookmarkEnd w:id="0"/>
      <w:r w:rsidRPr="006E7C46">
        <w:rPr>
          <w:rFonts w:ascii="Times New Roman" w:eastAsia="Times New Roman" w:hAnsi="Times New Roman" w:cs="Times New Roman"/>
          <w:color w:val="052025"/>
          <w:sz w:val="24"/>
          <w:szCs w:val="24"/>
          <w:highlight w:val="white"/>
          <w:lang w:val="es-PE"/>
        </w:rPr>
        <w:t xml:space="preserve"> múltiples instancias para confirmar que el acto en sí, es considerado un crimen, y eso adopta perspectivas distintas entre los estados </w:t>
      </w:r>
      <w:r w:rsidRPr="006E7C46">
        <w:rPr>
          <w:rFonts w:ascii="Times New Roman" w:eastAsia="Times New Roman" w:hAnsi="Times New Roman" w:cs="Times New Roman"/>
          <w:color w:val="052025"/>
          <w:sz w:val="24"/>
          <w:szCs w:val="24"/>
          <w:highlight w:val="white"/>
          <w:lang w:val="es-PE"/>
        </w:rPr>
        <w:t>que lo aprueban y otros que no lo hacen. Ahora, si se toman medidas preventivas, como,</w:t>
      </w:r>
      <w:r w:rsidRPr="006E7C46">
        <w:rPr>
          <w:rFonts w:ascii="Times New Roman" w:eastAsia="Times New Roman" w:hAnsi="Times New Roman" w:cs="Times New Roman"/>
          <w:color w:val="052025"/>
          <w:sz w:val="24"/>
          <w:szCs w:val="24"/>
          <w:highlight w:val="white"/>
          <w:lang w:val="es-PE"/>
        </w:rPr>
        <w:t xml:space="preserve"> por ejemplo, asesinar a una persona que tenía planeada matar a su hija, es una especulación y ahí sí sería considerado un crimen, por que el ser humano adopta su visión d</w:t>
      </w:r>
      <w:r w:rsidRPr="006E7C46">
        <w:rPr>
          <w:rFonts w:ascii="Times New Roman" w:eastAsia="Times New Roman" w:hAnsi="Times New Roman" w:cs="Times New Roman"/>
          <w:color w:val="052025"/>
          <w:sz w:val="24"/>
          <w:szCs w:val="24"/>
          <w:highlight w:val="white"/>
          <w:lang w:val="es-PE"/>
        </w:rPr>
        <w:t>e las cosas bajo la incertidumbre conocida como el “futuro”, pero decide cambiar el curso de las cosas realizando dichos actos para prevenir una catástrofe, y en sí, se considera como una apuesta. Cometer actos malignos para un bien común suele ir ligado a</w:t>
      </w:r>
      <w:r w:rsidRPr="006E7C46">
        <w:rPr>
          <w:rFonts w:ascii="Times New Roman" w:eastAsia="Times New Roman" w:hAnsi="Times New Roman" w:cs="Times New Roman"/>
          <w:color w:val="052025"/>
          <w:sz w:val="24"/>
          <w:szCs w:val="24"/>
          <w:highlight w:val="white"/>
          <w:lang w:val="es-PE"/>
        </w:rPr>
        <w:t xml:space="preserve"> la toma de decisiones y/o formación que tuvo la persona durante el transcurso de su vida. </w:t>
      </w:r>
      <w:r w:rsidRPr="006E7C46">
        <w:rPr>
          <w:lang w:val="es-PE"/>
        </w:rPr>
        <w:br w:type="page"/>
      </w:r>
    </w:p>
    <w:p w14:paraId="00000023" w14:textId="77777777" w:rsidR="00A42B21" w:rsidRPr="006E7C46" w:rsidRDefault="006E7C46" w:rsidP="006E7C46">
      <w:pPr>
        <w:spacing w:line="360" w:lineRule="auto"/>
        <w:jc w:val="both"/>
        <w:rPr>
          <w:rFonts w:ascii="Times New Roman" w:eastAsia="Times New Roman" w:hAnsi="Times New Roman" w:cs="Times New Roman"/>
          <w:sz w:val="24"/>
          <w:szCs w:val="24"/>
          <w:lang w:val="es-PE"/>
        </w:rPr>
      </w:pPr>
      <w:r w:rsidRPr="006E7C46">
        <w:rPr>
          <w:rFonts w:ascii="Times New Roman" w:eastAsia="Times New Roman" w:hAnsi="Times New Roman" w:cs="Times New Roman"/>
          <w:sz w:val="24"/>
          <w:szCs w:val="24"/>
          <w:lang w:val="es-PE"/>
        </w:rPr>
        <w:lastRenderedPageBreak/>
        <w:t>Referencias Bibliográficas:</w:t>
      </w:r>
    </w:p>
    <w:p w14:paraId="00000024" w14:textId="77777777" w:rsidR="00A42B21" w:rsidRPr="006E7C46" w:rsidRDefault="00A42B21" w:rsidP="006E7C46">
      <w:pPr>
        <w:spacing w:line="360" w:lineRule="auto"/>
        <w:jc w:val="both"/>
        <w:rPr>
          <w:rFonts w:ascii="Times New Roman" w:eastAsia="Times New Roman" w:hAnsi="Times New Roman" w:cs="Times New Roman"/>
          <w:color w:val="052025"/>
          <w:sz w:val="24"/>
          <w:szCs w:val="24"/>
          <w:lang w:val="es-PE"/>
        </w:rPr>
      </w:pPr>
    </w:p>
    <w:p w14:paraId="00000025" w14:textId="77777777" w:rsidR="00A42B21" w:rsidRPr="006E7C46" w:rsidRDefault="006E7C46" w:rsidP="006E7C46">
      <w:pPr>
        <w:spacing w:line="360" w:lineRule="auto"/>
        <w:rPr>
          <w:rFonts w:ascii="Times New Roman" w:eastAsia="Times New Roman" w:hAnsi="Times New Roman" w:cs="Times New Roman"/>
          <w:color w:val="052025"/>
          <w:sz w:val="24"/>
          <w:szCs w:val="24"/>
          <w:highlight w:val="white"/>
          <w:lang w:val="es-PE"/>
        </w:rPr>
      </w:pPr>
      <w:r w:rsidRPr="006E7C46">
        <w:rPr>
          <w:rFonts w:ascii="Times New Roman" w:eastAsia="Times New Roman" w:hAnsi="Times New Roman" w:cs="Times New Roman"/>
          <w:color w:val="052025"/>
          <w:sz w:val="24"/>
          <w:szCs w:val="24"/>
          <w:highlight w:val="white"/>
          <w:lang w:val="es-PE"/>
        </w:rPr>
        <w:t xml:space="preserve">Arendt, H. (1995). El pensar y las reflexiones morales. </w:t>
      </w:r>
      <w:r w:rsidRPr="006E7C46">
        <w:rPr>
          <w:rFonts w:ascii="Times New Roman" w:eastAsia="Times New Roman" w:hAnsi="Times New Roman" w:cs="Times New Roman"/>
          <w:i/>
          <w:color w:val="052025"/>
          <w:sz w:val="24"/>
          <w:szCs w:val="24"/>
          <w:highlight w:val="white"/>
          <w:lang w:val="es-PE"/>
        </w:rPr>
        <w:t>De la historia a la acción</w:t>
      </w:r>
      <w:r w:rsidRPr="006E7C46">
        <w:rPr>
          <w:rFonts w:ascii="Times New Roman" w:eastAsia="Times New Roman" w:hAnsi="Times New Roman" w:cs="Times New Roman"/>
          <w:color w:val="052025"/>
          <w:sz w:val="24"/>
          <w:szCs w:val="24"/>
          <w:highlight w:val="white"/>
          <w:lang w:val="es-PE"/>
        </w:rPr>
        <w:t>, 109-137.</w:t>
      </w:r>
    </w:p>
    <w:p w14:paraId="00000026" w14:textId="77777777" w:rsidR="00A42B21" w:rsidRDefault="006E7C46" w:rsidP="006E7C46">
      <w:pPr>
        <w:spacing w:before="240" w:after="240" w:line="360" w:lineRule="auto"/>
        <w:jc w:val="both"/>
        <w:rPr>
          <w:rFonts w:ascii="Times New Roman" w:eastAsia="Times New Roman" w:hAnsi="Times New Roman" w:cs="Times New Roman"/>
          <w:color w:val="052025"/>
          <w:sz w:val="24"/>
          <w:szCs w:val="24"/>
          <w:highlight w:val="white"/>
        </w:rPr>
      </w:pPr>
      <w:r>
        <w:rPr>
          <w:rFonts w:ascii="Times New Roman" w:eastAsia="Times New Roman" w:hAnsi="Times New Roman" w:cs="Times New Roman"/>
          <w:color w:val="222222"/>
          <w:sz w:val="24"/>
          <w:szCs w:val="24"/>
          <w:highlight w:val="white"/>
        </w:rPr>
        <w:t>Clifford, W. K. (1877). The ethics of bel</w:t>
      </w:r>
      <w:r>
        <w:rPr>
          <w:rFonts w:ascii="Times New Roman" w:eastAsia="Times New Roman" w:hAnsi="Times New Roman" w:cs="Times New Roman"/>
          <w:color w:val="222222"/>
          <w:sz w:val="24"/>
          <w:szCs w:val="24"/>
          <w:highlight w:val="white"/>
        </w:rPr>
        <w:t xml:space="preserve">ief. </w:t>
      </w:r>
      <w:r>
        <w:rPr>
          <w:rFonts w:ascii="Times New Roman" w:eastAsia="Times New Roman" w:hAnsi="Times New Roman" w:cs="Times New Roman"/>
          <w:i/>
          <w:color w:val="222222"/>
          <w:sz w:val="24"/>
          <w:szCs w:val="24"/>
          <w:highlight w:val="white"/>
        </w:rPr>
        <w:t>First Published</w:t>
      </w:r>
      <w:r>
        <w:rPr>
          <w:rFonts w:ascii="Times New Roman" w:eastAsia="Times New Roman" w:hAnsi="Times New Roman" w:cs="Times New Roman"/>
          <w:color w:val="222222"/>
          <w:sz w:val="24"/>
          <w:szCs w:val="24"/>
          <w:highlight w:val="white"/>
        </w:rPr>
        <w:t>.</w:t>
      </w:r>
    </w:p>
    <w:p w14:paraId="00000027" w14:textId="77777777" w:rsidR="00A42B21" w:rsidRPr="006E7C46" w:rsidRDefault="006E7C46" w:rsidP="006E7C46">
      <w:pPr>
        <w:spacing w:line="360" w:lineRule="auto"/>
        <w:ind w:left="720" w:hanging="720"/>
        <w:rPr>
          <w:rFonts w:ascii="Times New Roman" w:eastAsia="Times New Roman" w:hAnsi="Times New Roman" w:cs="Times New Roman"/>
          <w:color w:val="052025"/>
          <w:sz w:val="24"/>
          <w:szCs w:val="24"/>
          <w:highlight w:val="white"/>
          <w:lang w:val="it-IT"/>
        </w:rPr>
      </w:pPr>
      <w:r>
        <w:rPr>
          <w:rFonts w:ascii="Times New Roman" w:eastAsia="Times New Roman" w:hAnsi="Times New Roman" w:cs="Times New Roman"/>
          <w:color w:val="052025"/>
          <w:sz w:val="24"/>
          <w:szCs w:val="24"/>
          <w:highlight w:val="white"/>
        </w:rPr>
        <w:t xml:space="preserve">Eileen, K., Austen, E., Wells, D., &amp; Brooke, B. (2020, Agosto, 12). </w:t>
      </w:r>
      <w:r w:rsidRPr="006E7C46">
        <w:rPr>
          <w:rFonts w:ascii="Times New Roman" w:eastAsia="Times New Roman" w:hAnsi="Times New Roman" w:cs="Times New Roman"/>
          <w:color w:val="052025"/>
          <w:sz w:val="24"/>
          <w:szCs w:val="24"/>
          <w:highlight w:val="white"/>
          <w:lang w:val="es-PE"/>
        </w:rPr>
        <w:t>“</w:t>
      </w:r>
      <w:r w:rsidRPr="006E7C46">
        <w:rPr>
          <w:rFonts w:ascii="Times New Roman" w:eastAsia="Times New Roman" w:hAnsi="Times New Roman" w:cs="Times New Roman"/>
          <w:b/>
          <w:color w:val="191919"/>
          <w:sz w:val="24"/>
          <w:szCs w:val="24"/>
          <w:highlight w:val="white"/>
          <w:lang w:val="es-PE"/>
        </w:rPr>
        <w:t xml:space="preserve">Más detalles de este caso: el padre mata a su hija, de 11 años, que tenía “enfermedad terminal devastadora” y luego se suicida, dice la policía”. </w:t>
      </w:r>
      <w:r w:rsidRPr="006E7C46">
        <w:rPr>
          <w:rFonts w:ascii="Times New Roman" w:eastAsia="Times New Roman" w:hAnsi="Times New Roman" w:cs="Times New Roman"/>
          <w:color w:val="191919"/>
          <w:sz w:val="24"/>
          <w:szCs w:val="24"/>
          <w:highlight w:val="white"/>
          <w:lang w:val="it-IT"/>
        </w:rPr>
        <w:t>SunSentinel</w:t>
      </w:r>
      <w:r w:rsidRPr="006E7C46">
        <w:rPr>
          <w:rFonts w:ascii="Times New Roman" w:eastAsia="Times New Roman" w:hAnsi="Times New Roman" w:cs="Times New Roman"/>
          <w:i/>
          <w:color w:val="191919"/>
          <w:sz w:val="24"/>
          <w:szCs w:val="24"/>
          <w:highlight w:val="white"/>
          <w:lang w:val="it-IT"/>
        </w:rPr>
        <w:t xml:space="preserve">. </w:t>
      </w:r>
      <w:r>
        <w:fldChar w:fldCharType="begin"/>
      </w:r>
      <w:r w:rsidRPr="006E7C46">
        <w:rPr>
          <w:lang w:val="it-IT"/>
        </w:rPr>
        <w:instrText xml:space="preserve"> HYPERLINK "https://www.sun-sentinel.com/espanol/fl-es-padre-mata-hija-11-asesinato-suicidio-20200812-gsb5d5nfxnhw5alhrjsjhe4uui-story.html" \h </w:instrText>
      </w:r>
      <w:r>
        <w:fldChar w:fldCharType="separate"/>
      </w:r>
      <w:r w:rsidRPr="006E7C46">
        <w:rPr>
          <w:rFonts w:ascii="Times New Roman" w:eastAsia="Times New Roman" w:hAnsi="Times New Roman" w:cs="Times New Roman"/>
          <w:i/>
          <w:color w:val="1155CC"/>
          <w:sz w:val="24"/>
          <w:szCs w:val="24"/>
          <w:highlight w:val="white"/>
          <w:u w:val="single"/>
          <w:lang w:val="it-IT"/>
        </w:rPr>
        <w:t>https://www.sun-sentinel.com/espanol/fl-es-padre-mata-hija-11-asesinato-suicidio-20200812-gsb5d5nfxnhw5alhrjsjh</w:t>
      </w:r>
      <w:r w:rsidRPr="006E7C46">
        <w:rPr>
          <w:rFonts w:ascii="Times New Roman" w:eastAsia="Times New Roman" w:hAnsi="Times New Roman" w:cs="Times New Roman"/>
          <w:i/>
          <w:color w:val="1155CC"/>
          <w:sz w:val="24"/>
          <w:szCs w:val="24"/>
          <w:highlight w:val="white"/>
          <w:u w:val="single"/>
          <w:lang w:val="it-IT"/>
        </w:rPr>
        <w:t>e4uui-story.html</w:t>
      </w:r>
      <w:r>
        <w:rPr>
          <w:rFonts w:ascii="Times New Roman" w:eastAsia="Times New Roman" w:hAnsi="Times New Roman" w:cs="Times New Roman"/>
          <w:i/>
          <w:color w:val="1155CC"/>
          <w:sz w:val="24"/>
          <w:szCs w:val="24"/>
          <w:highlight w:val="white"/>
          <w:u w:val="single"/>
        </w:rPr>
        <w:fldChar w:fldCharType="end"/>
      </w:r>
    </w:p>
    <w:p w14:paraId="00000028" w14:textId="77777777" w:rsidR="00A42B21" w:rsidRPr="006E7C46" w:rsidRDefault="00A42B21" w:rsidP="006E7C46">
      <w:pPr>
        <w:spacing w:line="360" w:lineRule="auto"/>
        <w:ind w:left="720" w:hanging="720"/>
        <w:rPr>
          <w:rFonts w:ascii="Times New Roman" w:eastAsia="Times New Roman" w:hAnsi="Times New Roman" w:cs="Times New Roman"/>
          <w:color w:val="222222"/>
          <w:sz w:val="24"/>
          <w:szCs w:val="24"/>
          <w:highlight w:val="white"/>
          <w:lang w:val="it-IT"/>
        </w:rPr>
      </w:pPr>
    </w:p>
    <w:p w14:paraId="00000029" w14:textId="77777777" w:rsidR="00A42B21" w:rsidRPr="006E7C46" w:rsidRDefault="006E7C46" w:rsidP="006E7C46">
      <w:pPr>
        <w:spacing w:line="360" w:lineRule="auto"/>
        <w:ind w:left="720" w:hanging="720"/>
        <w:rPr>
          <w:rFonts w:ascii="Times New Roman" w:eastAsia="Times New Roman" w:hAnsi="Times New Roman" w:cs="Times New Roman"/>
          <w:color w:val="222222"/>
          <w:sz w:val="24"/>
          <w:szCs w:val="24"/>
          <w:highlight w:val="white"/>
          <w:lang w:val="es-PE"/>
        </w:rPr>
      </w:pPr>
      <w:r w:rsidRPr="006E7C46">
        <w:rPr>
          <w:rFonts w:ascii="Times New Roman" w:eastAsia="Times New Roman" w:hAnsi="Times New Roman" w:cs="Times New Roman"/>
          <w:color w:val="222222"/>
          <w:sz w:val="24"/>
          <w:szCs w:val="24"/>
          <w:highlight w:val="white"/>
          <w:lang w:val="es-PE"/>
        </w:rPr>
        <w:t xml:space="preserve">Gonorazky, S. E. EL PROBLEMA NO RESUELTO DEL CONCEPTO DE ENFERMEDAD TERMINAL. Recuperado de: </w:t>
      </w:r>
      <w:hyperlink r:id="rId4">
        <w:r w:rsidRPr="006E7C46">
          <w:rPr>
            <w:rFonts w:ascii="Times New Roman" w:eastAsia="Times New Roman" w:hAnsi="Times New Roman" w:cs="Times New Roman"/>
            <w:color w:val="1155CC"/>
            <w:sz w:val="24"/>
            <w:szCs w:val="24"/>
            <w:highlight w:val="white"/>
            <w:u w:val="single"/>
            <w:lang w:val="es-PE"/>
          </w:rPr>
          <w:t>http://hpc.org.ar/wp-content/uploads/1017-03-GONORAZKY.pdf</w:t>
        </w:r>
      </w:hyperlink>
    </w:p>
    <w:p w14:paraId="0000002A" w14:textId="77777777" w:rsidR="00A42B21" w:rsidRPr="006E7C46" w:rsidRDefault="00A42B21" w:rsidP="006E7C46">
      <w:pPr>
        <w:spacing w:line="360" w:lineRule="auto"/>
        <w:ind w:left="720" w:hanging="720"/>
        <w:rPr>
          <w:rFonts w:ascii="Times New Roman" w:eastAsia="Times New Roman" w:hAnsi="Times New Roman" w:cs="Times New Roman"/>
          <w:color w:val="222222"/>
          <w:sz w:val="24"/>
          <w:szCs w:val="24"/>
          <w:highlight w:val="white"/>
          <w:lang w:val="es-PE"/>
        </w:rPr>
      </w:pPr>
    </w:p>
    <w:p w14:paraId="0000002B" w14:textId="77777777" w:rsidR="00A42B21" w:rsidRPr="006E7C46" w:rsidRDefault="006E7C46" w:rsidP="006E7C46">
      <w:pPr>
        <w:spacing w:line="360" w:lineRule="auto"/>
        <w:ind w:left="720" w:hanging="720"/>
        <w:rPr>
          <w:rFonts w:ascii="Times New Roman" w:eastAsia="Times New Roman" w:hAnsi="Times New Roman" w:cs="Times New Roman"/>
          <w:color w:val="222222"/>
          <w:sz w:val="24"/>
          <w:szCs w:val="24"/>
          <w:highlight w:val="white"/>
          <w:lang w:val="es-PE"/>
        </w:rPr>
      </w:pPr>
      <w:r w:rsidRPr="006E7C46">
        <w:rPr>
          <w:rFonts w:ascii="Times New Roman" w:eastAsia="Times New Roman" w:hAnsi="Times New Roman" w:cs="Times New Roman"/>
          <w:color w:val="191919"/>
          <w:sz w:val="24"/>
          <w:szCs w:val="24"/>
          <w:highlight w:val="white"/>
          <w:lang w:val="es-PE"/>
        </w:rPr>
        <w:t xml:space="preserve">Pighi, </w:t>
      </w:r>
      <w:r w:rsidRPr="006E7C46">
        <w:rPr>
          <w:rFonts w:ascii="Times New Roman" w:eastAsia="Times New Roman" w:hAnsi="Times New Roman" w:cs="Times New Roman"/>
          <w:color w:val="191919"/>
          <w:sz w:val="24"/>
          <w:szCs w:val="24"/>
          <w:highlight w:val="white"/>
          <w:lang w:val="es-PE"/>
        </w:rPr>
        <w:t xml:space="preserve">P. (2021, </w:t>
      </w:r>
      <w:proofErr w:type="gramStart"/>
      <w:r w:rsidRPr="006E7C46">
        <w:rPr>
          <w:rFonts w:ascii="Times New Roman" w:eastAsia="Times New Roman" w:hAnsi="Times New Roman" w:cs="Times New Roman"/>
          <w:color w:val="191919"/>
          <w:sz w:val="24"/>
          <w:szCs w:val="24"/>
          <w:highlight w:val="white"/>
          <w:lang w:val="es-PE"/>
        </w:rPr>
        <w:t>Marzo</w:t>
      </w:r>
      <w:proofErr w:type="gramEnd"/>
      <w:r w:rsidRPr="006E7C46">
        <w:rPr>
          <w:rFonts w:ascii="Times New Roman" w:eastAsia="Times New Roman" w:hAnsi="Times New Roman" w:cs="Times New Roman"/>
          <w:color w:val="191919"/>
          <w:sz w:val="24"/>
          <w:szCs w:val="24"/>
          <w:highlight w:val="white"/>
          <w:lang w:val="es-PE"/>
        </w:rPr>
        <w:t>, 02). “</w:t>
      </w:r>
      <w:r w:rsidRPr="006E7C46">
        <w:rPr>
          <w:rFonts w:ascii="Times New Roman" w:eastAsia="Times New Roman" w:hAnsi="Times New Roman" w:cs="Times New Roman"/>
          <w:b/>
          <w:color w:val="141414"/>
          <w:sz w:val="24"/>
          <w:szCs w:val="24"/>
          <w:highlight w:val="white"/>
          <w:lang w:val="es-PE"/>
        </w:rPr>
        <w:t>Ana Estrada y la eutanasia en Perú: "Me están diciendo 'tranquila, ya nadie va a ser culpable si decides morir'"</w:t>
      </w:r>
      <w:r w:rsidRPr="006E7C46">
        <w:rPr>
          <w:rFonts w:ascii="Times New Roman" w:eastAsia="Times New Roman" w:hAnsi="Times New Roman" w:cs="Times New Roman"/>
          <w:color w:val="141414"/>
          <w:sz w:val="24"/>
          <w:szCs w:val="24"/>
          <w:highlight w:val="white"/>
          <w:lang w:val="es-PE"/>
        </w:rPr>
        <w:t xml:space="preserve">. BBC News Mundo. </w:t>
      </w:r>
      <w:hyperlink r:id="rId5">
        <w:r w:rsidRPr="006E7C46">
          <w:rPr>
            <w:rFonts w:ascii="Times New Roman" w:eastAsia="Times New Roman" w:hAnsi="Times New Roman" w:cs="Times New Roman"/>
            <w:color w:val="1155CC"/>
            <w:sz w:val="24"/>
            <w:szCs w:val="24"/>
            <w:highlight w:val="white"/>
            <w:u w:val="single"/>
            <w:lang w:val="es-PE"/>
          </w:rPr>
          <w:t>https://www.bbc.com/mundo/noticias-56248</w:t>
        </w:r>
        <w:r w:rsidRPr="006E7C46">
          <w:rPr>
            <w:rFonts w:ascii="Times New Roman" w:eastAsia="Times New Roman" w:hAnsi="Times New Roman" w:cs="Times New Roman"/>
            <w:color w:val="1155CC"/>
            <w:sz w:val="24"/>
            <w:szCs w:val="24"/>
            <w:highlight w:val="white"/>
            <w:u w:val="single"/>
            <w:lang w:val="es-PE"/>
          </w:rPr>
          <w:t>478</w:t>
        </w:r>
      </w:hyperlink>
    </w:p>
    <w:p w14:paraId="0000002C" w14:textId="77777777" w:rsidR="00A42B21" w:rsidRPr="006E7C46" w:rsidRDefault="00A42B21" w:rsidP="006E7C46">
      <w:pPr>
        <w:spacing w:line="360" w:lineRule="auto"/>
        <w:ind w:left="720" w:hanging="720"/>
        <w:rPr>
          <w:rFonts w:ascii="Times New Roman" w:eastAsia="Times New Roman" w:hAnsi="Times New Roman" w:cs="Times New Roman"/>
          <w:color w:val="222222"/>
          <w:sz w:val="24"/>
          <w:szCs w:val="24"/>
          <w:highlight w:val="white"/>
          <w:lang w:val="es-PE"/>
        </w:rPr>
      </w:pPr>
    </w:p>
    <w:p w14:paraId="0000002D" w14:textId="77777777" w:rsidR="00A42B21" w:rsidRPr="006E7C46" w:rsidRDefault="006E7C46" w:rsidP="006E7C46">
      <w:pPr>
        <w:spacing w:line="360" w:lineRule="auto"/>
        <w:ind w:left="720" w:hanging="720"/>
        <w:rPr>
          <w:rFonts w:ascii="Times New Roman" w:eastAsia="Times New Roman" w:hAnsi="Times New Roman" w:cs="Times New Roman"/>
          <w:color w:val="222222"/>
          <w:sz w:val="28"/>
          <w:szCs w:val="28"/>
          <w:highlight w:val="white"/>
          <w:lang w:val="es-PE"/>
        </w:rPr>
      </w:pPr>
      <w:r w:rsidRPr="006E7C46">
        <w:rPr>
          <w:rFonts w:ascii="Times New Roman" w:eastAsia="Times New Roman" w:hAnsi="Times New Roman" w:cs="Times New Roman"/>
          <w:color w:val="222222"/>
          <w:sz w:val="24"/>
          <w:szCs w:val="24"/>
          <w:highlight w:val="white"/>
          <w:lang w:val="es-PE"/>
        </w:rPr>
        <w:t xml:space="preserve">Ricoeur, P., &amp; Gisel, P. (2006). </w:t>
      </w:r>
      <w:r w:rsidRPr="006E7C46">
        <w:rPr>
          <w:rFonts w:ascii="Times New Roman" w:eastAsia="Times New Roman" w:hAnsi="Times New Roman" w:cs="Times New Roman"/>
          <w:i/>
          <w:color w:val="222222"/>
          <w:sz w:val="24"/>
          <w:szCs w:val="24"/>
          <w:highlight w:val="white"/>
          <w:lang w:val="es-PE"/>
        </w:rPr>
        <w:t>El mal: Un desafío a la filosofía ya la teología</w:t>
      </w:r>
      <w:r w:rsidRPr="006E7C46">
        <w:rPr>
          <w:rFonts w:ascii="Times New Roman" w:eastAsia="Times New Roman" w:hAnsi="Times New Roman" w:cs="Times New Roman"/>
          <w:color w:val="222222"/>
          <w:sz w:val="24"/>
          <w:szCs w:val="24"/>
          <w:highlight w:val="white"/>
          <w:lang w:val="es-PE"/>
        </w:rPr>
        <w:t xml:space="preserve">. Buenos Aires: </w:t>
      </w:r>
      <w:proofErr w:type="spellStart"/>
      <w:r w:rsidRPr="006E7C46">
        <w:rPr>
          <w:rFonts w:ascii="Times New Roman" w:eastAsia="Times New Roman" w:hAnsi="Times New Roman" w:cs="Times New Roman"/>
          <w:color w:val="222222"/>
          <w:sz w:val="24"/>
          <w:szCs w:val="24"/>
          <w:highlight w:val="white"/>
          <w:lang w:val="es-PE"/>
        </w:rPr>
        <w:t>Amorrortu</w:t>
      </w:r>
      <w:proofErr w:type="spellEnd"/>
      <w:r w:rsidRPr="006E7C46">
        <w:rPr>
          <w:rFonts w:ascii="Times New Roman" w:eastAsia="Times New Roman" w:hAnsi="Times New Roman" w:cs="Times New Roman"/>
          <w:color w:val="222222"/>
          <w:sz w:val="24"/>
          <w:szCs w:val="24"/>
          <w:highlight w:val="white"/>
          <w:lang w:val="es-PE"/>
        </w:rPr>
        <w:t xml:space="preserve">. Recuperado de: </w:t>
      </w:r>
      <w:hyperlink r:id="rId6">
        <w:r w:rsidRPr="006E7C46">
          <w:rPr>
            <w:rFonts w:ascii="Times New Roman" w:eastAsia="Times New Roman" w:hAnsi="Times New Roman" w:cs="Times New Roman"/>
            <w:color w:val="1155CC"/>
            <w:sz w:val="24"/>
            <w:szCs w:val="24"/>
            <w:highlight w:val="white"/>
            <w:u w:val="single"/>
            <w:lang w:val="es-PE"/>
          </w:rPr>
          <w:t>https://mercaba.org/SANLUIS/Filosofia/autores/Contemporánea/Ricoeur/El%20mal.%20Desafío%20a%20la%20filosofía%20y%20a%20la%20teología.pdf</w:t>
        </w:r>
      </w:hyperlink>
    </w:p>
    <w:p w14:paraId="0000002E" w14:textId="77777777" w:rsidR="00A42B21" w:rsidRPr="006E7C46" w:rsidRDefault="00A42B21">
      <w:pPr>
        <w:ind w:left="720"/>
        <w:rPr>
          <w:rFonts w:ascii="Times New Roman" w:eastAsia="Times New Roman" w:hAnsi="Times New Roman" w:cs="Times New Roman"/>
          <w:color w:val="222222"/>
          <w:sz w:val="24"/>
          <w:szCs w:val="24"/>
          <w:highlight w:val="white"/>
          <w:lang w:val="es-PE"/>
        </w:rPr>
      </w:pPr>
    </w:p>
    <w:p w14:paraId="0000002F" w14:textId="77777777" w:rsidR="00A42B21" w:rsidRPr="006E7C46" w:rsidRDefault="00A42B21">
      <w:pPr>
        <w:spacing w:before="240" w:after="240"/>
        <w:jc w:val="both"/>
        <w:rPr>
          <w:rFonts w:ascii="Times New Roman" w:eastAsia="Times New Roman" w:hAnsi="Times New Roman" w:cs="Times New Roman"/>
          <w:color w:val="052025"/>
          <w:sz w:val="24"/>
          <w:szCs w:val="24"/>
          <w:highlight w:val="white"/>
          <w:lang w:val="es-PE"/>
        </w:rPr>
      </w:pPr>
    </w:p>
    <w:sectPr w:rsidR="00A42B21" w:rsidRPr="006E7C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B21"/>
    <w:rsid w:val="006E7C46"/>
    <w:rsid w:val="00A42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BC32D"/>
  <w15:docId w15:val="{640AFC5B-EB81-4864-91E3-2E29BDE5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rcaba.org/SANLUIS/Filosofia/autores/Contempor" TargetMode="External"/><Relationship Id="rId5" Type="http://schemas.openxmlformats.org/officeDocument/2006/relationships/hyperlink" Target="https://www.bbc.com/mundo/noticias-56248478" TargetMode="External"/><Relationship Id="rId4" Type="http://schemas.openxmlformats.org/officeDocument/2006/relationships/hyperlink" Target="http://hpc.org.ar/wp-content/uploads/1017-03-GONORAZK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1750</Words>
  <Characters>9977</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2022-07-07T19:08:00Z</dcterms:created>
  <dcterms:modified xsi:type="dcterms:W3CDTF">2022-07-07T19:08:00Z</dcterms:modified>
</cp:coreProperties>
</file>